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FFCA2" w14:textId="77777777" w:rsidR="004A41FB" w:rsidRDefault="00000000">
      <w:pPr>
        <w:spacing w:after="20" w:line="276" w:lineRule="auto"/>
        <w:jc w:val="center"/>
      </w:pPr>
      <w:r>
        <w:rPr>
          <w:b/>
          <w:bCs/>
          <w:sz w:val="28"/>
          <w:szCs w:val="28"/>
        </w:rPr>
        <w:t>Clinical Natural Language Technology for Health Care:</w:t>
      </w:r>
    </w:p>
    <w:p w14:paraId="505B9191" w14:textId="77777777" w:rsidR="004A41FB" w:rsidRDefault="00000000">
      <w:pPr>
        <w:spacing w:after="20" w:line="276" w:lineRule="auto"/>
        <w:jc w:val="center"/>
      </w:pPr>
      <w:r>
        <w:rPr>
          <w:b/>
          <w:bCs/>
          <w:sz w:val="28"/>
          <w:szCs w:val="28"/>
        </w:rPr>
        <w:t>Past, Present, and Future Approaches</w:t>
      </w:r>
    </w:p>
    <w:p w14:paraId="63EC42C9" w14:textId="77777777" w:rsidR="004A41FB" w:rsidRDefault="00000000">
      <w:pPr>
        <w:spacing w:after="80" w:line="276" w:lineRule="auto"/>
        <w:jc w:val="center"/>
      </w:pPr>
      <w:r>
        <w:rPr>
          <w:i/>
          <w:iCs/>
          <w:sz w:val="20"/>
          <w:szCs w:val="20"/>
        </w:rPr>
        <w:t>Gaurav Gurunath Choughule — Khoury College of Computer Sciences, Northeastern University</w:t>
      </w:r>
    </w:p>
    <w:p w14:paraId="7CAE3D32" w14:textId="77777777" w:rsidR="005E2AB7" w:rsidRDefault="005E2AB7" w:rsidP="005E2AB7">
      <w:pPr>
        <w:spacing w:before="160" w:after="60" w:line="276" w:lineRule="auto"/>
        <w:jc w:val="both"/>
        <w:rPr>
          <w:b/>
          <w:bCs/>
        </w:rPr>
        <w:sectPr w:rsidR="005E2AB7" w:rsidSect="005E2AB7">
          <w:pgSz w:w="12240" w:h="15840"/>
          <w:pgMar w:top="1440" w:right="1440" w:bottom="1440" w:left="1440" w:header="708" w:footer="708" w:gutter="0"/>
          <w:cols w:space="720"/>
          <w:docGrid w:linePitch="360"/>
        </w:sectPr>
      </w:pPr>
    </w:p>
    <w:p w14:paraId="79CB146C" w14:textId="46D83586" w:rsidR="004A41FB" w:rsidRPr="005E2AB7" w:rsidRDefault="00000000" w:rsidP="005E2AB7">
      <w:pPr>
        <w:pStyle w:val="ListParagraph"/>
        <w:numPr>
          <w:ilvl w:val="0"/>
          <w:numId w:val="2"/>
        </w:numPr>
        <w:spacing w:before="160" w:after="60" w:line="276" w:lineRule="auto"/>
        <w:ind w:left="284"/>
        <w:jc w:val="center"/>
        <w:rPr>
          <w:i/>
          <w:iCs/>
        </w:rPr>
      </w:pPr>
      <w:r w:rsidRPr="005E2AB7">
        <w:rPr>
          <w:b/>
          <w:bCs/>
          <w:i/>
          <w:iCs/>
        </w:rPr>
        <w:t>Introduction</w:t>
      </w:r>
    </w:p>
    <w:p w14:paraId="7EDB79A7" w14:textId="77777777" w:rsidR="004A41FB" w:rsidRDefault="00000000" w:rsidP="005E2AB7">
      <w:pPr>
        <w:spacing w:after="100" w:line="276" w:lineRule="auto"/>
        <w:jc w:val="both"/>
      </w:pPr>
      <w:r>
        <w:t>The healthcare industry generates an enormous volume of unstructured textual data every day—physician notes, discharge summaries, radiology reports, and insurance claims. Approximately 80% of all healthcare data is unstructured, residing in free-text clinical documents that traditional databases cannot easily query (Murdoch &amp; Detsky, 2013). Natural Language Processing (NLP), a subfield of artificial intelligence that enables computers to understand and generate human language, has emerged as the critical technology for unlocking this hidden value. The global healthcare NLP market was valued at $5.18 billion in 2025 and is projected to reach $16.01 billion by 2030 at a 25.3% CAGR (</w:t>
      </w:r>
      <w:proofErr w:type="spellStart"/>
      <w:r>
        <w:t>MarketsandMarkets</w:t>
      </w:r>
      <w:proofErr w:type="spellEnd"/>
      <w:r>
        <w:t xml:space="preserve">, 2025). For Cotiviti—a company whose core business depends on </w:t>
      </w:r>
      <w:proofErr w:type="spellStart"/>
      <w:r>
        <w:t>analyzing</w:t>
      </w:r>
      <w:proofErr w:type="spellEnd"/>
      <w:r>
        <w:t xml:space="preserve"> clinical and financial datasets to ensure payment accuracy and detect fraud, waste, and abuse—clinical NLP represents both a strategic opportunity and a competitive imperative.</w:t>
      </w:r>
    </w:p>
    <w:p w14:paraId="44D6F6C6" w14:textId="44E25684" w:rsidR="004A41FB" w:rsidRPr="005E2AB7" w:rsidRDefault="00000000" w:rsidP="005E2AB7">
      <w:pPr>
        <w:pStyle w:val="ListParagraph"/>
        <w:numPr>
          <w:ilvl w:val="0"/>
          <w:numId w:val="2"/>
        </w:numPr>
        <w:spacing w:before="160" w:after="60" w:line="276" w:lineRule="auto"/>
        <w:ind w:left="426"/>
        <w:jc w:val="center"/>
        <w:rPr>
          <w:i/>
          <w:iCs/>
        </w:rPr>
      </w:pPr>
      <w:r w:rsidRPr="005E2AB7">
        <w:rPr>
          <w:b/>
          <w:bCs/>
          <w:i/>
          <w:iCs/>
        </w:rPr>
        <w:t>Past Approaches: Rule-Based and Statistical Systems</w:t>
      </w:r>
    </w:p>
    <w:p w14:paraId="05C5F48E" w14:textId="77777777" w:rsidR="004A41FB" w:rsidRDefault="00000000" w:rsidP="005E2AB7">
      <w:pPr>
        <w:spacing w:after="100" w:line="276" w:lineRule="auto"/>
        <w:jc w:val="both"/>
      </w:pPr>
      <w:r>
        <w:t xml:space="preserve">Early clinical NLP relied on handcrafted rules, medical dictionaries, and pattern matching. The National Library of Medicine’s </w:t>
      </w:r>
      <w:proofErr w:type="spellStart"/>
      <w:r>
        <w:t>MetaMap</w:t>
      </w:r>
      <w:proofErr w:type="spellEnd"/>
      <w:r>
        <w:t xml:space="preserve">, introduced in the early 2000s, mapped biomedical text to Unified Medical Language System (UMLS) concepts and became foundational for clinical text mining (Aronson &amp; Lang, 2010). Apache </w:t>
      </w:r>
      <w:proofErr w:type="spellStart"/>
      <w:r>
        <w:t>cTAKES</w:t>
      </w:r>
      <w:proofErr w:type="spellEnd"/>
      <w:r>
        <w:t xml:space="preserve"> extended this with a pipeline architecture for sentence detection, </w:t>
      </w:r>
      <w:r>
        <w:t>tokenization, named entity recognition (NER), and negation detection tailored to clinical notes (Savova et al., 2010). While effective within narrow domains, these systems were brittle against misspellings, abbreviations, and novel phrasing, required extensive manual rule curation, and scaled poorly across clinical specialties. Statistical methods such as Conditional Random Fields improved entity recognition but still demanded expensive annotated clinical training data.</w:t>
      </w:r>
    </w:p>
    <w:p w14:paraId="1643B146" w14:textId="4B29E98B" w:rsidR="004A41FB" w:rsidRPr="005E2AB7" w:rsidRDefault="00000000" w:rsidP="005E2AB7">
      <w:pPr>
        <w:pStyle w:val="ListParagraph"/>
        <w:numPr>
          <w:ilvl w:val="0"/>
          <w:numId w:val="2"/>
        </w:numPr>
        <w:spacing w:before="160" w:after="60" w:line="276" w:lineRule="auto"/>
        <w:ind w:left="284"/>
        <w:jc w:val="center"/>
        <w:rPr>
          <w:i/>
          <w:iCs/>
        </w:rPr>
      </w:pPr>
      <w:r w:rsidRPr="005E2AB7">
        <w:rPr>
          <w:b/>
          <w:bCs/>
          <w:i/>
          <w:iCs/>
        </w:rPr>
        <w:t>Present Approaches: Transformers, LLMs, and Ambient Intelligence</w:t>
      </w:r>
    </w:p>
    <w:p w14:paraId="3DF47B0F" w14:textId="77777777" w:rsidR="004A41FB" w:rsidRDefault="00000000" w:rsidP="005E2AB7">
      <w:pPr>
        <w:spacing w:after="100" w:line="276" w:lineRule="auto"/>
        <w:jc w:val="both"/>
      </w:pPr>
      <w:r>
        <w:t>The introduction of BERT in 2018 marked a paradigm shift (Devlin et al., 2019). Domain-adapted variants—</w:t>
      </w:r>
      <w:proofErr w:type="spellStart"/>
      <w:r>
        <w:t>BioBERT</w:t>
      </w:r>
      <w:proofErr w:type="spellEnd"/>
      <w:r>
        <w:t xml:space="preserve">, trained on PubMed abstracts, and </w:t>
      </w:r>
      <w:proofErr w:type="spellStart"/>
      <w:r>
        <w:t>ClinicalBERT</w:t>
      </w:r>
      <w:proofErr w:type="spellEnd"/>
      <w:r>
        <w:t xml:space="preserve">, fine-tuned on MIMIC-III clinical notes—demonstrated substantial improvements in medical NER, relation extraction, and clinical inference (Lee et al., 2020; </w:t>
      </w:r>
      <w:proofErr w:type="spellStart"/>
      <w:r>
        <w:t>Alsentzer</w:t>
      </w:r>
      <w:proofErr w:type="spellEnd"/>
      <w:r>
        <w:t xml:space="preserve"> et al., 2019). More recent large language models (LLMs) such as GPT-4 and Med-</w:t>
      </w:r>
      <w:proofErr w:type="spellStart"/>
      <w:r>
        <w:t>PaLM</w:t>
      </w:r>
      <w:proofErr w:type="spellEnd"/>
      <w:r>
        <w:t xml:space="preserve"> have shown remarkable performance on medical licensing examinations, raising the possibility of general-purpose clinical reasoning engines (Singhal et al., 2023).</w:t>
      </w:r>
    </w:p>
    <w:p w14:paraId="6721C3DE" w14:textId="77777777" w:rsidR="004A41FB" w:rsidRDefault="00000000" w:rsidP="005E2AB7">
      <w:pPr>
        <w:spacing w:after="100" w:line="276" w:lineRule="auto"/>
        <w:jc w:val="both"/>
      </w:pPr>
      <w:r>
        <w:t xml:space="preserve">Among the most impactful present-day applications is ambient clinical intelligence (ACI). Microsoft’s Nuance DAX Copilot combines automatic speech recognition, NLP, and generative AI to passively capture patient-provider conversations and produce structured clinical documentation. Studies show DAX reduces per-visit documentation </w:t>
      </w:r>
      <w:r>
        <w:lastRenderedPageBreak/>
        <w:t>time from 5.3 to 4.54 minutes and significantly lowers clinician burnout (Haberle et al., 2024; Wendt et al., 2025). Meanwhile, OCR pipelines integrated with LLMs extract structured data from scanned medical records and faxed documents, enabling digitization of legacy clinical archives at scale.</w:t>
      </w:r>
    </w:p>
    <w:p w14:paraId="1563F830" w14:textId="1CFF76D3" w:rsidR="004A41FB" w:rsidRPr="005E2AB7" w:rsidRDefault="00000000" w:rsidP="005E2AB7">
      <w:pPr>
        <w:pStyle w:val="ListParagraph"/>
        <w:numPr>
          <w:ilvl w:val="0"/>
          <w:numId w:val="2"/>
        </w:numPr>
        <w:spacing w:before="160" w:after="60" w:line="276" w:lineRule="auto"/>
        <w:ind w:left="284"/>
        <w:jc w:val="center"/>
        <w:rPr>
          <w:i/>
          <w:iCs/>
        </w:rPr>
      </w:pPr>
      <w:r w:rsidRPr="005E2AB7">
        <w:rPr>
          <w:b/>
          <w:bCs/>
          <w:i/>
          <w:iCs/>
        </w:rPr>
        <w:t>Future Approaches: Multimodal Models and Agentic AI</w:t>
      </w:r>
    </w:p>
    <w:p w14:paraId="3735096D" w14:textId="77777777" w:rsidR="004A41FB" w:rsidRDefault="00000000" w:rsidP="005E2AB7">
      <w:pPr>
        <w:spacing w:after="100" w:line="276" w:lineRule="auto"/>
        <w:jc w:val="both"/>
      </w:pPr>
      <w:r>
        <w:t xml:space="preserve">The next frontier lies in multimodal large models (LMMs) that jointly reason over text, medical images, genomic data, and structured EHR fields. Systems like </w:t>
      </w:r>
      <w:proofErr w:type="spellStart"/>
      <w:r>
        <w:t>LLaVA</w:t>
      </w:r>
      <w:proofErr w:type="spellEnd"/>
      <w:r>
        <w:t xml:space="preserve">-Med and Med-Gemini demonstrate the ability to answer clinical questions by </w:t>
      </w:r>
      <w:proofErr w:type="spellStart"/>
      <w:r>
        <w:t>analyzing</w:t>
      </w:r>
      <w:proofErr w:type="spellEnd"/>
      <w:r>
        <w:t xml:space="preserve"> radiology images alongside text reports, pointing toward holistic AI-assisted diagnosis (Li et al., 2023; Saab et al., 2024). Agentic AI architectures that orchestrate specialized models through chain-of-thought reasoning are beginning to automate complex multi-step workflows—prior authorization review, longitudinal patient summarization, and real-time coding validation.</w:t>
      </w:r>
    </w:p>
    <w:p w14:paraId="08B77916" w14:textId="4668E787" w:rsidR="004A41FB" w:rsidRPr="005E2AB7" w:rsidRDefault="00000000" w:rsidP="005E2AB7">
      <w:pPr>
        <w:pStyle w:val="ListParagraph"/>
        <w:numPr>
          <w:ilvl w:val="0"/>
          <w:numId w:val="2"/>
        </w:numPr>
        <w:spacing w:before="160" w:after="60" w:line="276" w:lineRule="auto"/>
        <w:ind w:left="284" w:hanging="283"/>
        <w:jc w:val="center"/>
        <w:rPr>
          <w:i/>
          <w:iCs/>
        </w:rPr>
      </w:pPr>
      <w:r w:rsidRPr="005E2AB7">
        <w:rPr>
          <w:b/>
          <w:bCs/>
          <w:i/>
          <w:iCs/>
        </w:rPr>
        <w:t>Opportunities and Threats</w:t>
      </w:r>
    </w:p>
    <w:p w14:paraId="01ACF658" w14:textId="77777777" w:rsidR="004A41FB" w:rsidRDefault="00000000" w:rsidP="005E2AB7">
      <w:pPr>
        <w:spacing w:after="100" w:line="276" w:lineRule="auto"/>
        <w:jc w:val="both"/>
      </w:pPr>
      <w:r>
        <w:t xml:space="preserve">The opportunities are substantial: automated coding and documentation can reduce administrative costs by 8–30% (McKinsey, 2024); ambient AI scribes address clinician burnout; and NLP-powered claim review can shift payment integrity from retrospective to real-time prepayment intervention. However, LLMs are prone to hallucination—generating plausible but incorrect clinical content with </w:t>
      </w:r>
      <w:r>
        <w:t>potentially life-or-death consequences. HIPAA compliance constrains cloud-based deployment of models processing protected health information. Algorithmic bias in training data risks perpetuating health disparities, and regulatory frameworks have not yet caught up with LLM deployment speed, creating liability uncertainty.</w:t>
      </w:r>
    </w:p>
    <w:p w14:paraId="63734E08" w14:textId="0F325177" w:rsidR="004A41FB" w:rsidRPr="005E2AB7" w:rsidRDefault="00000000" w:rsidP="005E2AB7">
      <w:pPr>
        <w:pStyle w:val="ListParagraph"/>
        <w:numPr>
          <w:ilvl w:val="0"/>
          <w:numId w:val="2"/>
        </w:numPr>
        <w:spacing w:before="160" w:after="60" w:line="276" w:lineRule="auto"/>
        <w:ind w:left="426"/>
        <w:jc w:val="center"/>
        <w:rPr>
          <w:i/>
          <w:iCs/>
        </w:rPr>
      </w:pPr>
      <w:r w:rsidRPr="005E2AB7">
        <w:rPr>
          <w:b/>
          <w:bCs/>
          <w:i/>
          <w:iCs/>
        </w:rPr>
        <w:t>Strategic Recommendations for Cotiviti</w:t>
      </w:r>
    </w:p>
    <w:p w14:paraId="59856E5C" w14:textId="77777777" w:rsidR="004A41FB" w:rsidRDefault="00000000" w:rsidP="005E2AB7">
      <w:pPr>
        <w:spacing w:after="100" w:line="276" w:lineRule="auto"/>
        <w:jc w:val="both"/>
      </w:pPr>
      <w:r>
        <w:t>Given Cotiviti’s position as a leader serving over 200 payer clients, three strategic investments merit consideration. First, Cotiviti should deploy LLM-based extraction pipelines that pre-process clinical charts for human auditors, improving consistency and throughput in DRG validation and Clinical Chart Validation—its existing NLP capabilities in medical record coding provide a natural foundation. Second, the company should explore ambient intelligence partnerships to integrate real-time documentation quality signals into its Payment Policy Management platform, enabling earlier detection of coding errors at the point of care. Third, Cotiviti should develop multimodal document understanding that combines OCR, computer vision, and LLM reasoning to process the heterogeneous mix of scanned records, faxed forms, and digital claims flowing through its systems. Across all initiatives, a human-in-the-loop approach should be maintained, where AI augments rather than replaces expert clinical judgment—consistent with Cotiviti’s established philosophy (Cotiviti, 2025).</w:t>
      </w:r>
    </w:p>
    <w:p w14:paraId="011E022C" w14:textId="77777777" w:rsidR="006E7982" w:rsidRDefault="006E7982">
      <w:pPr>
        <w:sectPr w:rsidR="006E7982" w:rsidSect="005E2AB7">
          <w:type w:val="continuous"/>
          <w:pgSz w:w="12240" w:h="15840"/>
          <w:pgMar w:top="1440" w:right="1440" w:bottom="1440" w:left="1440" w:header="708" w:footer="708" w:gutter="0"/>
          <w:cols w:num="2" w:space="720"/>
          <w:docGrid w:linePitch="360"/>
        </w:sectPr>
      </w:pPr>
    </w:p>
    <w:p w14:paraId="6EE7AE03" w14:textId="77777777" w:rsidR="004A41FB" w:rsidRDefault="00000000">
      <w:r>
        <w:br w:type="page"/>
      </w:r>
    </w:p>
    <w:p w14:paraId="7745FF50" w14:textId="77777777" w:rsidR="006E7982" w:rsidRDefault="006E7982">
      <w:pPr>
        <w:spacing w:before="160" w:after="60" w:line="276" w:lineRule="auto"/>
        <w:jc w:val="center"/>
        <w:rPr>
          <w:b/>
          <w:bCs/>
        </w:rPr>
        <w:sectPr w:rsidR="006E7982" w:rsidSect="006E7982">
          <w:type w:val="continuous"/>
          <w:pgSz w:w="12240" w:h="15840"/>
          <w:pgMar w:top="1440" w:right="1440" w:bottom="1440" w:left="1440" w:header="708" w:footer="708" w:gutter="0"/>
          <w:cols w:space="720"/>
          <w:docGrid w:linePitch="360"/>
        </w:sectPr>
      </w:pPr>
    </w:p>
    <w:p w14:paraId="490BAD30" w14:textId="77777777" w:rsidR="004A41FB" w:rsidRPr="005E2AB7" w:rsidRDefault="00000000" w:rsidP="005E2AB7">
      <w:pPr>
        <w:spacing w:before="160" w:after="60" w:line="276" w:lineRule="auto"/>
        <w:jc w:val="both"/>
        <w:rPr>
          <w:i/>
          <w:iCs/>
        </w:rPr>
      </w:pPr>
      <w:r w:rsidRPr="005E2AB7">
        <w:rPr>
          <w:b/>
          <w:bCs/>
          <w:i/>
          <w:iCs/>
        </w:rPr>
        <w:lastRenderedPageBreak/>
        <w:t>References</w:t>
      </w:r>
    </w:p>
    <w:p w14:paraId="5FFFED44" w14:textId="38DEA5D3" w:rsidR="004A41FB" w:rsidRDefault="006E7982" w:rsidP="006E7982">
      <w:pPr>
        <w:spacing w:after="80" w:line="276" w:lineRule="auto"/>
        <w:ind w:left="540" w:hanging="540"/>
        <w:jc w:val="both"/>
      </w:pPr>
      <w:r>
        <w:rPr>
          <w:sz w:val="22"/>
          <w:szCs w:val="22"/>
        </w:rPr>
        <w:t>[1</w:t>
      </w:r>
      <w:proofErr w:type="gramStart"/>
      <w:r>
        <w:rPr>
          <w:sz w:val="22"/>
          <w:szCs w:val="22"/>
        </w:rPr>
        <w:t xml:space="preserve">]  </w:t>
      </w:r>
      <w:r>
        <w:rPr>
          <w:sz w:val="22"/>
          <w:szCs w:val="22"/>
        </w:rPr>
        <w:tab/>
      </w:r>
      <w:proofErr w:type="spellStart"/>
      <w:proofErr w:type="gramEnd"/>
      <w:r w:rsidR="00000000">
        <w:rPr>
          <w:sz w:val="22"/>
          <w:szCs w:val="22"/>
        </w:rPr>
        <w:t>Alsentzer</w:t>
      </w:r>
      <w:proofErr w:type="spellEnd"/>
      <w:r w:rsidR="00000000">
        <w:rPr>
          <w:sz w:val="22"/>
          <w:szCs w:val="22"/>
        </w:rPr>
        <w:t>, E., Murphy, J. R., Boag, W., Weng, W.-H., Jin, D., Naumann, T., &amp; McDermott, M. B. A.</w:t>
      </w:r>
      <w:r>
        <w:rPr>
          <w:sz w:val="22"/>
          <w:szCs w:val="22"/>
        </w:rPr>
        <w:t xml:space="preserve"> </w:t>
      </w:r>
      <w:r w:rsidR="00000000">
        <w:rPr>
          <w:sz w:val="22"/>
          <w:szCs w:val="22"/>
        </w:rPr>
        <w:t xml:space="preserve">(2019). Publicly available clinical BERT embeddings. </w:t>
      </w:r>
      <w:r w:rsidR="00000000">
        <w:rPr>
          <w:i/>
          <w:iCs/>
          <w:sz w:val="22"/>
          <w:szCs w:val="22"/>
        </w:rPr>
        <w:t>Proceedings of the 2nd Clinical Natural Language Processing Workshop</w:t>
      </w:r>
      <w:r w:rsidR="00000000">
        <w:rPr>
          <w:sz w:val="22"/>
          <w:szCs w:val="22"/>
        </w:rPr>
        <w:t>, 72–78.</w:t>
      </w:r>
    </w:p>
    <w:p w14:paraId="783E39F1" w14:textId="5360CBFD" w:rsidR="004A41FB" w:rsidRDefault="006E7982" w:rsidP="006E7982">
      <w:pPr>
        <w:spacing w:after="80" w:line="276" w:lineRule="auto"/>
        <w:ind w:left="540" w:hanging="540"/>
        <w:jc w:val="both"/>
      </w:pPr>
      <w:r>
        <w:rPr>
          <w:sz w:val="22"/>
          <w:szCs w:val="22"/>
        </w:rPr>
        <w:t xml:space="preserve">[2]     </w:t>
      </w:r>
      <w:r w:rsidR="00000000">
        <w:rPr>
          <w:sz w:val="22"/>
          <w:szCs w:val="22"/>
        </w:rPr>
        <w:t xml:space="preserve">Aronson, A. R., &amp; Lang, F.-M. (2010). An overview of </w:t>
      </w:r>
      <w:proofErr w:type="spellStart"/>
      <w:r w:rsidR="00000000">
        <w:rPr>
          <w:sz w:val="22"/>
          <w:szCs w:val="22"/>
        </w:rPr>
        <w:t>MetaMap</w:t>
      </w:r>
      <w:proofErr w:type="spellEnd"/>
      <w:r w:rsidR="00000000">
        <w:rPr>
          <w:sz w:val="22"/>
          <w:szCs w:val="22"/>
        </w:rPr>
        <w:t xml:space="preserve">: Historical perspective and recent advances. </w:t>
      </w:r>
      <w:r w:rsidR="00000000">
        <w:rPr>
          <w:i/>
          <w:iCs/>
          <w:sz w:val="22"/>
          <w:szCs w:val="22"/>
        </w:rPr>
        <w:t>Journal of the American Medical Informatics Association</w:t>
      </w:r>
      <w:r w:rsidR="00000000">
        <w:rPr>
          <w:sz w:val="22"/>
          <w:szCs w:val="22"/>
        </w:rPr>
        <w:t>, 17(3), 229–236.</w:t>
      </w:r>
    </w:p>
    <w:p w14:paraId="0641D681" w14:textId="05D4C6F5" w:rsidR="004A41FB" w:rsidRDefault="006E7982" w:rsidP="006E7982">
      <w:pPr>
        <w:spacing w:after="80" w:line="276" w:lineRule="auto"/>
        <w:ind w:left="540" w:hanging="540"/>
        <w:jc w:val="both"/>
      </w:pPr>
      <w:r>
        <w:rPr>
          <w:sz w:val="22"/>
          <w:szCs w:val="22"/>
        </w:rPr>
        <w:t xml:space="preserve">[3]    </w:t>
      </w:r>
      <w:r w:rsidR="00000000">
        <w:rPr>
          <w:sz w:val="22"/>
          <w:szCs w:val="22"/>
        </w:rPr>
        <w:t>Cotiviti. (2025). The practical landscape of AI in payment integrity and VBP. Cotiviti Resources. https://resources.cotiviti.com/payment-integrity/</w:t>
      </w:r>
    </w:p>
    <w:p w14:paraId="26CEC165" w14:textId="093598A7" w:rsidR="004A41FB" w:rsidRDefault="006E7982" w:rsidP="006E7982">
      <w:pPr>
        <w:spacing w:after="80" w:line="276" w:lineRule="auto"/>
        <w:ind w:left="540" w:hanging="540"/>
        <w:jc w:val="both"/>
      </w:pPr>
      <w:r>
        <w:rPr>
          <w:sz w:val="22"/>
          <w:szCs w:val="22"/>
        </w:rPr>
        <w:t>[4</w:t>
      </w:r>
      <w:proofErr w:type="gramStart"/>
      <w:r>
        <w:rPr>
          <w:sz w:val="22"/>
          <w:szCs w:val="22"/>
        </w:rPr>
        <w:t xml:space="preserve">]  </w:t>
      </w:r>
      <w:r>
        <w:rPr>
          <w:sz w:val="22"/>
          <w:szCs w:val="22"/>
        </w:rPr>
        <w:tab/>
      </w:r>
      <w:proofErr w:type="gramEnd"/>
      <w:r w:rsidR="00000000">
        <w:rPr>
          <w:sz w:val="22"/>
          <w:szCs w:val="22"/>
        </w:rPr>
        <w:t xml:space="preserve">Devlin, J., Chang, M.-W., Lee, K., &amp; Toutanova, K. (2019). BERT: Pre-training of deep bidirectional transformers for language understanding. </w:t>
      </w:r>
      <w:r w:rsidR="00000000">
        <w:rPr>
          <w:i/>
          <w:iCs/>
          <w:sz w:val="22"/>
          <w:szCs w:val="22"/>
        </w:rPr>
        <w:t>Proceedings of NAACL-HLT 2019</w:t>
      </w:r>
      <w:r w:rsidR="00000000">
        <w:rPr>
          <w:sz w:val="22"/>
          <w:szCs w:val="22"/>
        </w:rPr>
        <w:t>, 4171–4186.</w:t>
      </w:r>
    </w:p>
    <w:p w14:paraId="64DE11D0" w14:textId="682E02C7" w:rsidR="004A41FB" w:rsidRDefault="006E7982" w:rsidP="006E7982">
      <w:pPr>
        <w:spacing w:after="80" w:line="276" w:lineRule="auto"/>
        <w:ind w:left="540" w:hanging="540"/>
        <w:jc w:val="both"/>
      </w:pPr>
      <w:r>
        <w:rPr>
          <w:sz w:val="22"/>
          <w:szCs w:val="22"/>
        </w:rPr>
        <w:t xml:space="preserve">[5]    </w:t>
      </w:r>
      <w:r>
        <w:rPr>
          <w:sz w:val="22"/>
          <w:szCs w:val="22"/>
        </w:rPr>
        <w:tab/>
      </w:r>
      <w:r w:rsidR="00000000">
        <w:rPr>
          <w:sz w:val="22"/>
          <w:szCs w:val="22"/>
        </w:rPr>
        <w:t xml:space="preserve">Haberle, T. L., et al. (2024). The impact of Nuance DAX ambient listening AI documentation: A cohort study. </w:t>
      </w:r>
      <w:r w:rsidR="00000000">
        <w:rPr>
          <w:i/>
          <w:iCs/>
          <w:sz w:val="22"/>
          <w:szCs w:val="22"/>
        </w:rPr>
        <w:t>JAMIA Open</w:t>
      </w:r>
      <w:r w:rsidR="00000000">
        <w:rPr>
          <w:sz w:val="22"/>
          <w:szCs w:val="22"/>
        </w:rPr>
        <w:t>, 7(1), ooae015.</w:t>
      </w:r>
    </w:p>
    <w:p w14:paraId="365E3566" w14:textId="482D6A67" w:rsidR="004A41FB" w:rsidRDefault="006E7982" w:rsidP="006E7982">
      <w:pPr>
        <w:spacing w:after="80" w:line="276" w:lineRule="auto"/>
        <w:ind w:left="540" w:hanging="540"/>
        <w:jc w:val="both"/>
      </w:pPr>
      <w:r>
        <w:rPr>
          <w:sz w:val="22"/>
          <w:szCs w:val="22"/>
        </w:rPr>
        <w:t xml:space="preserve">[6]     </w:t>
      </w:r>
      <w:r w:rsidR="00000000">
        <w:rPr>
          <w:sz w:val="22"/>
          <w:szCs w:val="22"/>
        </w:rPr>
        <w:t xml:space="preserve">Lee, J., Yoon, W., Kim, S., Kim, D., Kim, S., So, C. H., &amp; Kang, J. (2020). </w:t>
      </w:r>
      <w:proofErr w:type="spellStart"/>
      <w:r w:rsidR="00000000">
        <w:rPr>
          <w:sz w:val="22"/>
          <w:szCs w:val="22"/>
        </w:rPr>
        <w:t>BioBERT</w:t>
      </w:r>
      <w:proofErr w:type="spellEnd"/>
      <w:r w:rsidR="00000000">
        <w:rPr>
          <w:sz w:val="22"/>
          <w:szCs w:val="22"/>
        </w:rPr>
        <w:t xml:space="preserve">: A pre-trained biomedical language representation model. </w:t>
      </w:r>
      <w:r w:rsidR="00000000">
        <w:rPr>
          <w:i/>
          <w:iCs/>
          <w:sz w:val="22"/>
          <w:szCs w:val="22"/>
        </w:rPr>
        <w:t>Bioinformatics</w:t>
      </w:r>
      <w:r w:rsidR="00000000">
        <w:rPr>
          <w:sz w:val="22"/>
          <w:szCs w:val="22"/>
        </w:rPr>
        <w:t>, 36(4), 1234–1240.</w:t>
      </w:r>
    </w:p>
    <w:p w14:paraId="573365EA" w14:textId="1157D0A8" w:rsidR="004A41FB" w:rsidRDefault="006E7982" w:rsidP="006E7982">
      <w:pPr>
        <w:spacing w:after="80" w:line="276" w:lineRule="auto"/>
        <w:ind w:left="540" w:hanging="540"/>
        <w:jc w:val="both"/>
      </w:pPr>
      <w:r>
        <w:rPr>
          <w:sz w:val="22"/>
          <w:szCs w:val="22"/>
        </w:rPr>
        <w:t xml:space="preserve">[7]    </w:t>
      </w:r>
      <w:r w:rsidR="00000000">
        <w:rPr>
          <w:sz w:val="22"/>
          <w:szCs w:val="22"/>
        </w:rPr>
        <w:t xml:space="preserve">Li, C., Wong, C., Zhang, S., et al. (2023). </w:t>
      </w:r>
      <w:proofErr w:type="spellStart"/>
      <w:r w:rsidR="00000000">
        <w:rPr>
          <w:sz w:val="22"/>
          <w:szCs w:val="22"/>
        </w:rPr>
        <w:t>LLaVA</w:t>
      </w:r>
      <w:proofErr w:type="spellEnd"/>
      <w:r w:rsidR="00000000">
        <w:rPr>
          <w:sz w:val="22"/>
          <w:szCs w:val="22"/>
        </w:rPr>
        <w:t xml:space="preserve">-Med: Training a large language-and-vision assistant for biomedicine. </w:t>
      </w:r>
      <w:r w:rsidR="00000000">
        <w:rPr>
          <w:i/>
          <w:iCs/>
          <w:sz w:val="22"/>
          <w:szCs w:val="22"/>
        </w:rPr>
        <w:t>Advances in Neural Information Processing Systems</w:t>
      </w:r>
      <w:r w:rsidR="00000000">
        <w:rPr>
          <w:sz w:val="22"/>
          <w:szCs w:val="22"/>
        </w:rPr>
        <w:t>, 36, 28541–28564.</w:t>
      </w:r>
    </w:p>
    <w:p w14:paraId="69D9B65F" w14:textId="60358629" w:rsidR="004A41FB" w:rsidRDefault="006E7982" w:rsidP="006E7982">
      <w:pPr>
        <w:spacing w:after="80" w:line="276" w:lineRule="auto"/>
        <w:ind w:left="540" w:hanging="540"/>
        <w:jc w:val="both"/>
      </w:pPr>
      <w:r>
        <w:rPr>
          <w:sz w:val="22"/>
          <w:szCs w:val="22"/>
        </w:rPr>
        <w:t xml:space="preserve">[8] </w:t>
      </w:r>
      <w:proofErr w:type="spellStart"/>
      <w:r w:rsidR="00000000">
        <w:rPr>
          <w:sz w:val="22"/>
          <w:szCs w:val="22"/>
        </w:rPr>
        <w:t>MarketsandMarkets</w:t>
      </w:r>
      <w:proofErr w:type="spellEnd"/>
      <w:r w:rsidR="00000000">
        <w:rPr>
          <w:sz w:val="22"/>
          <w:szCs w:val="22"/>
        </w:rPr>
        <w:t xml:space="preserve">. (2025). </w:t>
      </w:r>
      <w:r w:rsidR="00000000">
        <w:rPr>
          <w:i/>
          <w:iCs/>
          <w:sz w:val="22"/>
          <w:szCs w:val="22"/>
        </w:rPr>
        <w:t>NLP in healthcare and life sciences market report 2025–2030</w:t>
      </w:r>
      <w:r w:rsidR="00000000">
        <w:rPr>
          <w:sz w:val="22"/>
          <w:szCs w:val="22"/>
        </w:rPr>
        <w:t>. https://www.marketsandmarkets.com/</w:t>
      </w:r>
    </w:p>
    <w:p w14:paraId="603637B9" w14:textId="6FA0BBE0" w:rsidR="004A41FB" w:rsidRDefault="006E7982" w:rsidP="006E7982">
      <w:pPr>
        <w:spacing w:after="80" w:line="276" w:lineRule="auto"/>
        <w:ind w:left="540" w:hanging="540"/>
        <w:jc w:val="both"/>
      </w:pPr>
      <w:r>
        <w:rPr>
          <w:sz w:val="22"/>
          <w:szCs w:val="22"/>
        </w:rPr>
        <w:t>[9</w:t>
      </w:r>
      <w:proofErr w:type="gramStart"/>
      <w:r>
        <w:rPr>
          <w:sz w:val="22"/>
          <w:szCs w:val="22"/>
        </w:rPr>
        <w:t xml:space="preserve">]  </w:t>
      </w:r>
      <w:r>
        <w:rPr>
          <w:sz w:val="22"/>
          <w:szCs w:val="22"/>
        </w:rPr>
        <w:tab/>
      </w:r>
      <w:proofErr w:type="gramEnd"/>
      <w:r w:rsidR="00000000">
        <w:rPr>
          <w:sz w:val="22"/>
          <w:szCs w:val="22"/>
        </w:rPr>
        <w:t xml:space="preserve">McKinsey &amp; Company. (2024). </w:t>
      </w:r>
      <w:r w:rsidR="00000000">
        <w:rPr>
          <w:i/>
          <w:iCs/>
          <w:sz w:val="22"/>
          <w:szCs w:val="22"/>
        </w:rPr>
        <w:t>The potential of AI in healthcare payment integrity</w:t>
      </w:r>
      <w:r w:rsidR="00000000">
        <w:rPr>
          <w:sz w:val="22"/>
          <w:szCs w:val="22"/>
        </w:rPr>
        <w:t>. McKinsey &amp; Company.</w:t>
      </w:r>
    </w:p>
    <w:p w14:paraId="1B048C8D" w14:textId="388DA2D2" w:rsidR="004A41FB" w:rsidRDefault="006E7982" w:rsidP="006E7982">
      <w:pPr>
        <w:spacing w:after="80" w:line="276" w:lineRule="auto"/>
        <w:ind w:left="540" w:hanging="540"/>
        <w:jc w:val="both"/>
      </w:pPr>
      <w:r>
        <w:rPr>
          <w:sz w:val="22"/>
          <w:szCs w:val="22"/>
        </w:rPr>
        <w:t>[10</w:t>
      </w:r>
      <w:proofErr w:type="gramStart"/>
      <w:r>
        <w:rPr>
          <w:sz w:val="22"/>
          <w:szCs w:val="22"/>
        </w:rPr>
        <w:t xml:space="preserve">]  </w:t>
      </w:r>
      <w:r>
        <w:rPr>
          <w:sz w:val="22"/>
          <w:szCs w:val="22"/>
        </w:rPr>
        <w:tab/>
      </w:r>
      <w:proofErr w:type="gramEnd"/>
      <w:r w:rsidR="00000000">
        <w:rPr>
          <w:sz w:val="22"/>
          <w:szCs w:val="22"/>
        </w:rPr>
        <w:t xml:space="preserve">Murdoch, T. B., &amp; Detsky, A. S. (2013). The inevitable application of big data to health care. </w:t>
      </w:r>
      <w:r w:rsidR="00000000">
        <w:rPr>
          <w:i/>
          <w:iCs/>
          <w:sz w:val="22"/>
          <w:szCs w:val="22"/>
        </w:rPr>
        <w:t>JAMA</w:t>
      </w:r>
      <w:r w:rsidR="00000000">
        <w:rPr>
          <w:sz w:val="22"/>
          <w:szCs w:val="22"/>
        </w:rPr>
        <w:t>, 309(13), 1351–1352.</w:t>
      </w:r>
    </w:p>
    <w:p w14:paraId="1890B69F" w14:textId="2CAC2D8E" w:rsidR="004A41FB" w:rsidRDefault="006E7982" w:rsidP="006E7982">
      <w:pPr>
        <w:spacing w:after="80" w:line="276" w:lineRule="auto"/>
        <w:ind w:left="540" w:hanging="540"/>
        <w:jc w:val="both"/>
      </w:pPr>
      <w:r>
        <w:rPr>
          <w:sz w:val="22"/>
          <w:szCs w:val="22"/>
        </w:rPr>
        <w:t xml:space="preserve">[11]   </w:t>
      </w:r>
      <w:r>
        <w:rPr>
          <w:sz w:val="22"/>
          <w:szCs w:val="22"/>
        </w:rPr>
        <w:tab/>
      </w:r>
      <w:r w:rsidR="00000000">
        <w:rPr>
          <w:sz w:val="22"/>
          <w:szCs w:val="22"/>
        </w:rPr>
        <w:t xml:space="preserve">Saab, K., Tu, T., Weng, W.-H., et al. (2024). Capabilities of Gemini models in medicine. </w:t>
      </w:r>
      <w:proofErr w:type="spellStart"/>
      <w:r w:rsidR="00000000">
        <w:rPr>
          <w:i/>
          <w:iCs/>
          <w:sz w:val="22"/>
          <w:szCs w:val="22"/>
        </w:rPr>
        <w:t>arXiv</w:t>
      </w:r>
      <w:proofErr w:type="spellEnd"/>
      <w:r w:rsidR="00000000">
        <w:rPr>
          <w:i/>
          <w:iCs/>
          <w:sz w:val="22"/>
          <w:szCs w:val="22"/>
        </w:rPr>
        <w:t xml:space="preserve"> preprint</w:t>
      </w:r>
      <w:r w:rsidR="00000000">
        <w:rPr>
          <w:sz w:val="22"/>
          <w:szCs w:val="22"/>
        </w:rPr>
        <w:t>, arXiv:2404.18416.</w:t>
      </w:r>
    </w:p>
    <w:p w14:paraId="02BAAA7D" w14:textId="645C5D33" w:rsidR="004A41FB" w:rsidRDefault="006E7982" w:rsidP="006E7982">
      <w:pPr>
        <w:spacing w:after="80" w:line="276" w:lineRule="auto"/>
        <w:ind w:left="540" w:hanging="540"/>
        <w:jc w:val="both"/>
      </w:pPr>
      <w:r>
        <w:rPr>
          <w:sz w:val="22"/>
          <w:szCs w:val="22"/>
        </w:rPr>
        <w:t xml:space="preserve">[12]   </w:t>
      </w:r>
      <w:r>
        <w:rPr>
          <w:sz w:val="22"/>
          <w:szCs w:val="22"/>
        </w:rPr>
        <w:tab/>
      </w:r>
      <w:r w:rsidR="00000000">
        <w:rPr>
          <w:sz w:val="22"/>
          <w:szCs w:val="22"/>
        </w:rPr>
        <w:t xml:space="preserve">Savova, G. K., Masanz, J. J., Ogren, P. V., et al. (2010). Mayo </w:t>
      </w:r>
      <w:proofErr w:type="spellStart"/>
      <w:r w:rsidR="00000000">
        <w:rPr>
          <w:sz w:val="22"/>
          <w:szCs w:val="22"/>
        </w:rPr>
        <w:t>cTAKES</w:t>
      </w:r>
      <w:proofErr w:type="spellEnd"/>
      <w:r w:rsidR="00000000">
        <w:rPr>
          <w:sz w:val="22"/>
          <w:szCs w:val="22"/>
        </w:rPr>
        <w:t xml:space="preserve">: Architecture, component evaluation and applications. </w:t>
      </w:r>
      <w:r w:rsidR="00000000">
        <w:rPr>
          <w:i/>
          <w:iCs/>
          <w:sz w:val="22"/>
          <w:szCs w:val="22"/>
        </w:rPr>
        <w:t>Journal of the American Medical Informatics Association</w:t>
      </w:r>
      <w:r w:rsidR="00000000">
        <w:rPr>
          <w:sz w:val="22"/>
          <w:szCs w:val="22"/>
        </w:rPr>
        <w:t>, 17(5), 507–513.</w:t>
      </w:r>
    </w:p>
    <w:p w14:paraId="4E2B1DC7" w14:textId="46706BB5" w:rsidR="004A41FB" w:rsidRDefault="006E7982" w:rsidP="006E7982">
      <w:pPr>
        <w:spacing w:after="80" w:line="276" w:lineRule="auto"/>
        <w:ind w:left="540" w:hanging="540"/>
        <w:jc w:val="both"/>
      </w:pPr>
      <w:r>
        <w:rPr>
          <w:sz w:val="22"/>
          <w:szCs w:val="22"/>
        </w:rPr>
        <w:t xml:space="preserve">[13]   </w:t>
      </w:r>
      <w:r>
        <w:rPr>
          <w:sz w:val="22"/>
          <w:szCs w:val="22"/>
        </w:rPr>
        <w:tab/>
      </w:r>
      <w:r w:rsidR="00000000">
        <w:rPr>
          <w:sz w:val="22"/>
          <w:szCs w:val="22"/>
        </w:rPr>
        <w:t xml:space="preserve">Singhal, K., Azizi, S., Tu, T., et al. (2023). Large language models encode clinical knowledge. </w:t>
      </w:r>
      <w:r w:rsidR="00000000">
        <w:rPr>
          <w:i/>
          <w:iCs/>
          <w:sz w:val="22"/>
          <w:szCs w:val="22"/>
        </w:rPr>
        <w:t>Nature</w:t>
      </w:r>
      <w:r w:rsidR="00000000">
        <w:rPr>
          <w:sz w:val="22"/>
          <w:szCs w:val="22"/>
        </w:rPr>
        <w:t>, 620(7972), 172–180.</w:t>
      </w:r>
    </w:p>
    <w:p w14:paraId="6722471D" w14:textId="61E0D418" w:rsidR="004A41FB" w:rsidRDefault="006E7982" w:rsidP="006E7982">
      <w:pPr>
        <w:spacing w:after="80" w:line="276" w:lineRule="auto"/>
        <w:ind w:left="540" w:hanging="540"/>
        <w:jc w:val="both"/>
      </w:pPr>
      <w:r>
        <w:rPr>
          <w:sz w:val="22"/>
          <w:szCs w:val="22"/>
        </w:rPr>
        <w:t>[14</w:t>
      </w:r>
      <w:proofErr w:type="gramStart"/>
      <w:r>
        <w:rPr>
          <w:sz w:val="22"/>
          <w:szCs w:val="22"/>
        </w:rPr>
        <w:t xml:space="preserve">]  </w:t>
      </w:r>
      <w:r>
        <w:rPr>
          <w:sz w:val="22"/>
          <w:szCs w:val="22"/>
        </w:rPr>
        <w:tab/>
      </w:r>
      <w:proofErr w:type="gramEnd"/>
      <w:r w:rsidR="00000000">
        <w:rPr>
          <w:sz w:val="22"/>
          <w:szCs w:val="22"/>
        </w:rPr>
        <w:t xml:space="preserve">Wendt, S. J., Dinh, C. T., Sutcliffe, M., et al. (2025). Deploying ambient clinical intelligence to improve care. </w:t>
      </w:r>
      <w:r w:rsidR="00000000">
        <w:rPr>
          <w:i/>
          <w:iCs/>
          <w:sz w:val="22"/>
          <w:szCs w:val="22"/>
        </w:rPr>
        <w:t>Future Healthcare Journal</w:t>
      </w:r>
      <w:r w:rsidR="00000000">
        <w:rPr>
          <w:sz w:val="22"/>
          <w:szCs w:val="22"/>
        </w:rPr>
        <w:t>, 12, 100450.</w:t>
      </w:r>
    </w:p>
    <w:sectPr w:rsidR="004A41FB" w:rsidSect="006E7982">
      <w:type w:val="continuous"/>
      <w:pgSz w:w="12240" w:h="15840"/>
      <w:pgMar w:top="1440" w:right="1440" w:bottom="1440" w:left="1440" w:header="708" w:footer="708"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4F98AC" w14:textId="77777777" w:rsidR="00F56517" w:rsidRDefault="00F56517">
      <w:r>
        <w:separator/>
      </w:r>
    </w:p>
  </w:endnote>
  <w:endnote w:type="continuationSeparator" w:id="0">
    <w:p w14:paraId="36016700" w14:textId="77777777" w:rsidR="00F56517" w:rsidRDefault="00F565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0B051" w14:textId="77777777" w:rsidR="00F56517" w:rsidRDefault="00F56517">
      <w:r>
        <w:separator/>
      </w:r>
    </w:p>
  </w:footnote>
  <w:footnote w:type="continuationSeparator" w:id="0">
    <w:p w14:paraId="52DB7485" w14:textId="77777777" w:rsidR="00F56517" w:rsidRDefault="00F565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E2AD1"/>
    <w:multiLevelType w:val="hybridMultilevel"/>
    <w:tmpl w:val="C12A05B4"/>
    <w:lvl w:ilvl="0" w:tplc="0E763140">
      <w:start w:val="1"/>
      <w:numFmt w:val="bullet"/>
      <w:lvlText w:val="●"/>
      <w:lvlJc w:val="left"/>
      <w:pPr>
        <w:ind w:left="720" w:hanging="360"/>
      </w:pPr>
    </w:lvl>
    <w:lvl w:ilvl="1" w:tplc="B24A6FB6">
      <w:start w:val="1"/>
      <w:numFmt w:val="bullet"/>
      <w:lvlText w:val="○"/>
      <w:lvlJc w:val="left"/>
      <w:pPr>
        <w:ind w:left="1440" w:hanging="360"/>
      </w:pPr>
    </w:lvl>
    <w:lvl w:ilvl="2" w:tplc="F2BCBB4A">
      <w:start w:val="1"/>
      <w:numFmt w:val="bullet"/>
      <w:lvlText w:val="■"/>
      <w:lvlJc w:val="left"/>
      <w:pPr>
        <w:ind w:left="2160" w:hanging="360"/>
      </w:pPr>
    </w:lvl>
    <w:lvl w:ilvl="3" w:tplc="B8260FE2">
      <w:start w:val="1"/>
      <w:numFmt w:val="bullet"/>
      <w:lvlText w:val="●"/>
      <w:lvlJc w:val="left"/>
      <w:pPr>
        <w:ind w:left="2880" w:hanging="360"/>
      </w:pPr>
    </w:lvl>
    <w:lvl w:ilvl="4" w:tplc="8C96BAD2">
      <w:start w:val="1"/>
      <w:numFmt w:val="bullet"/>
      <w:lvlText w:val="○"/>
      <w:lvlJc w:val="left"/>
      <w:pPr>
        <w:ind w:left="3600" w:hanging="360"/>
      </w:pPr>
    </w:lvl>
    <w:lvl w:ilvl="5" w:tplc="BC1033FA">
      <w:start w:val="1"/>
      <w:numFmt w:val="bullet"/>
      <w:lvlText w:val="■"/>
      <w:lvlJc w:val="left"/>
      <w:pPr>
        <w:ind w:left="4320" w:hanging="360"/>
      </w:pPr>
    </w:lvl>
    <w:lvl w:ilvl="6" w:tplc="524A77F8">
      <w:start w:val="1"/>
      <w:numFmt w:val="bullet"/>
      <w:lvlText w:val="●"/>
      <w:lvlJc w:val="left"/>
      <w:pPr>
        <w:ind w:left="5040" w:hanging="360"/>
      </w:pPr>
    </w:lvl>
    <w:lvl w:ilvl="7" w:tplc="FA1CA198">
      <w:start w:val="1"/>
      <w:numFmt w:val="bullet"/>
      <w:lvlText w:val="●"/>
      <w:lvlJc w:val="left"/>
      <w:pPr>
        <w:ind w:left="5760" w:hanging="360"/>
      </w:pPr>
    </w:lvl>
    <w:lvl w:ilvl="8" w:tplc="ADD43734">
      <w:start w:val="1"/>
      <w:numFmt w:val="bullet"/>
      <w:lvlText w:val="●"/>
      <w:lvlJc w:val="left"/>
      <w:pPr>
        <w:ind w:left="6480" w:hanging="360"/>
      </w:pPr>
    </w:lvl>
  </w:abstractNum>
  <w:abstractNum w:abstractNumId="1" w15:restartNumberingAfterBreak="0">
    <w:nsid w:val="40640873"/>
    <w:multiLevelType w:val="hybridMultilevel"/>
    <w:tmpl w:val="B2E0D6C0"/>
    <w:lvl w:ilvl="0" w:tplc="B9DE2F16">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67414062">
    <w:abstractNumId w:val="0"/>
    <w:lvlOverride w:ilvl="0">
      <w:startOverride w:val="1"/>
    </w:lvlOverride>
  </w:num>
  <w:num w:numId="2" w16cid:durableId="12132740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1FB"/>
    <w:rsid w:val="004A41FB"/>
    <w:rsid w:val="005E2AB7"/>
    <w:rsid w:val="006E7982"/>
    <w:rsid w:val="00B76C54"/>
    <w:rsid w:val="00F565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67ED1"/>
  <w15:docId w15:val="{81D71717-EDAB-4461-B6F2-0E2A6EA21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E7982"/>
    <w:pPr>
      <w:tabs>
        <w:tab w:val="center" w:pos="4513"/>
        <w:tab w:val="right" w:pos="9026"/>
      </w:tabs>
    </w:pPr>
  </w:style>
  <w:style w:type="character" w:customStyle="1" w:styleId="HeaderChar">
    <w:name w:val="Header Char"/>
    <w:basedOn w:val="DefaultParagraphFont"/>
    <w:link w:val="Header"/>
    <w:uiPriority w:val="99"/>
    <w:rsid w:val="006E7982"/>
  </w:style>
  <w:style w:type="paragraph" w:styleId="Footer">
    <w:name w:val="footer"/>
    <w:basedOn w:val="Normal"/>
    <w:link w:val="FooterChar"/>
    <w:uiPriority w:val="99"/>
    <w:unhideWhenUsed/>
    <w:rsid w:val="006E7982"/>
    <w:pPr>
      <w:tabs>
        <w:tab w:val="center" w:pos="4513"/>
        <w:tab w:val="right" w:pos="9026"/>
      </w:tabs>
    </w:pPr>
  </w:style>
  <w:style w:type="character" w:customStyle="1" w:styleId="FooterChar">
    <w:name w:val="Footer Char"/>
    <w:basedOn w:val="DefaultParagraphFont"/>
    <w:link w:val="Footer"/>
    <w:uiPriority w:val="99"/>
    <w:rsid w:val="006E79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1216</Words>
  <Characters>6937</Characters>
  <Application>Microsoft Office Word</Application>
  <DocSecurity>0</DocSecurity>
  <Lines>57</Lines>
  <Paragraphs>16</Paragraphs>
  <ScaleCrop>false</ScaleCrop>
  <Company/>
  <LinksUpToDate>false</LinksUpToDate>
  <CharactersWithSpaces>8137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Choughule</cp:lastModifiedBy>
  <cp:revision>3</cp:revision>
  <dcterms:created xsi:type="dcterms:W3CDTF">2026-06-27T20:45:00Z</dcterms:created>
  <dcterms:modified xsi:type="dcterms:W3CDTF">2026-06-30T07:50:00Z</dcterms:modified>
</cp:coreProperties>
</file>