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3bjoy98bw0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Relational Model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6cl3yijll8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Danielle Park, Gaurav Gulati, Rhett Bramfield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of Science, University of Calgary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CPSC 471: Database Management System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Reda Alhajj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26, 2025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-833437</wp:posOffset>
            </wp:positionH>
            <wp:positionV relativeFrom="paragraph">
              <wp:posOffset>276225</wp:posOffset>
            </wp:positionV>
            <wp:extent cx="7310438" cy="70008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700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660563</wp:posOffset>
            </wp:positionH>
            <wp:positionV relativeFrom="page">
              <wp:posOffset>2133600</wp:posOffset>
            </wp:positionV>
            <wp:extent cx="6025008" cy="46339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008" cy="4633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Below is the EERD Diagram for our model ( Fixed as per instructions received in the feedback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z53n3yzkch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Summary of Design Assumptions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(The assumptions are the same as in previous submissions.)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Weak Entity Designation: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Appointment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designated as a weak entity. Although it has an AppointmentID, it is contextually dependent on the Patient who books the appointment (and potentially the DoctorSchedule slot) for complete identification.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of Clinical Operations: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integrates appointment scheduling, medical record keeping, prescription management, and billing, ensuring a comprehensive approach to clinic management.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Clear Role Separation: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distinct end-user roles are defined (Patients and Clinic Staff) to ensure appropriate access and operations management within the system.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