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320" w:line="288" w:lineRule="auto"/>
        <w:contextualSpacing w:val="0"/>
        <w:rPr>
          <w:rFonts w:ascii="Proxima Nova" w:cs="Proxima Nova" w:eastAsia="Proxima Nova" w:hAnsi="Proxima Nova"/>
          <w:b w:val="1"/>
          <w:color w:val="000000"/>
        </w:rPr>
      </w:pPr>
      <w:r w:rsidDel="00000000" w:rsidR="00000000" w:rsidRPr="00000000">
        <w:rPr>
          <w:b w:val="1"/>
          <w:color w:val="000000"/>
          <w:rtl w:val="0"/>
        </w:rPr>
        <w:t xml:space="preserve">Rishipal Yadav</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color w:val="000000"/>
        </w:rPr>
      </w:pPr>
      <w:r w:rsidDel="00000000" w:rsidR="00000000" w:rsidRPr="00000000">
        <w:rPr>
          <w:color w:val="000000"/>
          <w:rtl w:val="0"/>
        </w:rPr>
        <w:t xml:space="preserve">U15CO036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000000"/>
        </w:rPr>
      </w:pPr>
      <w:r w:rsidDel="00000000" w:rsidR="00000000" w:rsidRPr="00000000">
        <w:rPr>
          <w:color w:val="000000"/>
          <w:rtl w:val="0"/>
        </w:rPr>
        <w:t xml:space="preserve">Computer Engineering Dept.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000000"/>
        </w:rPr>
      </w:pPr>
      <w:r w:rsidDel="00000000" w:rsidR="00000000" w:rsidRPr="00000000">
        <w:rPr>
          <w:color w:val="000000"/>
          <w:rtl w:val="0"/>
        </w:rPr>
        <w:t xml:space="preserve">SVNIT, Surat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000000"/>
        </w:rPr>
      </w:pPr>
      <w:r w:rsidDel="00000000" w:rsidR="00000000" w:rsidRPr="00000000">
        <w:rPr>
          <w:color w:val="000000"/>
          <w:rtl w:val="0"/>
        </w:rPr>
        <w:t xml:space="preserve">yadav.rishipal001@gmail.com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80" w:line="360" w:lineRule="auto"/>
        <w:contextualSpacing w:val="0"/>
        <w:rPr>
          <w:rFonts w:ascii="Proxima Nova" w:cs="Proxima Nova" w:eastAsia="Proxima Nova" w:hAnsi="Proxima Nova"/>
          <w:color w:val="000000"/>
        </w:rPr>
      </w:pPr>
      <w:r w:rsidDel="00000000" w:rsidR="00000000" w:rsidRPr="00000000">
        <w:rPr>
          <w:color w:val="000000"/>
          <w:rtl w:val="0"/>
        </w:rPr>
        <w:t xml:space="preserve">9th March, 2018</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320" w:line="288" w:lineRule="auto"/>
        <w:contextualSpacing w:val="0"/>
        <w:rPr>
          <w:rFonts w:ascii="Proxima Nova" w:cs="Proxima Nova" w:eastAsia="Proxima Nova" w:hAnsi="Proxima Nova"/>
          <w:b w:val="1"/>
          <w:color w:val="000000"/>
        </w:rPr>
      </w:pPr>
      <w:r w:rsidDel="00000000" w:rsidR="00000000" w:rsidRPr="00000000">
        <w:rPr>
          <w:b w:val="1"/>
          <w:color w:val="000000"/>
          <w:rtl w:val="0"/>
        </w:rPr>
        <w:t xml:space="preserve">Dr. R. A. Christian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000000"/>
        </w:rPr>
      </w:pPr>
      <w:r w:rsidDel="00000000" w:rsidR="00000000" w:rsidRPr="00000000">
        <w:rPr>
          <w:color w:val="000000"/>
          <w:rtl w:val="0"/>
        </w:rPr>
        <w:t xml:space="preserve">Dean Student Welfare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contextualSpacing w:val="0"/>
        <w:rPr>
          <w:color w:val="000000"/>
        </w:rPr>
      </w:pPr>
      <w:r w:rsidDel="00000000" w:rsidR="00000000" w:rsidRPr="00000000">
        <w:rPr>
          <w:color w:val="000000"/>
          <w:rtl w:val="0"/>
        </w:rPr>
        <w:t xml:space="preserve">SVNIT, Surat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contextualSpacing w:val="0"/>
        <w:rPr>
          <w:color w:val="000000"/>
        </w:rPr>
      </w:pPr>
      <w:r w:rsidDel="00000000" w:rsidR="00000000" w:rsidRPr="00000000">
        <w:rPr>
          <w:b w:val="1"/>
          <w:color w:val="000000"/>
          <w:rtl w:val="0"/>
        </w:rPr>
        <w:t xml:space="preserve">Subject: </w:t>
      </w:r>
      <w:r w:rsidDel="00000000" w:rsidR="00000000" w:rsidRPr="00000000">
        <w:rPr>
          <w:color w:val="000000"/>
          <w:rtl w:val="0"/>
        </w:rPr>
        <w:t xml:space="preserve">Formation of New Student Chapter - TEDxSVNIT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800" w:line="288" w:lineRule="auto"/>
        <w:contextualSpacing w:val="0"/>
        <w:rPr>
          <w:rFonts w:ascii="Proxima Nova" w:cs="Proxima Nova" w:eastAsia="Proxima Nova" w:hAnsi="Proxima Nova"/>
          <w:color w:val="000000"/>
        </w:rPr>
      </w:pPr>
      <w:r w:rsidDel="00000000" w:rsidR="00000000" w:rsidRPr="00000000">
        <w:rPr>
          <w:color w:val="000000"/>
          <w:rtl w:val="0"/>
        </w:rPr>
        <w:t xml:space="preserve">Respected Sir</w:t>
      </w:r>
      <w:r w:rsidDel="00000000" w:rsidR="00000000" w:rsidRPr="00000000">
        <w:rPr>
          <w:rFonts w:ascii="Proxima Nova" w:cs="Proxima Nova" w:eastAsia="Proxima Nova" w:hAnsi="Proxima Nova"/>
          <w:color w:val="0000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right="-1815"/>
        <w:contextualSpacing w:val="0"/>
        <w:rPr>
          <w:rFonts w:ascii="Proxima Nova" w:cs="Proxima Nova" w:eastAsia="Proxima Nova" w:hAnsi="Proxima Nova"/>
          <w:color w:val="000000"/>
        </w:rPr>
      </w:pPr>
      <w:r w:rsidDel="00000000" w:rsidR="00000000" w:rsidRPr="00000000">
        <w:rPr>
          <w:color w:val="000000"/>
          <w:rtl w:val="0"/>
        </w:rPr>
        <w:t xml:space="preserve">We, the students of SVNIT want to start a new student chapter to spread multidisciplinary ideas as well as root ideas of innovation and ignite the spark of ‘out of box thinking’ in our college.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ind w:right="-1815"/>
        <w:contextualSpacing w:val="0"/>
        <w:rPr>
          <w:rFonts w:ascii="Proxima Nova" w:cs="Proxima Nova" w:eastAsia="Proxima Nova" w:hAnsi="Proxima Nova"/>
          <w:color w:val="000000"/>
        </w:rPr>
      </w:pPr>
      <w:r w:rsidDel="00000000" w:rsidR="00000000" w:rsidRPr="00000000">
        <w:rPr>
          <w:color w:val="000000"/>
          <w:rtl w:val="0"/>
        </w:rPr>
        <w:t xml:space="preserve">This student chapter will work in the name of TED, a non profit organisation committed to spread ideas and host an annual flagship event, TEDxSVNIT every year. The main work of this chapter would be to invite such speakers who have done extraordinary work in their domain. They would deliver a talk and interact with the TED community of the college.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88" w:lineRule="auto"/>
        <w:ind w:right="-1815"/>
        <w:contextualSpacing w:val="0"/>
        <w:rPr>
          <w:rFonts w:ascii="Proxima Nova" w:cs="Proxima Nova" w:eastAsia="Proxima Nova" w:hAnsi="Proxima Nova"/>
          <w:color w:val="000000"/>
        </w:rPr>
      </w:pPr>
      <w:r w:rsidDel="00000000" w:rsidR="00000000" w:rsidRPr="00000000">
        <w:rPr>
          <w:color w:val="000000"/>
          <w:rtl w:val="0"/>
        </w:rPr>
        <w:t xml:space="preserve">It is requested to note that Dr. Vipul Kheraj (HoD, Department of Applied Physics) has consented to be the faculty advisor and mentor for all activities under TEDxSVNIT student chapter.</w:t>
      </w:r>
      <w:r w:rsidDel="00000000" w:rsidR="00000000" w:rsidRPr="00000000">
        <w:rPr>
          <w:rtl w:val="0"/>
        </w:rPr>
      </w:r>
    </w:p>
    <w:p w:rsidR="00000000" w:rsidDel="00000000" w:rsidP="00000000" w:rsidRDefault="00000000" w:rsidRPr="00000000" w14:paraId="0000000F">
      <w:pPr>
        <w:keepNext w:val="0"/>
        <w:keepLines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pBdr>
          <w:top w:space="0" w:sz="0" w:val="nil"/>
          <w:left w:space="0" w:sz="0" w:val="nil"/>
          <w:bottom w:space="0" w:sz="0" w:val="nil"/>
          <w:right w:space="0" w:sz="0" w:val="nil"/>
          <w:between w:space="0" w:sz="0" w:val="nil"/>
        </w:pBdr>
        <w:shd w:fill="auto" w:val="clear"/>
        <w:ind w:right="-1815"/>
        <w:contextualSpacing w:val="0"/>
        <w:rPr>
          <w:color w:val="000000"/>
        </w:rPr>
      </w:pPr>
      <w:r w:rsidDel="00000000" w:rsidR="00000000" w:rsidRPr="00000000">
        <w:rPr>
          <w:color w:val="000000"/>
          <w:rtl w:val="0"/>
        </w:rPr>
        <w:t xml:space="preserve">Sincerely,     </w:t>
        <w:tab/>
        <w:tab/>
        <w:tab/>
        <w:tab/>
        <w:tab/>
        <w:tab/>
        <w:tab/>
        <w:tab/>
        <w:tab/>
        <w:t xml:space="preserve">Faculty Advisor </w:t>
      </w:r>
    </w:p>
    <w:p w:rsidR="00000000" w:rsidDel="00000000" w:rsidP="00000000" w:rsidRDefault="00000000" w:rsidRPr="00000000" w14:paraId="00000012">
      <w:pPr>
        <w:ind w:right="-1815"/>
        <w:contextualSpacing w:val="0"/>
        <w:rPr>
          <w:b w:val="1"/>
          <w:color w:val="000000"/>
          <w:sz w:val="28"/>
          <w:szCs w:val="28"/>
        </w:rPr>
      </w:pPr>
      <w:r w:rsidDel="00000000" w:rsidR="00000000" w:rsidRPr="00000000">
        <w:rPr>
          <w:b w:val="1"/>
          <w:color w:val="000000"/>
          <w:sz w:val="28"/>
          <w:szCs w:val="28"/>
          <w:rtl w:val="0"/>
        </w:rPr>
        <w:t xml:space="preserve">Rishipal Yadav</w:t>
      </w:r>
      <w:r w:rsidDel="00000000" w:rsidR="00000000" w:rsidRPr="00000000">
        <w:rPr>
          <w:color w:val="000000"/>
          <w:rtl w:val="0"/>
        </w:rPr>
        <w:t xml:space="preserve">  </w:t>
        <w:tab/>
        <w:tab/>
        <w:tab/>
        <w:tab/>
        <w:tab/>
        <w:tab/>
        <w:tab/>
        <w:tab/>
      </w:r>
      <w:r w:rsidDel="00000000" w:rsidR="00000000" w:rsidRPr="00000000">
        <w:rPr>
          <w:b w:val="1"/>
          <w:color w:val="000000"/>
          <w:sz w:val="28"/>
          <w:szCs w:val="28"/>
          <w:rtl w:val="0"/>
        </w:rPr>
        <w:t xml:space="preserve">Dr. Vipul Kheraj</w:t>
      </w:r>
    </w:p>
    <w:p w:rsidR="00000000" w:rsidDel="00000000" w:rsidP="00000000" w:rsidRDefault="00000000" w:rsidRPr="00000000" w14:paraId="00000013">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14">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15">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16">
      <w:pPr>
        <w:contextualSpacing w:val="0"/>
        <w:rPr>
          <w:b w:val="1"/>
          <w:color w:val="000000"/>
        </w:rPr>
      </w:pPr>
      <w:r w:rsidDel="00000000" w:rsidR="00000000" w:rsidRPr="00000000">
        <w:rPr>
          <w:rtl w:val="0"/>
        </w:rPr>
      </w:r>
    </w:p>
    <w:p w:rsidR="00000000" w:rsidDel="00000000" w:rsidP="00000000" w:rsidRDefault="00000000" w:rsidRPr="00000000" w14:paraId="00000017">
      <w:pPr>
        <w:contextualSpacing w:val="0"/>
        <w:rPr>
          <w:b w:val="1"/>
          <w:color w:val="000000"/>
          <w:sz w:val="24"/>
          <w:szCs w:val="24"/>
        </w:rPr>
      </w:pPr>
      <w:r w:rsidDel="00000000" w:rsidR="00000000" w:rsidRPr="00000000">
        <w:rPr>
          <w:rtl w:val="0"/>
        </w:rPr>
      </w:r>
    </w:p>
    <w:p w:rsidR="00000000" w:rsidDel="00000000" w:rsidP="00000000" w:rsidRDefault="00000000" w:rsidRPr="00000000" w14:paraId="00000018">
      <w:pPr>
        <w:contextualSpacing w:val="0"/>
        <w:rPr>
          <w:b w:val="1"/>
          <w:color w:val="000000"/>
          <w:sz w:val="28"/>
          <w:szCs w:val="28"/>
        </w:rPr>
      </w:pPr>
      <w:r w:rsidDel="00000000" w:rsidR="00000000" w:rsidRPr="00000000">
        <w:rPr>
          <w:b w:val="1"/>
          <w:color w:val="000000"/>
          <w:sz w:val="28"/>
          <w:szCs w:val="28"/>
          <w:rtl w:val="0"/>
        </w:rPr>
        <w:t xml:space="preserve">Objective of the Student Chapter:</w:t>
      </w:r>
    </w:p>
    <w:p w:rsidR="00000000" w:rsidDel="00000000" w:rsidP="00000000" w:rsidRDefault="00000000" w:rsidRPr="00000000" w14:paraId="00000019">
      <w:pPr>
        <w:ind w:right="-1815"/>
        <w:contextualSpacing w:val="0"/>
        <w:rPr>
          <w:b w:val="1"/>
          <w:color w:val="000000"/>
          <w:sz w:val="28"/>
          <w:szCs w:val="28"/>
        </w:rPr>
      </w:pPr>
      <w:r w:rsidDel="00000000" w:rsidR="00000000" w:rsidRPr="00000000">
        <w:rPr>
          <w:rFonts w:ascii="Arial" w:cs="Arial" w:eastAsia="Arial" w:hAnsi="Arial"/>
          <w:color w:val="000000"/>
          <w:highlight w:val="white"/>
          <w:rtl w:val="0"/>
        </w:rPr>
        <w:t xml:space="preserve">The objective of starting the TEDxSVNIT is to bring out the best lessons, ideas, innovations and experiences under one roof by inviting people who have worked extraordinary in their respective domain and can impart knowledge and ignite ideas.</w:t>
      </w:r>
      <w:r w:rsidDel="00000000" w:rsidR="00000000" w:rsidRPr="00000000">
        <w:rPr>
          <w:rtl w:val="0"/>
        </w:rPr>
      </w:r>
    </w:p>
    <w:p w:rsidR="00000000" w:rsidDel="00000000" w:rsidP="00000000" w:rsidRDefault="00000000" w:rsidRPr="00000000" w14:paraId="0000001A">
      <w:pPr>
        <w:contextualSpacing w:val="0"/>
        <w:rPr>
          <w:b w:val="1"/>
          <w:color w:val="000000"/>
          <w:sz w:val="28"/>
          <w:szCs w:val="28"/>
        </w:rPr>
      </w:pPr>
      <w:r w:rsidDel="00000000" w:rsidR="00000000" w:rsidRPr="00000000">
        <w:rPr>
          <w:b w:val="1"/>
          <w:color w:val="000000"/>
          <w:sz w:val="28"/>
          <w:szCs w:val="28"/>
          <w:rtl w:val="0"/>
        </w:rPr>
        <w:t xml:space="preserve">About TED: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TED is a nonprofit organization devoted to “Ideas Worth Spreading”. Started as a four-day conference in California 30 years ago, TED has grown to support its mission with multiple initiatives. The two annual TED Conferences invite the world’s leading thinkers and doers to speak for 18 minutes or less. Many of these talks are then made available, free at TED.com. TED speakers have included Bill Gates, Jane Goodall, Elizabeth Gilbert, Sir Richard Branson, Nandan Nilekani, Philippe Starck, Ngozi Okonjo-Iweala, Sal Khan and Daniel Kahneman.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right="-190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annual TED Conference takes place each spring in Vancouver, British Columbia, along with the TEDActive simulcast event in nearby Whistler. The annual TEDGlobal conference will be held this October in Rio de Janeiro, Brazil. TED’s media initiatives include TED.com, where new TED Talks are posted daily; the Open Translation Project, which provides subtitles and interactive transcripts as well as translations from volunteers worldwide; the educational initiative TED-Ed. TED has established the annual TED Prize, where exceptional individuals with a wish to change the world get help translating their wishes into action; TEDx, which supports individuals or groups in hosting local, self- organized TED-style events around the world, and the TED Fellows program, helping world-changing innovators from around the globe to amplify the impact of their remarkable projects and activities.</w:t>
      </w:r>
    </w:p>
    <w:p w:rsidR="00000000" w:rsidDel="00000000" w:rsidP="00000000" w:rsidRDefault="00000000" w:rsidRPr="00000000" w14:paraId="0000001D">
      <w:pPr>
        <w:contextualSpacing w:val="0"/>
        <w:rPr>
          <w:b w:val="1"/>
          <w:color w:val="000000"/>
          <w:sz w:val="28"/>
          <w:szCs w:val="28"/>
        </w:rPr>
      </w:pPr>
      <w:r w:rsidDel="00000000" w:rsidR="00000000" w:rsidRPr="00000000">
        <w:rPr>
          <w:b w:val="1"/>
          <w:color w:val="000000"/>
          <w:sz w:val="28"/>
          <w:szCs w:val="28"/>
          <w:rtl w:val="0"/>
        </w:rPr>
        <w:t xml:space="preserve">About TEDx, x= Independently Organised Event:</w:t>
      </w:r>
    </w:p>
    <w:p w:rsidR="00000000" w:rsidDel="00000000" w:rsidP="00000000" w:rsidRDefault="00000000" w:rsidRPr="00000000" w14:paraId="0000001E">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 the spirit of ideas worth spreading, TEDx is a program of local, self-organized events that bring people together to share a TED-like experience. At a TEDx event, TED Talks video and live speakers combine to spark deep discussion and connection. These local, self-organized events are branded TEDx, where x = independently organized TED event. The TED Conference provides general guidance for the TEDx program, but individual TEDx events are self-organized. (Subjected to certain rules and regulations.)</w:t>
      </w:r>
    </w:p>
    <w:p w:rsidR="00000000" w:rsidDel="00000000" w:rsidP="00000000" w:rsidRDefault="00000000" w:rsidRPr="00000000" w14:paraId="0000001F">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 India, most of the premier institutes including IITs, IIMs, CFTI have their own TEDx Events. IIT Kharagpur, IIT BHU, IIT Madras, IIT Delhi, IIM Ahmedabad, IIM Bangalore, IIM Calcutta, IIM Indore, NIT Trichy, NIT Surathkal, NIT Warangal to name a few.</w:t>
      </w:r>
    </w:p>
    <w:p w:rsidR="00000000" w:rsidDel="00000000" w:rsidP="00000000" w:rsidRDefault="00000000" w:rsidRPr="00000000" w14:paraId="00000020">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21">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22">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23">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24">
      <w:pPr>
        <w:contextualSpacing w:val="0"/>
        <w:rPr>
          <w:b w:val="1"/>
          <w:color w:val="000000"/>
          <w:sz w:val="28"/>
          <w:szCs w:val="28"/>
        </w:rPr>
      </w:pPr>
      <w:r w:rsidDel="00000000" w:rsidR="00000000" w:rsidRPr="00000000">
        <w:rPr>
          <w:b w:val="1"/>
          <w:color w:val="000000"/>
          <w:sz w:val="28"/>
          <w:szCs w:val="28"/>
          <w:rtl w:val="0"/>
        </w:rPr>
        <w:t xml:space="preserve">Events of the Student Chapter:</w:t>
      </w:r>
    </w:p>
    <w:p w:rsidR="00000000" w:rsidDel="00000000" w:rsidP="00000000" w:rsidRDefault="00000000" w:rsidRPr="00000000" w14:paraId="00000025">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flagship event will be TEDxSVNIT which will be organised once a year. In a day-long event, speakers with diverse background will deliver the talks to the audience. Speakers’ background will be technology or fusion of technology and design. The talks will be about new innovation, new research fields etc. </w:t>
      </w:r>
    </w:p>
    <w:p w:rsidR="00000000" w:rsidDel="00000000" w:rsidP="00000000" w:rsidRDefault="00000000" w:rsidRPr="00000000" w14:paraId="00000026">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other events will be TEDxSVNIT community meet where speakers from within the college or local speakers along with the community will gather together and spread a wave of ideas together. </w:t>
      </w:r>
    </w:p>
    <w:p w:rsidR="00000000" w:rsidDel="00000000" w:rsidP="00000000" w:rsidRDefault="00000000" w:rsidRPr="00000000" w14:paraId="00000027">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8">
      <w:pPr>
        <w:contextualSpacing w:val="0"/>
        <w:rPr>
          <w:b w:val="1"/>
          <w:color w:val="000000"/>
          <w:sz w:val="28"/>
          <w:szCs w:val="28"/>
        </w:rPr>
      </w:pPr>
      <w:r w:rsidDel="00000000" w:rsidR="00000000" w:rsidRPr="00000000">
        <w:rPr>
          <w:b w:val="1"/>
          <w:color w:val="000000"/>
          <w:sz w:val="28"/>
          <w:szCs w:val="28"/>
          <w:rtl w:val="0"/>
        </w:rPr>
        <w:t xml:space="preserve">Team:</w:t>
      </w:r>
    </w:p>
    <w:p w:rsidR="00000000" w:rsidDel="00000000" w:rsidP="00000000" w:rsidRDefault="00000000" w:rsidRPr="00000000" w14:paraId="00000029">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 following roles will take care of all the activities of Student Chapter:</w:t>
      </w:r>
    </w:p>
    <w:p w:rsidR="00000000" w:rsidDel="00000000" w:rsidP="00000000" w:rsidRDefault="00000000" w:rsidRPr="00000000" w14:paraId="0000002A">
      <w:pPr>
        <w:numPr>
          <w:ilvl w:val="0"/>
          <w:numId w:val="2"/>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Lead</w:t>
      </w:r>
      <w:r w:rsidDel="00000000" w:rsidR="00000000" w:rsidRPr="00000000">
        <w:rPr>
          <w:rFonts w:ascii="Arial" w:cs="Arial" w:eastAsia="Arial" w:hAnsi="Arial"/>
          <w:color w:val="000000"/>
          <w:highlight w:val="white"/>
          <w:rtl w:val="0"/>
        </w:rPr>
        <w:t xml:space="preserve"> - Lead the Chapter along with Co-Lead</w:t>
      </w:r>
    </w:p>
    <w:p w:rsidR="00000000" w:rsidDel="00000000" w:rsidP="00000000" w:rsidRDefault="00000000" w:rsidRPr="00000000" w14:paraId="0000002B">
      <w:pPr>
        <w:numPr>
          <w:ilvl w:val="0"/>
          <w:numId w:val="2"/>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Co-Lead</w:t>
      </w:r>
      <w:r w:rsidDel="00000000" w:rsidR="00000000" w:rsidRPr="00000000">
        <w:rPr>
          <w:rFonts w:ascii="Arial" w:cs="Arial" w:eastAsia="Arial" w:hAnsi="Arial"/>
          <w:color w:val="000000"/>
          <w:highlight w:val="white"/>
          <w:rtl w:val="0"/>
        </w:rPr>
        <w:t xml:space="preserve"> - Lead the Chapter</w:t>
      </w:r>
    </w:p>
    <w:p w:rsidR="00000000" w:rsidDel="00000000" w:rsidP="00000000" w:rsidRDefault="00000000" w:rsidRPr="00000000" w14:paraId="0000002C">
      <w:pPr>
        <w:numPr>
          <w:ilvl w:val="0"/>
          <w:numId w:val="2"/>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Treasurer</w:t>
      </w:r>
      <w:r w:rsidDel="00000000" w:rsidR="00000000" w:rsidRPr="00000000">
        <w:rPr>
          <w:rFonts w:ascii="Arial" w:cs="Arial" w:eastAsia="Arial" w:hAnsi="Arial"/>
          <w:color w:val="000000"/>
          <w:highlight w:val="white"/>
          <w:rtl w:val="0"/>
        </w:rPr>
        <w:t xml:space="preserve"> - Manage all financial work</w:t>
      </w:r>
    </w:p>
    <w:p w:rsidR="00000000" w:rsidDel="00000000" w:rsidP="00000000" w:rsidRDefault="00000000" w:rsidRPr="00000000" w14:paraId="0000002D">
      <w:pPr>
        <w:numPr>
          <w:ilvl w:val="0"/>
          <w:numId w:val="2"/>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b w:val="1"/>
          <w:color w:val="000000"/>
          <w:highlight w:val="white"/>
          <w:rtl w:val="0"/>
        </w:rPr>
        <w:t xml:space="preserve">Administrative Head</w:t>
      </w:r>
      <w:r w:rsidDel="00000000" w:rsidR="00000000" w:rsidRPr="00000000">
        <w:rPr>
          <w:rFonts w:ascii="Arial" w:cs="Arial" w:eastAsia="Arial" w:hAnsi="Arial"/>
          <w:color w:val="000000"/>
          <w:highlight w:val="white"/>
          <w:rtl w:val="0"/>
        </w:rPr>
        <w:t xml:space="preserve"> - Coordinate with the College administration</w:t>
      </w:r>
    </w:p>
    <w:p w:rsidR="00000000" w:rsidDel="00000000" w:rsidP="00000000" w:rsidRDefault="00000000" w:rsidRPr="00000000" w14:paraId="0000002E">
      <w:pPr>
        <w:contextualSpacing w:val="0"/>
        <w:rPr>
          <w:b w:val="1"/>
          <w:color w:val="000000"/>
          <w:sz w:val="28"/>
          <w:szCs w:val="28"/>
        </w:rPr>
      </w:pPr>
      <w:r w:rsidDel="00000000" w:rsidR="00000000" w:rsidRPr="00000000">
        <w:rPr>
          <w:b w:val="1"/>
          <w:color w:val="000000"/>
          <w:sz w:val="28"/>
          <w:szCs w:val="28"/>
          <w:rtl w:val="0"/>
        </w:rPr>
        <w:t xml:space="preserve">Procedure of selecting committee members:</w:t>
      </w:r>
    </w:p>
    <w:p w:rsidR="00000000" w:rsidDel="00000000" w:rsidP="00000000" w:rsidRDefault="00000000" w:rsidRPr="00000000" w14:paraId="0000002F">
      <w:pPr>
        <w:numPr>
          <w:ilvl w:val="0"/>
          <w:numId w:val="1"/>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Interviews for core committee of successive years will be conducted by Lead as a leader in the presence of Faculty Advisor. </w:t>
      </w:r>
    </w:p>
    <w:p w:rsidR="00000000" w:rsidDel="00000000" w:rsidP="00000000" w:rsidRDefault="00000000" w:rsidRPr="00000000" w14:paraId="00000030">
      <w:pPr>
        <w:numPr>
          <w:ilvl w:val="0"/>
          <w:numId w:val="1"/>
        </w:numPr>
        <w:ind w:left="720" w:right="-1815" w:hanging="360"/>
        <w:contextualSpacing w:val="1"/>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For rest of the team members, interviews will be conducted by core team members. </w:t>
      </w:r>
      <w:r w:rsidDel="00000000" w:rsidR="00000000" w:rsidRPr="00000000">
        <w:rPr>
          <w:rtl w:val="0"/>
        </w:rPr>
      </w:r>
    </w:p>
    <w:p w:rsidR="00000000" w:rsidDel="00000000" w:rsidP="00000000" w:rsidRDefault="00000000" w:rsidRPr="00000000" w14:paraId="00000031">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2">
      <w:pPr>
        <w:contextualSpacing w:val="0"/>
        <w:rPr>
          <w:b w:val="1"/>
          <w:color w:val="000000"/>
          <w:sz w:val="28"/>
          <w:szCs w:val="28"/>
        </w:rPr>
      </w:pPr>
      <w:r w:rsidDel="00000000" w:rsidR="00000000" w:rsidRPr="00000000">
        <w:rPr>
          <w:b w:val="1"/>
          <w:color w:val="000000"/>
          <w:sz w:val="28"/>
          <w:szCs w:val="28"/>
          <w:rtl w:val="0"/>
        </w:rPr>
        <w:t xml:space="preserve">External financial support for the events:</w:t>
      </w:r>
    </w:p>
    <w:p w:rsidR="00000000" w:rsidDel="00000000" w:rsidP="00000000" w:rsidRDefault="00000000" w:rsidRPr="00000000" w14:paraId="00000033">
      <w:pPr>
        <w:ind w:right="-1815"/>
        <w:contextualSpacing w:val="0"/>
        <w:rPr>
          <w:b w:val="1"/>
          <w:color w:val="000000"/>
          <w:sz w:val="28"/>
          <w:szCs w:val="28"/>
        </w:rPr>
      </w:pPr>
      <w:r w:rsidDel="00000000" w:rsidR="00000000" w:rsidRPr="00000000">
        <w:rPr>
          <w:rFonts w:ascii="Arial" w:cs="Arial" w:eastAsia="Arial" w:hAnsi="Arial"/>
          <w:color w:val="000000"/>
          <w:highlight w:val="white"/>
          <w:rtl w:val="0"/>
        </w:rPr>
        <w:t xml:space="preserve">Sponsorship will be mentioned in the finance report of the event for which fund is to be used and will be submitted to the respective authority.</w:t>
      </w:r>
      <w:r w:rsidDel="00000000" w:rsidR="00000000" w:rsidRPr="00000000">
        <w:rPr>
          <w:rtl w:val="0"/>
        </w:rPr>
      </w:r>
    </w:p>
    <w:p w:rsidR="00000000" w:rsidDel="00000000" w:rsidP="00000000" w:rsidRDefault="00000000" w:rsidRPr="00000000" w14:paraId="00000034">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5">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6">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7">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8">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9">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A">
      <w:pPr>
        <w:contextualSpacing w:val="0"/>
        <w:rPr>
          <w:b w:val="1"/>
          <w:color w:val="000000"/>
          <w:sz w:val="28"/>
          <w:szCs w:val="28"/>
        </w:rPr>
      </w:pPr>
      <w:r w:rsidDel="00000000" w:rsidR="00000000" w:rsidRPr="00000000">
        <w:rPr>
          <w:b w:val="1"/>
          <w:color w:val="000000"/>
          <w:sz w:val="28"/>
          <w:szCs w:val="28"/>
          <w:rtl w:val="0"/>
        </w:rPr>
        <w:t xml:space="preserve">Expected Revenue from participants:</w:t>
      </w:r>
    </w:p>
    <w:p w:rsidR="00000000" w:rsidDel="00000000" w:rsidP="00000000" w:rsidRDefault="00000000" w:rsidRPr="00000000" w14:paraId="0000003B">
      <w:pPr>
        <w:ind w:right="-1815"/>
        <w:contextualSpacing w:val="0"/>
        <w:rPr>
          <w:b w:val="1"/>
          <w:color w:val="000000"/>
          <w:sz w:val="28"/>
          <w:szCs w:val="28"/>
        </w:rPr>
      </w:pPr>
      <w:r w:rsidDel="00000000" w:rsidR="00000000" w:rsidRPr="00000000">
        <w:rPr>
          <w:rFonts w:ascii="Arial" w:cs="Arial" w:eastAsia="Arial" w:hAnsi="Arial"/>
          <w:color w:val="000000"/>
          <w:highlight w:val="white"/>
          <w:rtl w:val="0"/>
        </w:rPr>
        <w:t xml:space="preserve">We are expecting to generate a revenue of Rs. 75,000 (100*750/-) from the participants. Since TEDx is a non-profit event, so all the money taken from participants will be returned to them in form of Lunch, Refreshments and Registration Kit.</w:t>
      </w:r>
      <w:r w:rsidDel="00000000" w:rsidR="00000000" w:rsidRPr="00000000">
        <w:rPr>
          <w:rtl w:val="0"/>
        </w:rPr>
      </w:r>
    </w:p>
    <w:p w:rsidR="00000000" w:rsidDel="00000000" w:rsidP="00000000" w:rsidRDefault="00000000" w:rsidRPr="00000000" w14:paraId="0000003C">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D">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E">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3F">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0">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1">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2">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3">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4">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5">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6">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7">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8">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9">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A">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B">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C">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D">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4E">
      <w:pPr>
        <w:contextualSpacing w:val="0"/>
        <w:rPr>
          <w:b w:val="1"/>
          <w:color w:val="000000"/>
          <w:sz w:val="28"/>
          <w:szCs w:val="28"/>
        </w:rPr>
      </w:pPr>
      <w:r w:rsidDel="00000000" w:rsidR="00000000" w:rsidRPr="00000000">
        <w:rPr>
          <w:b w:val="1"/>
          <w:color w:val="000000"/>
          <w:sz w:val="28"/>
          <w:szCs w:val="28"/>
          <w:rtl w:val="0"/>
        </w:rPr>
        <w:t xml:space="preserve">Financial Details:</w:t>
      </w:r>
    </w:p>
    <w:p w:rsidR="00000000" w:rsidDel="00000000" w:rsidP="00000000" w:rsidRDefault="00000000" w:rsidRPr="00000000" w14:paraId="0000004F">
      <w:pPr>
        <w:ind w:right="-1815"/>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This budget is only for the flagship event i.e. TEDxSVNIT. Other events do not require such financial support.</w:t>
      </w:r>
    </w:p>
    <w:p w:rsidR="00000000" w:rsidDel="00000000" w:rsidP="00000000" w:rsidRDefault="00000000" w:rsidRPr="00000000" w14:paraId="00000050">
      <w:pPr>
        <w:ind w:right="-1815"/>
        <w:contextualSpacing w:val="0"/>
        <w:rPr>
          <w:rFonts w:ascii="Arial" w:cs="Arial" w:eastAsia="Arial" w:hAnsi="Arial"/>
          <w:color w:val="000000"/>
          <w:highlight w:val="white"/>
        </w:rPr>
      </w:pPr>
      <w:r w:rsidDel="00000000" w:rsidR="00000000" w:rsidRPr="00000000">
        <w:rPr>
          <w:rtl w:val="0"/>
        </w:rPr>
      </w:r>
    </w:p>
    <w:tbl>
      <w:tblPr>
        <w:tblStyle w:val="Table1"/>
        <w:tblW w:w="7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65"/>
        <w:gridCol w:w="2520"/>
        <w:tblGridChange w:id="0">
          <w:tblGrid>
            <w:gridCol w:w="975"/>
            <w:gridCol w:w="406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Speakers’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Speakers’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Flex and In House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 Shirts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Lightings’ and Sound 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Registration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Momento for speakers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Lanyard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Brochure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2,36,600</w:t>
            </w:r>
          </w:p>
        </w:tc>
      </w:tr>
    </w:tbl>
    <w:p w:rsidR="00000000" w:rsidDel="00000000" w:rsidP="00000000" w:rsidRDefault="00000000" w:rsidRPr="00000000" w14:paraId="0000007B">
      <w:pPr>
        <w:ind w:right="-1815"/>
        <w:contextualSpacing w:val="0"/>
        <w:rPr>
          <w:rFonts w:ascii="Arial" w:cs="Arial" w:eastAsia="Arial" w:hAnsi="Arial"/>
          <w:b w:val="1"/>
          <w:color w:val="000000"/>
          <w:highlight w:val="white"/>
        </w:rPr>
      </w:pPr>
      <w:r w:rsidDel="00000000" w:rsidR="00000000" w:rsidRPr="00000000">
        <w:rPr>
          <w:rtl w:val="0"/>
        </w:rPr>
      </w:r>
    </w:p>
    <w:p w:rsidR="00000000" w:rsidDel="00000000" w:rsidP="00000000" w:rsidRDefault="00000000" w:rsidRPr="00000000" w14:paraId="0000007C">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7D">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7E">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7F">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0">
      <w:pPr>
        <w:ind w:right="-1815"/>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1">
      <w:pPr>
        <w:ind w:right="-1815"/>
        <w:contextualSpacing w:val="0"/>
        <w:rPr>
          <w:rFonts w:ascii="Arial" w:cs="Arial" w:eastAsia="Arial" w:hAnsi="Arial"/>
          <w:color w:val="000000"/>
          <w:highlight w:val="white"/>
        </w:rPr>
      </w:pPr>
      <w:r w:rsidDel="00000000" w:rsidR="00000000" w:rsidRPr="00000000">
        <w:rPr>
          <w:rtl w:val="0"/>
        </w:rPr>
      </w:r>
    </w:p>
    <w:sectPr>
      <w:headerReference r:id="rId6" w:type="default"/>
      <w:headerReference r:id="rId7" w:type="first"/>
      <w:footerReference r:id="rId8" w:type="first"/>
      <w:pgSz w:h="15840" w:w="12240"/>
      <w:pgMar w:bottom="720" w:top="720" w:left="1440" w:right="32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400" w:line="288" w:lineRule="auto"/>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80" w:line="288" w:lineRule="auto"/>
      <w:contextualSpacing w:val="0"/>
      <w:rPr/>
    </w:pPr>
    <w:r w:rsidDel="00000000" w:rsidR="00000000" w:rsidRPr="00000000">
      <w:rPr>
        <w:rFonts w:ascii="Proxima Nova" w:cs="Proxima Nova" w:eastAsia="Proxima Nova" w:hAnsi="Proxima Nova"/>
        <w:color w:val="353744"/>
      </w:rPr>
      <w:drawing>
        <wp:inline distB="114300" distT="114300" distL="114300" distR="114300">
          <wp:extent cx="5938838" cy="190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38838" cy="190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80" w:lineRule="auto"/>
      <w:contextualSpacing w:val="0"/>
      <w:rPr/>
    </w:pPr>
    <w:r w:rsidDel="00000000" w:rsidR="00000000" w:rsidRPr="00000000">
      <w:rPr/>
      <w:drawing>
        <wp:inline distB="114300" distT="114300" distL="114300" distR="114300">
          <wp:extent cx="5943600" cy="635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