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environmental</w:t>
      </w:r>
      <w:r>
        <w:t xml:space="preserve"> </w:t>
      </w:r>
      <w:r>
        <w:t xml:space="preserve">variabels</w:t>
      </w:r>
      <w:r>
        <w:t xml:space="preserve"> </w:t>
      </w:r>
      <w:r>
        <w:t xml:space="preserve">and</w:t>
      </w:r>
      <w:r>
        <w:t xml:space="preserve"> </w:t>
      </w:r>
      <w:r>
        <w:t xml:space="preserve">species</w:t>
      </w:r>
      <w:r>
        <w:t xml:space="preserve"> </w:t>
      </w:r>
      <w:r>
        <w:t xml:space="preserve">richness</w:t>
      </w:r>
    </w:p>
    <w:p>
      <w:pPr>
        <w:pStyle w:val="Author"/>
      </w:pPr>
      <w:r>
        <w:t xml:space="preserve">D.</w:t>
      </w:r>
      <w:r>
        <w:t xml:space="preserve"> </w:t>
      </w:r>
      <w:r>
        <w:t xml:space="preserve">Li</w:t>
      </w:r>
      <w:r>
        <w:t xml:space="preserve"> </w:t>
      </w:r>
      <w:r>
        <w:t xml:space="preserve">D.</w:t>
      </w:r>
      <w:r>
        <w:t xml:space="preserve"> </w:t>
      </w:r>
      <w:r>
        <w:t xml:space="preserve">Waller</w:t>
      </w:r>
    </w:p>
    <w:p>
      <w:pPr>
        <w:pStyle w:val="Date"/>
      </w:pPr>
      <w:r>
        <w:t xml:space="preserve">Working</w:t>
      </w:r>
      <w:r>
        <w:t xml:space="preserve"> </w:t>
      </w:r>
      <w:r>
        <w:t xml:space="preserve">paper</w:t>
      </w:r>
      <w:r>
        <w:t xml:space="preserve"> </w:t>
      </w:r>
      <w:r>
        <w:t xml:space="preserve">--</w:t>
      </w:r>
      <w:r>
        <w:t xml:space="preserve"> </w:t>
      </w:r>
    </w:p>
    <w:p>
      <w:r>
        <w:rPr>
          <w:b/>
        </w:rPr>
        <w:t xml:space="preserve">Running headline</w:t>
      </w:r>
      <w:r>
        <w:t xml:space="preserve">: Environment and species richness</w:t>
      </w:r>
    </w:p>
    <w:p>
      <w:r>
        <w:rPr>
          <w:b/>
        </w:rPr>
        <w:t xml:space="preserve">Abstract</w:t>
      </w:r>
      <w:r>
        <w:t xml:space="preserve">: Your awesome abstract here.</w:t>
      </w:r>
    </w:p>
    <w:p/>
    <w:p>
      <w:pPr>
        <w:pStyle w:val="Heading1"/>
      </w:pPr>
      <w:bookmarkStart w:id="21" w:name="introduction"/>
      <w:bookmarkEnd w:id="21"/>
      <w:r>
        <w:t xml:space="preserve">Introduction</w:t>
      </w:r>
    </w:p>
    <w:p>
      <w:r>
        <w:t xml:space="preserve">Here is your introduction. It should describe clearly the rationale for the study being done and the previous work related with the study. It should also tell readers about your specific hypothese/questions being addressed. Citations will be like this</w:t>
      </w:r>
      <w:r>
        <w:t xml:space="preserve"> </w:t>
      </w:r>
      <w:r>
        <w:t xml:space="preserve">(Adair et al. 2010)</w:t>
      </w:r>
      <w:r>
        <w:t xml:space="preserve">, or</w:t>
      </w:r>
      <w:r>
        <w:t xml:space="preserve"> </w:t>
      </w:r>
      <w:r>
        <w:t xml:space="preserve">(e.g., Clark and Tilman 2008)</w:t>
      </w:r>
      <w:r>
        <w:t xml:space="preserve">, or</w:t>
      </w:r>
      <w:r>
        <w:t xml:space="preserve"> </w:t>
      </w:r>
      <w:r>
        <w:t xml:space="preserve">(Eriksson and Ehrlén 1993, Williamson et al. 1999)</w:t>
      </w:r>
    </w:p>
    <w:p>
      <w:pPr>
        <w:pStyle w:val="Heading1"/>
      </w:pPr>
      <w:bookmarkStart w:id="22" w:name="methods"/>
      <w:bookmarkEnd w:id="22"/>
      <w:r>
        <w:t xml:space="preserve">Methods</w:t>
      </w:r>
    </w:p>
    <w:p>
      <w:r>
        <w:t xml:space="preserve">Here is the method section. You can include equations easily. For inline equations, use</w:t>
      </w:r>
      <w:r>
        <w:t xml:space="preserve"> </w:t>
      </w:r>
      <m:oMath>
        <m:r>
          <m:rPr>
            <m:sty m:val="p"/>
          </m:rPr>
          <m:t>var</m:t>
        </m:r>
        <m:r>
          <m:rPr>
            <m:sty m:val="p"/>
          </m:rPr>
          <m:t>(</m:t>
        </m:r>
        <m:r>
          <m:rPr>
            <m:sty m:val="p"/>
          </m:rPr>
          <m:t>X</m:t>
        </m:r>
        <m:r>
          <m:rPr>
            <m:sty m:val="p"/>
          </m:rPr>
          <m:t>)</m:t>
        </m:r>
        <m:r>
          <m:rPr>
            <m:sty m:val="p"/>
          </m:rPr>
          <m:t>=</m:t>
        </m:r>
        <m:r>
          <m:rPr>
            <m:sty m:val="p"/>
          </m:rPr>
          <m:t>p</m:t>
        </m:r>
        <m:r>
          <m:rPr>
            <m:sty m:val="p"/>
          </m:rPr>
          <m:t>(</m:t>
        </m:r>
        <m:r>
          <m:rPr>
            <m:sty m:val="p"/>
          </m:rPr>
          <m:t>1</m:t>
        </m:r>
        <m:r>
          <m:rPr>
            <m:sty m:val="p"/>
          </m:rPr>
          <m:t>−</m:t>
        </m:r>
        <m:r>
          <m:rPr>
            <m:sty m:val="p"/>
          </m:rPr>
          <m:t>p</m:t>
        </m:r>
        <m:r>
          <m:rPr>
            <m:sty m:val="p"/>
          </m:rPr>
          <m:t>)</m:t>
        </m:r>
      </m:oMath>
      <w:r>
        <w:t xml:space="preserve">. For display equation, use</w:t>
      </w:r>
    </w:p>
    <w:p>
      <w:pPr>
        <w:pStyle w:val="Heading2"/>
      </w:pPr>
      <w:bookmarkStart w:id="23" w:name="results"/>
      <w:bookmarkEnd w:id="23"/>
      <w:r>
        <w:t xml:space="preserve">Results</w:t>
      </w:r>
    </w:p>
    <w:p>
      <w:r>
        <w:t xml:space="preserve">Insert tables:</w:t>
      </w:r>
    </w:p>
    <w:tbl>
      <w:tblPr>
        <w:tblStyle w:val="TableNormal"/>
        <w:tblW w:type="pct" w:w="0.0"/>
      </w:tblPr>
      <w:tblGrid/>
      <w:tr>
        <w:tc>
          <w:tcPr>
            <w:tcBorders>
              <w:bottom w:val="single"/>
            </w:tcBorders>
            <w:vAlign w:val="bottom"/>
          </w:tcPr>
          <w:p>
            <w:pPr>
              <w:pStyle w:val="Compact"/>
              <w:jc w:val="right"/>
            </w:pPr>
            <w:r>
              <w:t xml:space="preserve">Plot</w:t>
            </w:r>
          </w:p>
        </w:tc>
        <w:tc>
          <w:tcPr>
            <w:tcBorders>
              <w:bottom w:val="single"/>
            </w:tcBorders>
            <w:vAlign w:val="bottom"/>
          </w:tcPr>
          <w:p>
            <w:pPr>
              <w:pStyle w:val="Compact"/>
              <w:jc w:val="right"/>
            </w:pPr>
            <w:r>
              <w:t xml:space="preserve">sprich</w:t>
            </w:r>
          </w:p>
        </w:tc>
      </w:tr>
      <w:tr>
        <w:tc>
          <w:p>
            <w:pPr>
              <w:pStyle w:val="Compact"/>
              <w:jc w:val="right"/>
            </w:pPr>
            <w:r>
              <w:t xml:space="preserve">3294</w:t>
            </w:r>
          </w:p>
        </w:tc>
        <w:tc>
          <w:p>
            <w:pPr>
              <w:pStyle w:val="Compact"/>
              <w:jc w:val="right"/>
            </w:pPr>
            <w:r>
              <w:t xml:space="preserve">31</w:t>
            </w:r>
          </w:p>
        </w:tc>
      </w:tr>
      <w:tr>
        <w:tc>
          <w:p>
            <w:pPr>
              <w:pStyle w:val="Compact"/>
              <w:jc w:val="right"/>
            </w:pPr>
            <w:r>
              <w:t xml:space="preserve">3297</w:t>
            </w:r>
          </w:p>
        </w:tc>
        <w:tc>
          <w:p>
            <w:pPr>
              <w:pStyle w:val="Compact"/>
              <w:jc w:val="right"/>
            </w:pPr>
            <w:r>
              <w:t xml:space="preserve">28</w:t>
            </w:r>
          </w:p>
        </w:tc>
      </w:tr>
      <w:tr>
        <w:tc>
          <w:p>
            <w:pPr>
              <w:pStyle w:val="Compact"/>
              <w:jc w:val="right"/>
            </w:pPr>
            <w:r>
              <w:t xml:space="preserve">3299</w:t>
            </w:r>
          </w:p>
        </w:tc>
        <w:tc>
          <w:p>
            <w:pPr>
              <w:pStyle w:val="Compact"/>
              <w:jc w:val="right"/>
            </w:pPr>
            <w:r>
              <w:t xml:space="preserve">26</w:t>
            </w:r>
          </w:p>
        </w:tc>
      </w:tr>
      <w:tr>
        <w:tc>
          <w:p>
            <w:pPr>
              <w:pStyle w:val="Compact"/>
              <w:jc w:val="right"/>
            </w:pPr>
            <w:r>
              <w:t xml:space="preserve">3330</w:t>
            </w:r>
          </w:p>
        </w:tc>
        <w:tc>
          <w:p>
            <w:pPr>
              <w:pStyle w:val="Compact"/>
              <w:jc w:val="right"/>
            </w:pPr>
            <w:r>
              <w:t xml:space="preserve">27</w:t>
            </w:r>
          </w:p>
        </w:tc>
      </w:tr>
    </w:tbl>
    <w:p>
      <w:r>
        <w:t xml:space="preserve">Or put results inline, e.g. the mean species richness is 28.</w:t>
      </w:r>
    </w:p>
    <w:p>
      <w:r>
        <w:t xml:space="preserve">How about figures? We illustrate this in Fig.</w:t>
      </w:r>
      <w:r>
        <w:t xml:space="preserve"> </w:t>
      </w:r>
      <w:r>
        <w:t xml:space="preserve">.</w:t>
      </w:r>
    </w:p>
    <w:p/>
    <w:p>
      <w:r>
        <w:drawing>
          <wp:inline>
            <wp:extent cx="1524000" cy="1524000"/>
            <wp:effectExtent b="0" l="0" r="0" t="0"/>
            <wp:docPr descr="" id="1" name="Picture"/>
            <a:graphic>
              <a:graphicData uri="http://schemas.openxmlformats.org/drawingml/2006/picture">
                <pic:pic>
                  <pic:nvPicPr>
                    <pic:cNvPr descr="Figs/plot.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Caption here.</w:t>
      </w:r>
    </w:p>
    <w:p/>
    <w:p>
      <w:pPr>
        <w:pStyle w:val="Heading1"/>
      </w:pPr>
      <w:bookmarkStart w:id="25" w:name="references"/>
      <w:bookmarkEnd w:id="25"/>
      <w:r>
        <w:t xml:space="preserve">References</w:t>
      </w:r>
    </w:p>
    <w:p>
      <w:pPr>
        <w:pStyle w:val="Bibliography"/>
      </w:pPr>
      <w:r>
        <w:t xml:space="preserve">Adair, E. C. et al. 2010. Single-pool exponential decomposition models: Potential pitfalls in their use in ecological studies. - Ecology 91: 1225–1236.</w:t>
      </w:r>
    </w:p>
    <w:p>
      <w:pPr>
        <w:pStyle w:val="Bibliography"/>
      </w:pPr>
      <w:r>
        <w:t xml:space="preserve">Clark, C. M. and Tilman, D. 2008. Loss of plant species after chronic low-level nitrogen deposition to prairie grasslands. - Nature 451: 712–715.</w:t>
      </w:r>
    </w:p>
    <w:p>
      <w:pPr>
        <w:pStyle w:val="Bibliography"/>
      </w:pPr>
      <w:r>
        <w:t xml:space="preserve">Eriksson, O. and Ehrlén, J. 1993. Seed and microsite limitation of recruitment in plant populations. - Oecologia 92: 361–366.</w:t>
      </w:r>
    </w:p>
    <w:p>
      <w:pPr>
        <w:pStyle w:val="Bibliography"/>
      </w:pPr>
      <w:r>
        <w:t xml:space="preserve">Williamson, C. E. et al. 1999. Dissolved organic carbon and nutrients as regulators of lake ecosystems: Resurrection of a more integrated paradigm. - Limnology and Oceanography 44: 795–803.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034b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between environmental variabels and species richness</dc:title>
  <dc:creator>D. Li D. Waller</dc:creator>
</cp:coreProperties>
</file>