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996"/>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7CE3" w14:paraId="20DD723F" w14:textId="77777777" w:rsidTr="00257EF7">
        <w:tblPrEx>
          <w:tblCellMar>
            <w:top w:w="0" w:type="dxa"/>
            <w:bottom w:w="0" w:type="dxa"/>
          </w:tblCellMar>
        </w:tblPrEx>
        <w:tc>
          <w:tcPr>
            <w:tcW w:w="9360" w:type="dxa"/>
            <w:shd w:val="clear" w:color="auto" w:fill="4A0080"/>
            <w:tcMar>
              <w:top w:w="560" w:type="dxa"/>
              <w:left w:w="520" w:type="dxa"/>
              <w:bottom w:w="560" w:type="dxa"/>
              <w:right w:w="520" w:type="dxa"/>
            </w:tcMar>
          </w:tcPr>
          <w:p w14:paraId="3ED3AB9B" w14:textId="77777777" w:rsidR="00877CE3" w:rsidRDefault="00000000" w:rsidP="00257EF7">
            <w:pPr>
              <w:spacing w:after="80"/>
              <w:jc w:val="center"/>
            </w:pPr>
            <w:proofErr w:type="spellStart"/>
            <w:r>
              <w:rPr>
                <w:b/>
                <w:bCs/>
                <w:color w:val="FFFFFF"/>
                <w:sz w:val="64"/>
                <w:szCs w:val="64"/>
              </w:rPr>
              <w:t>MediAid</w:t>
            </w:r>
            <w:proofErr w:type="spellEnd"/>
          </w:p>
          <w:p w14:paraId="596B36E5" w14:textId="77777777" w:rsidR="00877CE3" w:rsidRDefault="00000000" w:rsidP="00257EF7">
            <w:pPr>
              <w:spacing w:after="60"/>
              <w:jc w:val="center"/>
            </w:pPr>
            <w:r>
              <w:rPr>
                <w:color w:val="D8B4FE"/>
                <w:sz w:val="30"/>
                <w:szCs w:val="30"/>
              </w:rPr>
              <w:t>Voice-Driven Medication Adherence System</w:t>
            </w:r>
          </w:p>
          <w:p w14:paraId="0125C404" w14:textId="0D254037" w:rsidR="00877CE3" w:rsidRDefault="00000000" w:rsidP="00257EF7">
            <w:pPr>
              <w:spacing w:before="60"/>
              <w:jc w:val="center"/>
            </w:pPr>
            <w:r>
              <w:rPr>
                <w:i/>
                <w:iCs/>
                <w:color w:val="C4B5FD"/>
                <w:sz w:val="20"/>
                <w:szCs w:val="20"/>
              </w:rPr>
              <w:t>Technical Architecture &amp; Engineering Report</w:t>
            </w:r>
          </w:p>
        </w:tc>
      </w:tr>
    </w:tbl>
    <w:tbl>
      <w:tblPr>
        <w:tblW w:w="93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5"/>
        <w:gridCol w:w="4685"/>
      </w:tblGrid>
      <w:tr w:rsidR="00257EF7" w14:paraId="7030632B" w14:textId="77777777" w:rsidTr="00257EF7">
        <w:tblPrEx>
          <w:tblCellMar>
            <w:top w:w="0" w:type="dxa"/>
            <w:bottom w:w="0" w:type="dxa"/>
          </w:tblCellMar>
        </w:tblPrEx>
        <w:trPr>
          <w:trHeight w:val="412"/>
        </w:trPr>
        <w:tc>
          <w:tcPr>
            <w:tcW w:w="4685" w:type="dxa"/>
            <w:tcBorders>
              <w:top w:val="single" w:sz="1" w:space="0" w:color="D8B4FE"/>
              <w:left w:val="single" w:sz="1" w:space="0" w:color="D8B4FE"/>
              <w:bottom w:val="single" w:sz="1" w:space="0" w:color="D8B4FE"/>
              <w:right w:val="single" w:sz="1" w:space="0" w:color="D8B4FE"/>
            </w:tcBorders>
            <w:shd w:val="clear" w:color="auto" w:fill="F5F3FF"/>
            <w:tcMar>
              <w:top w:w="120" w:type="dxa"/>
              <w:left w:w="160" w:type="dxa"/>
              <w:bottom w:w="120" w:type="dxa"/>
              <w:right w:w="160" w:type="dxa"/>
            </w:tcMar>
          </w:tcPr>
          <w:p w14:paraId="159776AD" w14:textId="77777777" w:rsidR="00257EF7" w:rsidRDefault="00257EF7">
            <w:r>
              <w:rPr>
                <w:b/>
                <w:bCs/>
                <w:color w:val="4A0080"/>
                <w:sz w:val="18"/>
                <w:szCs w:val="18"/>
              </w:rPr>
              <w:t>Platform</w:t>
            </w:r>
          </w:p>
          <w:p w14:paraId="6EB084B1" w14:textId="3774480A" w:rsidR="00257EF7" w:rsidRDefault="00257EF7">
            <w:r>
              <w:rPr>
                <w:sz w:val="18"/>
                <w:szCs w:val="18"/>
              </w:rPr>
              <w:t>Telegram Bot</w:t>
            </w:r>
          </w:p>
        </w:tc>
        <w:tc>
          <w:tcPr>
            <w:tcW w:w="4685" w:type="dxa"/>
            <w:tcBorders>
              <w:top w:val="single" w:sz="1" w:space="0" w:color="D8B4FE"/>
              <w:left w:val="single" w:sz="1" w:space="0" w:color="D8B4FE"/>
              <w:bottom w:val="single" w:sz="1" w:space="0" w:color="D8B4FE"/>
              <w:right w:val="single" w:sz="1" w:space="0" w:color="D8B4FE"/>
            </w:tcBorders>
            <w:shd w:val="clear" w:color="auto" w:fill="F5F3FF"/>
            <w:tcMar>
              <w:top w:w="120" w:type="dxa"/>
              <w:left w:w="160" w:type="dxa"/>
              <w:bottom w:w="120" w:type="dxa"/>
              <w:right w:w="160" w:type="dxa"/>
            </w:tcMar>
          </w:tcPr>
          <w:p w14:paraId="04DF5CD6" w14:textId="77777777" w:rsidR="00257EF7" w:rsidRDefault="00257EF7">
            <w:r>
              <w:rPr>
                <w:b/>
                <w:bCs/>
                <w:color w:val="4A0080"/>
                <w:sz w:val="18"/>
                <w:szCs w:val="18"/>
              </w:rPr>
              <w:t>Tech Stack</w:t>
            </w:r>
          </w:p>
          <w:p w14:paraId="07F92BD4" w14:textId="1DC6E4AD" w:rsidR="00257EF7" w:rsidRDefault="00257EF7">
            <w:r>
              <w:rPr>
                <w:sz w:val="18"/>
                <w:szCs w:val="18"/>
              </w:rPr>
              <w:t xml:space="preserve">TypeScript + </w:t>
            </w:r>
            <w:proofErr w:type="spellStart"/>
            <w:r>
              <w:rPr>
                <w:sz w:val="18"/>
                <w:szCs w:val="18"/>
              </w:rPr>
              <w:t>Groq</w:t>
            </w:r>
            <w:proofErr w:type="spellEnd"/>
            <w:r>
              <w:rPr>
                <w:sz w:val="18"/>
                <w:szCs w:val="18"/>
              </w:rPr>
              <w:t xml:space="preserve"> + Drizzle ORM</w:t>
            </w:r>
          </w:p>
        </w:tc>
      </w:tr>
    </w:tbl>
    <w:p w14:paraId="65C9B40E" w14:textId="77777777" w:rsidR="00877CE3" w:rsidRDefault="00000000">
      <w:pPr>
        <w:pStyle w:val="Heading1"/>
        <w:pBdr>
          <w:bottom w:val="single" w:sz="8" w:space="1" w:color="4A0080"/>
        </w:pBdr>
      </w:pPr>
      <w:r>
        <w:t>1.  Abstract / Executive Summary</w:t>
      </w:r>
    </w:p>
    <w:p w14:paraId="060D59DA" w14:textId="16C44AD7" w:rsidR="00877CE3" w:rsidRDefault="00000000">
      <w:pPr>
        <w:spacing w:before="80" w:after="120" w:line="340" w:lineRule="auto"/>
        <w:jc w:val="both"/>
      </w:pPr>
      <w:proofErr w:type="spellStart"/>
      <w:r>
        <w:t>MediAid</w:t>
      </w:r>
      <w:proofErr w:type="spellEnd"/>
      <w:r>
        <w:t xml:space="preserve"> is a voice-driven medication adherence assistant engineered to reduce one of the most pervasive challenges in modern healthcare: patient non-compliance with prescribed medication regimens. Delivered through an intelligent conversational interface on Telegram</w:t>
      </w:r>
      <w:r w:rsidR="00B531F8">
        <w:t xml:space="preserve">. </w:t>
      </w:r>
      <w:proofErr w:type="spellStart"/>
      <w:r>
        <w:t>MediAid</w:t>
      </w:r>
      <w:proofErr w:type="spellEnd"/>
      <w:r>
        <w:t xml:space="preserve"> enables users to register medications, receive timely reminders, and report adherence data through natural language voice inputs, lowering the barrier to engagement for diverse demographics including elderly and low-literacy populations.</w:t>
      </w:r>
    </w:p>
    <w:p w14:paraId="493CC5BB" w14:textId="77777777" w:rsidR="00877CE3" w:rsidRDefault="00877CE3">
      <w:pPr>
        <w:spacing w:before="60" w:after="60"/>
      </w:pPr>
    </w:p>
    <w:p w14:paraId="60C14A92" w14:textId="0377D53A" w:rsidR="00877CE3" w:rsidRDefault="00000000" w:rsidP="00B531F8">
      <w:pPr>
        <w:spacing w:before="80" w:after="120" w:line="340" w:lineRule="auto"/>
        <w:jc w:val="both"/>
      </w:pPr>
      <w:r>
        <w:t xml:space="preserve">The system is designed around a unified codebase and a single database source of truth, enabling seamless multi-platform expansion without architectural duplication. Built on a modern TypeScript backend, powered by </w:t>
      </w:r>
      <w:proofErr w:type="spellStart"/>
      <w:r>
        <w:t>Groq</w:t>
      </w:r>
      <w:proofErr w:type="spellEnd"/>
      <w:r>
        <w:t xml:space="preserve"> for high-throughput AI inference, and structured through Drizzle ORM for type-safe schema management, </w:t>
      </w:r>
      <w:proofErr w:type="spellStart"/>
      <w:r>
        <w:t>MediAid</w:t>
      </w:r>
      <w:proofErr w:type="spellEnd"/>
      <w:r>
        <w:t xml:space="preserve"> represents a production-grade approach to digital health tooling. This report provides a comprehensive overview of its architecture, technology decisions, interaction mechanics, and planned evolution.</w:t>
      </w:r>
    </w:p>
    <w:p w14:paraId="72569ED3" w14:textId="77777777" w:rsidR="00877CE3" w:rsidRDefault="00000000">
      <w:pPr>
        <w:pStyle w:val="Heading1"/>
        <w:pBdr>
          <w:bottom w:val="single" w:sz="8" w:space="1" w:color="4A0080"/>
        </w:pBdr>
      </w:pPr>
      <w:r>
        <w:t>2.  Problem Statement</w:t>
      </w:r>
    </w:p>
    <w:p w14:paraId="0017F20D" w14:textId="77777777" w:rsidR="00877CE3" w:rsidRDefault="00000000">
      <w:pPr>
        <w:spacing w:before="80" w:after="120" w:line="340" w:lineRule="auto"/>
        <w:jc w:val="both"/>
      </w:pPr>
      <w:r>
        <w:t>Medication non-adherence is a critical and costly global health problem. Studies consistently estimate that nearly 50% of patients with chronic conditions do not take their medications as prescribed, contributing to preventable hospitalizations, disease progression, and significant economic burden on healthcare systems. The causes are multifactorial: forgetfulness, complex multi-drug regimens, lack of accessible reminders, and the friction of traditional adherence tools.</w:t>
      </w:r>
    </w:p>
    <w:p w14:paraId="31AD97B1" w14:textId="77777777" w:rsidR="00877CE3" w:rsidRDefault="00877CE3">
      <w:pPr>
        <w:spacing w:before="60" w:after="60"/>
      </w:pPr>
    </w:p>
    <w:p w14:paraId="6BA13944" w14:textId="77777777" w:rsidR="00877CE3" w:rsidRDefault="00000000">
      <w:pPr>
        <w:spacing w:before="80" w:after="120" w:line="340" w:lineRule="auto"/>
      </w:pPr>
      <w:r>
        <w:rPr>
          <w:b/>
          <w:bCs/>
        </w:rPr>
        <w:t>Existing approaches present significant limitations:</w:t>
      </w:r>
    </w:p>
    <w:p w14:paraId="231ED69F" w14:textId="77777777" w:rsidR="00877CE3" w:rsidRDefault="00000000">
      <w:pPr>
        <w:pStyle w:val="ListParagraph"/>
        <w:numPr>
          <w:ilvl w:val="0"/>
          <w:numId w:val="2"/>
        </w:numPr>
        <w:spacing w:before="60" w:after="60" w:line="300" w:lineRule="auto"/>
      </w:pPr>
      <w:r>
        <w:t>Paper-based pill organizers and manual logs are prone to error and do not provide proactive reminders.</w:t>
      </w:r>
    </w:p>
    <w:p w14:paraId="711C6168" w14:textId="77777777" w:rsidR="00877CE3" w:rsidRDefault="00000000">
      <w:pPr>
        <w:pStyle w:val="ListParagraph"/>
        <w:numPr>
          <w:ilvl w:val="0"/>
          <w:numId w:val="2"/>
        </w:numPr>
        <w:spacing w:before="60" w:after="60" w:line="300" w:lineRule="auto"/>
      </w:pPr>
      <w:r>
        <w:t>Dedicated mobile applications demand installation, account creation, and sustained user engagement, creating high drop-off rates.</w:t>
      </w:r>
    </w:p>
    <w:p w14:paraId="68D1D634" w14:textId="77777777" w:rsidR="00877CE3" w:rsidRDefault="00000000">
      <w:pPr>
        <w:pStyle w:val="ListParagraph"/>
        <w:numPr>
          <w:ilvl w:val="0"/>
          <w:numId w:val="2"/>
        </w:numPr>
        <w:spacing w:before="60" w:after="60" w:line="300" w:lineRule="auto"/>
      </w:pPr>
      <w:r>
        <w:lastRenderedPageBreak/>
        <w:t>Hospital reminder services are often non-interactive, delivering one-way SMS notifications without conversational follow-up.</w:t>
      </w:r>
    </w:p>
    <w:p w14:paraId="551379CE" w14:textId="77777777" w:rsidR="00877CE3" w:rsidRDefault="00000000">
      <w:pPr>
        <w:pStyle w:val="ListParagraph"/>
        <w:numPr>
          <w:ilvl w:val="0"/>
          <w:numId w:val="2"/>
        </w:numPr>
        <w:spacing w:before="60" w:after="60" w:line="300" w:lineRule="auto"/>
      </w:pPr>
      <w:r>
        <w:t>Voice assistant integrations on smart devices are inaccessible to populations with limited device ownership.</w:t>
      </w:r>
    </w:p>
    <w:p w14:paraId="6F2D8705" w14:textId="43779CDE" w:rsidR="00877CE3" w:rsidRDefault="00000000">
      <w:pPr>
        <w:spacing w:before="80" w:after="120" w:line="340" w:lineRule="auto"/>
        <w:jc w:val="both"/>
      </w:pPr>
      <w:proofErr w:type="spellStart"/>
      <w:r>
        <w:t>MediAid</w:t>
      </w:r>
      <w:proofErr w:type="spellEnd"/>
      <w:r>
        <w:t xml:space="preserve"> addresses these gaps by embedding medication management within messaging platforms that users already trust and use daily. By accepting voice notes as primary input</w:t>
      </w:r>
      <w:r w:rsidR="00C7136B">
        <w:t>,</w:t>
      </w:r>
      <w:r>
        <w:t xml:space="preserve"> transcribed and interpreted via AI</w:t>
      </w:r>
      <w:r w:rsidR="00C7136B">
        <w:t>,</w:t>
      </w:r>
      <w:r>
        <w:t xml:space="preserve"> </w:t>
      </w:r>
      <w:proofErr w:type="spellStart"/>
      <w:r>
        <w:t>MediAid</w:t>
      </w:r>
      <w:proofErr w:type="spellEnd"/>
      <w:r>
        <w:t xml:space="preserve"> achieves an interaction model that is intuitive, asynchronous, and platform-agnostic. The strategic decision to begin with Telegram ensures coverage across the platforms with the largest global combined messaging footprints.</w:t>
      </w:r>
    </w:p>
    <w:p w14:paraId="18444405" w14:textId="77777777" w:rsidR="00877CE3" w:rsidRDefault="00000000">
      <w:pPr>
        <w:pStyle w:val="Heading1"/>
        <w:pBdr>
          <w:bottom w:val="single" w:sz="8" w:space="1" w:color="4A0080"/>
        </w:pBdr>
      </w:pPr>
      <w:r>
        <w:t>3.  System Architecture</w:t>
      </w:r>
    </w:p>
    <w:p w14:paraId="0DF22F50" w14:textId="77777777" w:rsidR="00877CE3" w:rsidRDefault="00000000">
      <w:pPr>
        <w:spacing w:before="80" w:after="120" w:line="340" w:lineRule="auto"/>
        <w:jc w:val="both"/>
      </w:pPr>
      <w:proofErr w:type="spellStart"/>
      <w:r>
        <w:t>MediAid</w:t>
      </w:r>
      <w:proofErr w:type="spellEnd"/>
      <w:r>
        <w:t xml:space="preserve"> is architected around the principle of platform-agnostic service delivery: a single backend system that handles all core logic, data persistence, and AI inference, while modular platform adapters manage protocol-level communication with individual messaging APIs. This design ensures that the business logic for medication scheduling, reminder dispatch, and adherence tracking is written exactly once and shared across all deployment targets.</w:t>
      </w:r>
    </w:p>
    <w:p w14:paraId="6F5B080F" w14:textId="77777777" w:rsidR="00877CE3" w:rsidRDefault="00000000">
      <w:pPr>
        <w:pStyle w:val="Heading2"/>
      </w:pPr>
      <w:proofErr w:type="gramStart"/>
      <w:r>
        <w:t>3.1  Unified</w:t>
      </w:r>
      <w:proofErr w:type="gramEnd"/>
      <w:r>
        <w:t xml:space="preserve"> Codebase Strategy</w:t>
      </w:r>
    </w:p>
    <w:p w14:paraId="12511DC4" w14:textId="1FF8972E" w:rsidR="00877CE3" w:rsidRDefault="00000000">
      <w:pPr>
        <w:spacing w:before="80" w:after="120" w:line="340" w:lineRule="auto"/>
        <w:jc w:val="both"/>
      </w:pPr>
      <w:proofErr w:type="spellStart"/>
      <w:r>
        <w:t>MediAid</w:t>
      </w:r>
      <w:proofErr w:type="spellEnd"/>
      <w:r>
        <w:t xml:space="preserve"> employs a layered architecture that decouples the core domain from the transport layer. At the </w:t>
      </w:r>
      <w:proofErr w:type="spellStart"/>
      <w:r>
        <w:t>center</w:t>
      </w:r>
      <w:proofErr w:type="spellEnd"/>
      <w:r>
        <w:t xml:space="preserve"> lies a shared services layer responsible for user management, medication registry, scheduling, and AI orchestration. Platform adapters</w:t>
      </w:r>
      <w:r w:rsidR="00C7136B">
        <w:t>,</w:t>
      </w:r>
      <w:r>
        <w:t xml:space="preserve"> currently a single Telegram adapter</w:t>
      </w:r>
      <w:r w:rsidR="00C7136B">
        <w:t>,</w:t>
      </w:r>
      <w:r>
        <w:t xml:space="preserve"> translate incoming messages into a normalized internal event format and dispatch outgoing responses through the appropriate API.</w:t>
      </w:r>
    </w:p>
    <w:tbl>
      <w:tblPr>
        <w:tblW w:w="9360" w:type="dxa"/>
        <w:tblBorders>
          <w:top w:val="single" w:sz="6" w:space="0" w:color="7C3AED"/>
          <w:left w:val="thick" w:sz="24" w:space="0" w:color="4A0080"/>
          <w:bottom w:val="single" w:sz="1" w:space="0" w:color="D8B4FE"/>
          <w:right w:val="single" w:sz="1" w:space="0" w:color="D8B4FE"/>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7CE3" w14:paraId="564F88FC" w14:textId="77777777">
        <w:tblPrEx>
          <w:tblCellMar>
            <w:top w:w="0" w:type="dxa"/>
            <w:bottom w:w="0" w:type="dxa"/>
          </w:tblCellMar>
        </w:tblPrEx>
        <w:tc>
          <w:tcPr>
            <w:tcW w:w="9360" w:type="dxa"/>
            <w:tcBorders>
              <w:top w:val="single" w:sz="6" w:space="0" w:color="7C3AED"/>
              <w:left w:val="thick" w:sz="24" w:space="0" w:color="4A0080"/>
              <w:bottom w:val="single" w:sz="1" w:space="0" w:color="D8B4FE"/>
              <w:right w:val="single" w:sz="1" w:space="0" w:color="D8B4FE"/>
            </w:tcBorders>
            <w:shd w:val="clear" w:color="auto" w:fill="F5F3FF"/>
            <w:tcMar>
              <w:top w:w="120" w:type="dxa"/>
              <w:left w:w="200" w:type="dxa"/>
              <w:bottom w:w="120" w:type="dxa"/>
              <w:right w:w="200" w:type="dxa"/>
            </w:tcMar>
          </w:tcPr>
          <w:p w14:paraId="1E20404D" w14:textId="77777777" w:rsidR="00877CE3" w:rsidRDefault="00000000">
            <w:pPr>
              <w:spacing w:before="40" w:after="60"/>
            </w:pPr>
            <w:r>
              <w:rPr>
                <w:b/>
                <w:bCs/>
                <w:color w:val="4A0080"/>
              </w:rPr>
              <w:t xml:space="preserve">Architectural Principle:  </w:t>
            </w:r>
            <w:r>
              <w:rPr>
                <w:i/>
                <w:iCs/>
              </w:rPr>
              <w:t>All medication logic, AI processing, and database interactions reside in a platform-neutral core. Platform adapters are thin translation wrappers, not feature hosts.</w:t>
            </w:r>
          </w:p>
        </w:tc>
      </w:tr>
    </w:tbl>
    <w:p w14:paraId="7804A653" w14:textId="77777777" w:rsidR="00877CE3" w:rsidRDefault="00000000">
      <w:pPr>
        <w:pStyle w:val="Heading2"/>
      </w:pPr>
      <w:proofErr w:type="gramStart"/>
      <w:r>
        <w:t>3.2  Data</w:t>
      </w:r>
      <w:proofErr w:type="gramEnd"/>
      <w:r>
        <w:t xml:space="preserve"> Layer &amp; Single Source of Truth</w:t>
      </w:r>
    </w:p>
    <w:p w14:paraId="656DC612" w14:textId="77777777" w:rsidR="00877CE3" w:rsidRDefault="00000000">
      <w:pPr>
        <w:spacing w:before="80" w:after="120" w:line="340" w:lineRule="auto"/>
        <w:jc w:val="both"/>
      </w:pPr>
      <w:r>
        <w:t>A unified PostgreSQL-compatible relational database serves as the single source of truth for all platform interactions. The schema is defined and managed through Drizzle ORM, providing full type inference from schema definitions to query results. Key entities include:</w:t>
      </w:r>
    </w:p>
    <w:p w14:paraId="3F548D8F" w14:textId="277F66AD" w:rsidR="00877CE3" w:rsidRDefault="00000000">
      <w:pPr>
        <w:pStyle w:val="ListParagraph"/>
        <w:numPr>
          <w:ilvl w:val="0"/>
          <w:numId w:val="2"/>
        </w:numPr>
        <w:spacing w:before="60" w:after="60" w:line="300" w:lineRule="auto"/>
      </w:pPr>
      <w:r>
        <w:t xml:space="preserve">Users </w:t>
      </w:r>
      <w:r w:rsidR="00C7136B">
        <w:t>-</w:t>
      </w:r>
      <w:r>
        <w:t xml:space="preserve"> storing cross-platform identity, contact references, and </w:t>
      </w:r>
      <w:proofErr w:type="spellStart"/>
      <w:r>
        <w:t>timezone</w:t>
      </w:r>
      <w:proofErr w:type="spellEnd"/>
      <w:r>
        <w:t xml:space="preserve"> metadata.</w:t>
      </w:r>
    </w:p>
    <w:p w14:paraId="29C78BCE" w14:textId="6266D318" w:rsidR="00877CE3" w:rsidRDefault="00000000">
      <w:pPr>
        <w:pStyle w:val="ListParagraph"/>
        <w:numPr>
          <w:ilvl w:val="0"/>
          <w:numId w:val="2"/>
        </w:numPr>
        <w:spacing w:before="60" w:after="60" w:line="300" w:lineRule="auto"/>
      </w:pPr>
      <w:r>
        <w:t xml:space="preserve">Medications </w:t>
      </w:r>
      <w:r w:rsidR="00C7136B">
        <w:t>-</w:t>
      </w:r>
      <w:r>
        <w:t xml:space="preserve"> representing drug names, dosage information, frequency patterns, and active status.</w:t>
      </w:r>
    </w:p>
    <w:p w14:paraId="674B240B" w14:textId="1708855A" w:rsidR="00877CE3" w:rsidRDefault="00000000">
      <w:pPr>
        <w:pStyle w:val="ListParagraph"/>
        <w:numPr>
          <w:ilvl w:val="0"/>
          <w:numId w:val="2"/>
        </w:numPr>
        <w:spacing w:before="60" w:after="60" w:line="300" w:lineRule="auto"/>
      </w:pPr>
      <w:r>
        <w:t xml:space="preserve">Schedules </w:t>
      </w:r>
      <w:r w:rsidR="00C7136B">
        <w:t>-</w:t>
      </w:r>
      <w:r>
        <w:t xml:space="preserve"> encoding </w:t>
      </w:r>
      <w:proofErr w:type="spellStart"/>
      <w:r>
        <w:t>cron</w:t>
      </w:r>
      <w:proofErr w:type="spellEnd"/>
      <w:r>
        <w:t>-compatible timing rules linked to specific medication records.</w:t>
      </w:r>
    </w:p>
    <w:p w14:paraId="48B29B67" w14:textId="72EE5743" w:rsidR="00877CE3" w:rsidRDefault="00000000">
      <w:pPr>
        <w:pStyle w:val="ListParagraph"/>
        <w:numPr>
          <w:ilvl w:val="0"/>
          <w:numId w:val="2"/>
        </w:numPr>
        <w:spacing w:before="60" w:after="60" w:line="300" w:lineRule="auto"/>
      </w:pPr>
      <w:proofErr w:type="spellStart"/>
      <w:r>
        <w:lastRenderedPageBreak/>
        <w:t>AdherenceLog</w:t>
      </w:r>
      <w:proofErr w:type="spellEnd"/>
      <w:r>
        <w:t xml:space="preserve"> </w:t>
      </w:r>
      <w:r w:rsidR="00C7136B">
        <w:t>-</w:t>
      </w:r>
      <w:r>
        <w:t xml:space="preserve"> recording each reminder event, the user's response, and the outcome (confirmed, missed, snoozed).</w:t>
      </w:r>
    </w:p>
    <w:p w14:paraId="3DA164DB" w14:textId="03F93931" w:rsidR="00877CE3" w:rsidRDefault="00000000">
      <w:pPr>
        <w:spacing w:before="80" w:after="120" w:line="340" w:lineRule="auto"/>
        <w:jc w:val="both"/>
      </w:pPr>
      <w:r>
        <w:t xml:space="preserve">Because the data model is platform-neutral by design, a user's medication history and adherence record remain fully portable. </w:t>
      </w:r>
      <w:r w:rsidR="00C7136B">
        <w:t>Existing</w:t>
      </w:r>
      <w:r>
        <w:t xml:space="preserve"> users can transition channels without data migration, as their profile is already stored in the shared schema.</w:t>
      </w:r>
    </w:p>
    <w:p w14:paraId="66CF12AD" w14:textId="39D3EB3B" w:rsidR="00877CE3" w:rsidRDefault="00000000">
      <w:pPr>
        <w:pStyle w:val="Heading2"/>
      </w:pPr>
      <w:proofErr w:type="gramStart"/>
      <w:r>
        <w:t xml:space="preserve">3.3  </w:t>
      </w:r>
      <w:r w:rsidR="00C7136B">
        <w:t>User</w:t>
      </w:r>
      <w:proofErr w:type="gramEnd"/>
      <w:r w:rsidR="00C7136B">
        <w:t xml:space="preserve"> Journey Architecture</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40"/>
      </w:tblGrid>
      <w:tr w:rsidR="00877CE3" w14:paraId="46710F26" w14:textId="77777777" w:rsidTr="00C7136B">
        <w:tblPrEx>
          <w:tblCellMar>
            <w:top w:w="0" w:type="dxa"/>
            <w:bottom w:w="0" w:type="dxa"/>
          </w:tblCellMar>
        </w:tblPrEx>
        <w:tc>
          <w:tcPr>
            <w:tcW w:w="9840" w:type="dxa"/>
            <w:tcBorders>
              <w:top w:val="single" w:sz="1" w:space="0" w:color="D8B4FE"/>
              <w:left w:val="thick" w:sz="24" w:space="0" w:color="4A0080"/>
              <w:bottom w:val="single" w:sz="1" w:space="0" w:color="D8B4FE"/>
              <w:right w:val="single" w:sz="1" w:space="0" w:color="D8B4FE"/>
            </w:tcBorders>
            <w:shd w:val="clear" w:color="auto" w:fill="F5F3FF"/>
            <w:tcMar>
              <w:top w:w="180" w:type="dxa"/>
              <w:left w:w="240" w:type="dxa"/>
              <w:bottom w:w="180" w:type="dxa"/>
              <w:right w:w="240" w:type="dxa"/>
            </w:tcMar>
          </w:tcPr>
          <w:p w14:paraId="6B4B6510" w14:textId="595AF389" w:rsidR="00877CE3" w:rsidRDefault="00C7136B">
            <w:pPr>
              <w:jc w:val="center"/>
            </w:pPr>
            <w:r>
              <w:rPr>
                <w:noProof/>
              </w:rPr>
              <w:drawing>
                <wp:inline distT="0" distB="0" distL="0" distR="0" wp14:anchorId="113DA71D" wp14:editId="604CC5A7">
                  <wp:extent cx="5943600" cy="2628265"/>
                  <wp:effectExtent l="0" t="0" r="0" b="635"/>
                  <wp:docPr id="50289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96102" name="Picture 50289610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628265"/>
                          </a:xfrm>
                          <a:prstGeom prst="rect">
                            <a:avLst/>
                          </a:prstGeom>
                        </pic:spPr>
                      </pic:pic>
                    </a:graphicData>
                  </a:graphic>
                </wp:inline>
              </w:drawing>
            </w:r>
          </w:p>
        </w:tc>
      </w:tr>
    </w:tbl>
    <w:p w14:paraId="2542DDAC" w14:textId="77777777" w:rsidR="00877CE3" w:rsidRDefault="00000000">
      <w:pPr>
        <w:pStyle w:val="Heading1"/>
        <w:pBdr>
          <w:bottom w:val="single" w:sz="8" w:space="1" w:color="4A0080"/>
        </w:pBdr>
      </w:pPr>
      <w:r>
        <w:t>4.  Core Technologies</w:t>
      </w:r>
    </w:p>
    <w:p w14:paraId="113EE02F" w14:textId="77777777" w:rsidR="00877CE3" w:rsidRDefault="00000000">
      <w:pPr>
        <w:spacing w:before="80" w:after="120" w:line="340" w:lineRule="auto"/>
      </w:pPr>
      <w:r>
        <w:t xml:space="preserve">The following technology stack underpins </w:t>
      </w:r>
      <w:proofErr w:type="spellStart"/>
      <w:r>
        <w:t>MediAid's</w:t>
      </w:r>
      <w:proofErr w:type="spellEnd"/>
      <w:r>
        <w:t xml:space="preserv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877CE3" w14:paraId="30A6C814" w14:textId="77777777">
        <w:tblPrEx>
          <w:tblCellMar>
            <w:top w:w="0" w:type="dxa"/>
            <w:bottom w:w="0" w:type="dxa"/>
          </w:tblCellMar>
        </w:tblPrEx>
        <w:trPr>
          <w:tblHeader/>
        </w:trPr>
        <w:tc>
          <w:tcPr>
            <w:tcW w:w="2200" w:type="dxa"/>
            <w:tcBorders>
              <w:top w:val="single" w:sz="1" w:space="0" w:color="D8B4FE"/>
              <w:left w:val="single" w:sz="1" w:space="0" w:color="D8B4FE"/>
              <w:bottom w:val="single" w:sz="1" w:space="0" w:color="D8B4FE"/>
              <w:right w:val="single" w:sz="1" w:space="0" w:color="D8B4FE"/>
            </w:tcBorders>
            <w:shd w:val="clear" w:color="auto" w:fill="4A0080"/>
            <w:tcMar>
              <w:top w:w="100" w:type="dxa"/>
              <w:left w:w="140" w:type="dxa"/>
              <w:bottom w:w="100" w:type="dxa"/>
              <w:right w:w="140" w:type="dxa"/>
            </w:tcMar>
          </w:tcPr>
          <w:p w14:paraId="78DA8F61" w14:textId="77777777" w:rsidR="00877CE3" w:rsidRDefault="00000000">
            <w:r>
              <w:rPr>
                <w:b/>
                <w:bCs/>
                <w:color w:val="FFFFFF"/>
                <w:sz w:val="20"/>
                <w:szCs w:val="20"/>
              </w:rPr>
              <w:t>Layer</w:t>
            </w:r>
          </w:p>
        </w:tc>
        <w:tc>
          <w:tcPr>
            <w:tcW w:w="2200" w:type="dxa"/>
            <w:tcBorders>
              <w:top w:val="single" w:sz="1" w:space="0" w:color="D8B4FE"/>
              <w:left w:val="single" w:sz="1" w:space="0" w:color="D8B4FE"/>
              <w:bottom w:val="single" w:sz="1" w:space="0" w:color="D8B4FE"/>
              <w:right w:val="single" w:sz="1" w:space="0" w:color="D8B4FE"/>
            </w:tcBorders>
            <w:shd w:val="clear" w:color="auto" w:fill="4A0080"/>
            <w:tcMar>
              <w:top w:w="100" w:type="dxa"/>
              <w:left w:w="140" w:type="dxa"/>
              <w:bottom w:w="100" w:type="dxa"/>
              <w:right w:w="140" w:type="dxa"/>
            </w:tcMar>
          </w:tcPr>
          <w:p w14:paraId="73BB697B" w14:textId="77777777" w:rsidR="00877CE3" w:rsidRDefault="00000000">
            <w:r>
              <w:rPr>
                <w:b/>
                <w:bCs/>
                <w:color w:val="FFFFFF"/>
                <w:sz w:val="20"/>
                <w:szCs w:val="20"/>
              </w:rPr>
              <w:t>Technology</w:t>
            </w:r>
          </w:p>
        </w:tc>
        <w:tc>
          <w:tcPr>
            <w:tcW w:w="4960" w:type="dxa"/>
            <w:tcBorders>
              <w:top w:val="single" w:sz="1" w:space="0" w:color="D8B4FE"/>
              <w:left w:val="single" w:sz="1" w:space="0" w:color="D8B4FE"/>
              <w:bottom w:val="single" w:sz="1" w:space="0" w:color="D8B4FE"/>
              <w:right w:val="single" w:sz="1" w:space="0" w:color="D8B4FE"/>
            </w:tcBorders>
            <w:shd w:val="clear" w:color="auto" w:fill="4A0080"/>
            <w:tcMar>
              <w:top w:w="100" w:type="dxa"/>
              <w:left w:w="140" w:type="dxa"/>
              <w:bottom w:w="100" w:type="dxa"/>
              <w:right w:w="140" w:type="dxa"/>
            </w:tcMar>
          </w:tcPr>
          <w:p w14:paraId="77CA8D97" w14:textId="77777777" w:rsidR="00877CE3" w:rsidRDefault="00000000">
            <w:r>
              <w:rPr>
                <w:b/>
                <w:bCs/>
                <w:color w:val="FFFFFF"/>
                <w:sz w:val="20"/>
                <w:szCs w:val="20"/>
              </w:rPr>
              <w:t>Purpose</w:t>
            </w:r>
          </w:p>
        </w:tc>
      </w:tr>
      <w:tr w:rsidR="00877CE3" w14:paraId="782AC596" w14:textId="77777777">
        <w:tblPrEx>
          <w:tblCellMar>
            <w:top w:w="0" w:type="dxa"/>
            <w:bottom w:w="0" w:type="dxa"/>
          </w:tblCellMar>
        </w:tblPrEx>
        <w:tc>
          <w:tcPr>
            <w:tcW w:w="2200" w:type="dxa"/>
            <w:tcBorders>
              <w:top w:val="single" w:sz="1" w:space="0" w:color="D8B4FE"/>
              <w:left w:val="single" w:sz="1" w:space="0" w:color="D8B4FE"/>
              <w:bottom w:val="single" w:sz="1" w:space="0" w:color="D8B4FE"/>
              <w:right w:val="single" w:sz="1" w:space="0" w:color="D8B4FE"/>
            </w:tcBorders>
            <w:shd w:val="clear" w:color="auto" w:fill="FFFFFF"/>
            <w:tcMar>
              <w:top w:w="100" w:type="dxa"/>
              <w:left w:w="140" w:type="dxa"/>
              <w:bottom w:w="100" w:type="dxa"/>
              <w:right w:w="140" w:type="dxa"/>
            </w:tcMar>
          </w:tcPr>
          <w:p w14:paraId="0956623D" w14:textId="77777777" w:rsidR="00877CE3" w:rsidRDefault="00000000">
            <w:r>
              <w:rPr>
                <w:color w:val="1A1A2E"/>
                <w:sz w:val="20"/>
                <w:szCs w:val="20"/>
              </w:rPr>
              <w:t>Bot Logic &amp; Backend</w:t>
            </w:r>
          </w:p>
        </w:tc>
        <w:tc>
          <w:tcPr>
            <w:tcW w:w="2200" w:type="dxa"/>
            <w:tcBorders>
              <w:top w:val="single" w:sz="1" w:space="0" w:color="D8B4FE"/>
              <w:left w:val="single" w:sz="1" w:space="0" w:color="D8B4FE"/>
              <w:bottom w:val="single" w:sz="1" w:space="0" w:color="D8B4FE"/>
              <w:right w:val="single" w:sz="1" w:space="0" w:color="D8B4FE"/>
            </w:tcBorders>
            <w:shd w:val="clear" w:color="auto" w:fill="FFFFFF"/>
            <w:tcMar>
              <w:top w:w="100" w:type="dxa"/>
              <w:left w:w="140" w:type="dxa"/>
              <w:bottom w:w="100" w:type="dxa"/>
              <w:right w:w="140" w:type="dxa"/>
            </w:tcMar>
          </w:tcPr>
          <w:p w14:paraId="52036FC3" w14:textId="77777777" w:rsidR="00877CE3" w:rsidRDefault="00000000">
            <w:r>
              <w:rPr>
                <w:color w:val="1A1A2E"/>
                <w:sz w:val="20"/>
                <w:szCs w:val="20"/>
              </w:rPr>
              <w:t>TypeScript</w:t>
            </w:r>
          </w:p>
        </w:tc>
        <w:tc>
          <w:tcPr>
            <w:tcW w:w="4960" w:type="dxa"/>
            <w:tcBorders>
              <w:top w:val="single" w:sz="1" w:space="0" w:color="D8B4FE"/>
              <w:left w:val="single" w:sz="1" w:space="0" w:color="D8B4FE"/>
              <w:bottom w:val="single" w:sz="1" w:space="0" w:color="D8B4FE"/>
              <w:right w:val="single" w:sz="1" w:space="0" w:color="D8B4FE"/>
            </w:tcBorders>
            <w:shd w:val="clear" w:color="auto" w:fill="FFFFFF"/>
            <w:tcMar>
              <w:top w:w="100" w:type="dxa"/>
              <w:left w:w="140" w:type="dxa"/>
              <w:bottom w:w="100" w:type="dxa"/>
              <w:right w:w="140" w:type="dxa"/>
            </w:tcMar>
          </w:tcPr>
          <w:p w14:paraId="68E36F1E" w14:textId="77777777" w:rsidR="00877CE3" w:rsidRDefault="00000000">
            <w:r>
              <w:rPr>
                <w:color w:val="1A1A2E"/>
                <w:sz w:val="20"/>
                <w:szCs w:val="20"/>
              </w:rPr>
              <w:t>Type-safe, scalable server-side development</w:t>
            </w:r>
          </w:p>
        </w:tc>
      </w:tr>
      <w:tr w:rsidR="00877CE3" w14:paraId="516C3731" w14:textId="77777777">
        <w:tblPrEx>
          <w:tblCellMar>
            <w:top w:w="0" w:type="dxa"/>
            <w:bottom w:w="0" w:type="dxa"/>
          </w:tblCellMar>
        </w:tblPrEx>
        <w:tc>
          <w:tcPr>
            <w:tcW w:w="2200" w:type="dxa"/>
            <w:tcBorders>
              <w:top w:val="single" w:sz="1" w:space="0" w:color="D8B4FE"/>
              <w:left w:val="single" w:sz="1" w:space="0" w:color="D8B4FE"/>
              <w:bottom w:val="single" w:sz="1" w:space="0" w:color="D8B4FE"/>
              <w:right w:val="single" w:sz="1" w:space="0" w:color="D8B4FE"/>
            </w:tcBorders>
            <w:shd w:val="clear" w:color="auto" w:fill="F5F3FF"/>
            <w:tcMar>
              <w:top w:w="100" w:type="dxa"/>
              <w:left w:w="140" w:type="dxa"/>
              <w:bottom w:w="100" w:type="dxa"/>
              <w:right w:w="140" w:type="dxa"/>
            </w:tcMar>
          </w:tcPr>
          <w:p w14:paraId="1BEAF6B8" w14:textId="77777777" w:rsidR="00877CE3" w:rsidRDefault="00000000">
            <w:r>
              <w:rPr>
                <w:color w:val="1A1A2E"/>
                <w:sz w:val="20"/>
                <w:szCs w:val="20"/>
              </w:rPr>
              <w:t>AI Inference Engine</w:t>
            </w:r>
          </w:p>
        </w:tc>
        <w:tc>
          <w:tcPr>
            <w:tcW w:w="2200" w:type="dxa"/>
            <w:tcBorders>
              <w:top w:val="single" w:sz="1" w:space="0" w:color="D8B4FE"/>
              <w:left w:val="single" w:sz="1" w:space="0" w:color="D8B4FE"/>
              <w:bottom w:val="single" w:sz="1" w:space="0" w:color="D8B4FE"/>
              <w:right w:val="single" w:sz="1" w:space="0" w:color="D8B4FE"/>
            </w:tcBorders>
            <w:shd w:val="clear" w:color="auto" w:fill="F5F3FF"/>
            <w:tcMar>
              <w:top w:w="100" w:type="dxa"/>
              <w:left w:w="140" w:type="dxa"/>
              <w:bottom w:w="100" w:type="dxa"/>
              <w:right w:w="140" w:type="dxa"/>
            </w:tcMar>
          </w:tcPr>
          <w:p w14:paraId="2007A1A0" w14:textId="77777777" w:rsidR="00877CE3" w:rsidRDefault="00000000">
            <w:proofErr w:type="spellStart"/>
            <w:r>
              <w:rPr>
                <w:color w:val="1A1A2E"/>
                <w:sz w:val="20"/>
                <w:szCs w:val="20"/>
              </w:rPr>
              <w:t>Groq</w:t>
            </w:r>
            <w:proofErr w:type="spellEnd"/>
            <w:r>
              <w:rPr>
                <w:color w:val="1A1A2E"/>
                <w:sz w:val="20"/>
                <w:szCs w:val="20"/>
              </w:rPr>
              <w:t xml:space="preserve"> API</w:t>
            </w:r>
          </w:p>
        </w:tc>
        <w:tc>
          <w:tcPr>
            <w:tcW w:w="4960" w:type="dxa"/>
            <w:tcBorders>
              <w:top w:val="single" w:sz="1" w:space="0" w:color="D8B4FE"/>
              <w:left w:val="single" w:sz="1" w:space="0" w:color="D8B4FE"/>
              <w:bottom w:val="single" w:sz="1" w:space="0" w:color="D8B4FE"/>
              <w:right w:val="single" w:sz="1" w:space="0" w:color="D8B4FE"/>
            </w:tcBorders>
            <w:shd w:val="clear" w:color="auto" w:fill="F5F3FF"/>
            <w:tcMar>
              <w:top w:w="100" w:type="dxa"/>
              <w:left w:w="140" w:type="dxa"/>
              <w:bottom w:w="100" w:type="dxa"/>
              <w:right w:w="140" w:type="dxa"/>
            </w:tcMar>
          </w:tcPr>
          <w:p w14:paraId="5FD0341D" w14:textId="77777777" w:rsidR="00877CE3" w:rsidRDefault="00000000">
            <w:r>
              <w:rPr>
                <w:color w:val="1A1A2E"/>
                <w:sz w:val="20"/>
                <w:szCs w:val="20"/>
              </w:rPr>
              <w:t>Ultra-low-latency large language model inference</w:t>
            </w:r>
          </w:p>
        </w:tc>
      </w:tr>
      <w:tr w:rsidR="00877CE3" w14:paraId="69C3AEB1" w14:textId="77777777">
        <w:tblPrEx>
          <w:tblCellMar>
            <w:top w:w="0" w:type="dxa"/>
            <w:bottom w:w="0" w:type="dxa"/>
          </w:tblCellMar>
        </w:tblPrEx>
        <w:tc>
          <w:tcPr>
            <w:tcW w:w="2200" w:type="dxa"/>
            <w:tcBorders>
              <w:top w:val="single" w:sz="1" w:space="0" w:color="D8B4FE"/>
              <w:left w:val="single" w:sz="1" w:space="0" w:color="D8B4FE"/>
              <w:bottom w:val="single" w:sz="1" w:space="0" w:color="D8B4FE"/>
              <w:right w:val="single" w:sz="1" w:space="0" w:color="D8B4FE"/>
            </w:tcBorders>
            <w:shd w:val="clear" w:color="auto" w:fill="FFFFFF"/>
            <w:tcMar>
              <w:top w:w="100" w:type="dxa"/>
              <w:left w:w="140" w:type="dxa"/>
              <w:bottom w:w="100" w:type="dxa"/>
              <w:right w:w="140" w:type="dxa"/>
            </w:tcMar>
          </w:tcPr>
          <w:p w14:paraId="3F8E39E7" w14:textId="77777777" w:rsidR="00877CE3" w:rsidRDefault="00000000">
            <w:r>
              <w:rPr>
                <w:color w:val="1A1A2E"/>
                <w:sz w:val="20"/>
                <w:szCs w:val="20"/>
              </w:rPr>
              <w:t>Database ORM</w:t>
            </w:r>
          </w:p>
        </w:tc>
        <w:tc>
          <w:tcPr>
            <w:tcW w:w="2200" w:type="dxa"/>
            <w:tcBorders>
              <w:top w:val="single" w:sz="1" w:space="0" w:color="D8B4FE"/>
              <w:left w:val="single" w:sz="1" w:space="0" w:color="D8B4FE"/>
              <w:bottom w:val="single" w:sz="1" w:space="0" w:color="D8B4FE"/>
              <w:right w:val="single" w:sz="1" w:space="0" w:color="D8B4FE"/>
            </w:tcBorders>
            <w:shd w:val="clear" w:color="auto" w:fill="FFFFFF"/>
            <w:tcMar>
              <w:top w:w="100" w:type="dxa"/>
              <w:left w:w="140" w:type="dxa"/>
              <w:bottom w:w="100" w:type="dxa"/>
              <w:right w:w="140" w:type="dxa"/>
            </w:tcMar>
          </w:tcPr>
          <w:p w14:paraId="4E502A5C" w14:textId="77777777" w:rsidR="00877CE3" w:rsidRDefault="00000000">
            <w:r>
              <w:rPr>
                <w:color w:val="1A1A2E"/>
                <w:sz w:val="20"/>
                <w:szCs w:val="20"/>
              </w:rPr>
              <w:t>Drizzle ORM</w:t>
            </w:r>
          </w:p>
        </w:tc>
        <w:tc>
          <w:tcPr>
            <w:tcW w:w="4960" w:type="dxa"/>
            <w:tcBorders>
              <w:top w:val="single" w:sz="1" w:space="0" w:color="D8B4FE"/>
              <w:left w:val="single" w:sz="1" w:space="0" w:color="D8B4FE"/>
              <w:bottom w:val="single" w:sz="1" w:space="0" w:color="D8B4FE"/>
              <w:right w:val="single" w:sz="1" w:space="0" w:color="D8B4FE"/>
            </w:tcBorders>
            <w:shd w:val="clear" w:color="auto" w:fill="FFFFFF"/>
            <w:tcMar>
              <w:top w:w="100" w:type="dxa"/>
              <w:left w:w="140" w:type="dxa"/>
              <w:bottom w:w="100" w:type="dxa"/>
              <w:right w:w="140" w:type="dxa"/>
            </w:tcMar>
          </w:tcPr>
          <w:p w14:paraId="7475E449" w14:textId="77777777" w:rsidR="00877CE3" w:rsidRDefault="00000000">
            <w:r>
              <w:rPr>
                <w:color w:val="1A1A2E"/>
                <w:sz w:val="20"/>
                <w:szCs w:val="20"/>
              </w:rPr>
              <w:t>Schema definition, migrations, and type-safe queries</w:t>
            </w:r>
          </w:p>
        </w:tc>
      </w:tr>
      <w:tr w:rsidR="00877CE3" w14:paraId="6F835273" w14:textId="77777777">
        <w:tblPrEx>
          <w:tblCellMar>
            <w:top w:w="0" w:type="dxa"/>
            <w:bottom w:w="0" w:type="dxa"/>
          </w:tblCellMar>
        </w:tblPrEx>
        <w:tc>
          <w:tcPr>
            <w:tcW w:w="2200" w:type="dxa"/>
            <w:tcBorders>
              <w:top w:val="single" w:sz="1" w:space="0" w:color="D8B4FE"/>
              <w:left w:val="single" w:sz="1" w:space="0" w:color="D8B4FE"/>
              <w:bottom w:val="single" w:sz="1" w:space="0" w:color="D8B4FE"/>
              <w:right w:val="single" w:sz="1" w:space="0" w:color="D8B4FE"/>
            </w:tcBorders>
            <w:shd w:val="clear" w:color="auto" w:fill="F5F3FF"/>
            <w:tcMar>
              <w:top w:w="100" w:type="dxa"/>
              <w:left w:w="140" w:type="dxa"/>
              <w:bottom w:w="100" w:type="dxa"/>
              <w:right w:w="140" w:type="dxa"/>
            </w:tcMar>
          </w:tcPr>
          <w:p w14:paraId="1311A4FB" w14:textId="77777777" w:rsidR="00877CE3" w:rsidRDefault="00000000">
            <w:r>
              <w:rPr>
                <w:color w:val="1A1A2E"/>
                <w:sz w:val="20"/>
                <w:szCs w:val="20"/>
              </w:rPr>
              <w:t>Frontend (Landing)</w:t>
            </w:r>
          </w:p>
        </w:tc>
        <w:tc>
          <w:tcPr>
            <w:tcW w:w="2200" w:type="dxa"/>
            <w:tcBorders>
              <w:top w:val="single" w:sz="1" w:space="0" w:color="D8B4FE"/>
              <w:left w:val="single" w:sz="1" w:space="0" w:color="D8B4FE"/>
              <w:bottom w:val="single" w:sz="1" w:space="0" w:color="D8B4FE"/>
              <w:right w:val="single" w:sz="1" w:space="0" w:color="D8B4FE"/>
            </w:tcBorders>
            <w:shd w:val="clear" w:color="auto" w:fill="F5F3FF"/>
            <w:tcMar>
              <w:top w:w="100" w:type="dxa"/>
              <w:left w:w="140" w:type="dxa"/>
              <w:bottom w:w="100" w:type="dxa"/>
              <w:right w:w="140" w:type="dxa"/>
            </w:tcMar>
          </w:tcPr>
          <w:p w14:paraId="26F2DB25" w14:textId="77777777" w:rsidR="00877CE3" w:rsidRDefault="00000000">
            <w:r>
              <w:rPr>
                <w:color w:val="1A1A2E"/>
                <w:sz w:val="20"/>
                <w:szCs w:val="20"/>
              </w:rPr>
              <w:t>Next.js + Tailwind CSS</w:t>
            </w:r>
          </w:p>
        </w:tc>
        <w:tc>
          <w:tcPr>
            <w:tcW w:w="4960" w:type="dxa"/>
            <w:tcBorders>
              <w:top w:val="single" w:sz="1" w:space="0" w:color="D8B4FE"/>
              <w:left w:val="single" w:sz="1" w:space="0" w:color="D8B4FE"/>
              <w:bottom w:val="single" w:sz="1" w:space="0" w:color="D8B4FE"/>
              <w:right w:val="single" w:sz="1" w:space="0" w:color="D8B4FE"/>
            </w:tcBorders>
            <w:shd w:val="clear" w:color="auto" w:fill="F5F3FF"/>
            <w:tcMar>
              <w:top w:w="100" w:type="dxa"/>
              <w:left w:w="140" w:type="dxa"/>
              <w:bottom w:w="100" w:type="dxa"/>
              <w:right w:w="140" w:type="dxa"/>
            </w:tcMar>
          </w:tcPr>
          <w:p w14:paraId="4DCDE97E" w14:textId="77777777" w:rsidR="00877CE3" w:rsidRDefault="00000000">
            <w:r>
              <w:rPr>
                <w:color w:val="1A1A2E"/>
                <w:sz w:val="20"/>
                <w:szCs w:val="20"/>
              </w:rPr>
              <w:t>Static site generation with utility-first styling</w:t>
            </w:r>
          </w:p>
        </w:tc>
      </w:tr>
      <w:tr w:rsidR="00877CE3" w14:paraId="2A1CC307" w14:textId="77777777">
        <w:tblPrEx>
          <w:tblCellMar>
            <w:top w:w="0" w:type="dxa"/>
            <w:bottom w:w="0" w:type="dxa"/>
          </w:tblCellMar>
        </w:tblPrEx>
        <w:tc>
          <w:tcPr>
            <w:tcW w:w="2200" w:type="dxa"/>
            <w:tcBorders>
              <w:top w:val="single" w:sz="1" w:space="0" w:color="D8B4FE"/>
              <w:left w:val="single" w:sz="1" w:space="0" w:color="D8B4FE"/>
              <w:bottom w:val="single" w:sz="1" w:space="0" w:color="D8B4FE"/>
              <w:right w:val="single" w:sz="1" w:space="0" w:color="D8B4FE"/>
            </w:tcBorders>
            <w:shd w:val="clear" w:color="auto" w:fill="FFFFFF"/>
            <w:tcMar>
              <w:top w:w="100" w:type="dxa"/>
              <w:left w:w="140" w:type="dxa"/>
              <w:bottom w:w="100" w:type="dxa"/>
              <w:right w:w="140" w:type="dxa"/>
            </w:tcMar>
          </w:tcPr>
          <w:p w14:paraId="1BFEF127" w14:textId="77777777" w:rsidR="00877CE3" w:rsidRDefault="00000000">
            <w:r>
              <w:rPr>
                <w:color w:val="1A1A2E"/>
                <w:sz w:val="20"/>
                <w:szCs w:val="20"/>
              </w:rPr>
              <w:t>Messaging Platform</w:t>
            </w:r>
          </w:p>
        </w:tc>
        <w:tc>
          <w:tcPr>
            <w:tcW w:w="2200" w:type="dxa"/>
            <w:tcBorders>
              <w:top w:val="single" w:sz="1" w:space="0" w:color="D8B4FE"/>
              <w:left w:val="single" w:sz="1" w:space="0" w:color="D8B4FE"/>
              <w:bottom w:val="single" w:sz="1" w:space="0" w:color="D8B4FE"/>
              <w:right w:val="single" w:sz="1" w:space="0" w:color="D8B4FE"/>
            </w:tcBorders>
            <w:shd w:val="clear" w:color="auto" w:fill="FFFFFF"/>
            <w:tcMar>
              <w:top w:w="100" w:type="dxa"/>
              <w:left w:w="140" w:type="dxa"/>
              <w:bottom w:w="100" w:type="dxa"/>
              <w:right w:w="140" w:type="dxa"/>
            </w:tcMar>
          </w:tcPr>
          <w:p w14:paraId="1E7623E3" w14:textId="77777777" w:rsidR="00877CE3" w:rsidRDefault="00000000">
            <w:r>
              <w:rPr>
                <w:color w:val="1A1A2E"/>
                <w:sz w:val="20"/>
                <w:szCs w:val="20"/>
              </w:rPr>
              <w:t>Telegram Bot API</w:t>
            </w:r>
          </w:p>
        </w:tc>
        <w:tc>
          <w:tcPr>
            <w:tcW w:w="4960" w:type="dxa"/>
            <w:tcBorders>
              <w:top w:val="single" w:sz="1" w:space="0" w:color="D8B4FE"/>
              <w:left w:val="single" w:sz="1" w:space="0" w:color="D8B4FE"/>
              <w:bottom w:val="single" w:sz="1" w:space="0" w:color="D8B4FE"/>
              <w:right w:val="single" w:sz="1" w:space="0" w:color="D8B4FE"/>
            </w:tcBorders>
            <w:shd w:val="clear" w:color="auto" w:fill="FFFFFF"/>
            <w:tcMar>
              <w:top w:w="100" w:type="dxa"/>
              <w:left w:w="140" w:type="dxa"/>
              <w:bottom w:w="100" w:type="dxa"/>
              <w:right w:w="140" w:type="dxa"/>
            </w:tcMar>
          </w:tcPr>
          <w:p w14:paraId="354B7037" w14:textId="77777777" w:rsidR="00877CE3" w:rsidRDefault="00000000">
            <w:r>
              <w:rPr>
                <w:color w:val="1A1A2E"/>
                <w:sz w:val="20"/>
                <w:szCs w:val="20"/>
              </w:rPr>
              <w:t>Primary voice/text interaction channel</w:t>
            </w:r>
          </w:p>
        </w:tc>
      </w:tr>
    </w:tbl>
    <w:p w14:paraId="4654C81F" w14:textId="47E96822" w:rsidR="00C7136B" w:rsidRPr="00C7136B" w:rsidRDefault="00C7136B" w:rsidP="00C7136B">
      <w:pPr>
        <w:tabs>
          <w:tab w:val="left" w:pos="6060"/>
        </w:tabs>
      </w:pPr>
    </w:p>
    <w:sectPr w:rsidR="00C7136B" w:rsidRPr="00C7136B">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4A1A3" w14:textId="77777777" w:rsidR="00F62C6E" w:rsidRDefault="00F62C6E">
      <w:r>
        <w:separator/>
      </w:r>
    </w:p>
  </w:endnote>
  <w:endnote w:type="continuationSeparator" w:id="0">
    <w:p w14:paraId="63DA072B" w14:textId="77777777" w:rsidR="00F62C6E" w:rsidRDefault="00F62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5CD9F" w14:textId="77777777" w:rsidR="00F62C6E" w:rsidRDefault="00F62C6E">
      <w:r>
        <w:separator/>
      </w:r>
    </w:p>
  </w:footnote>
  <w:footnote w:type="continuationSeparator" w:id="0">
    <w:p w14:paraId="3BED64D1" w14:textId="77777777" w:rsidR="00F62C6E" w:rsidRDefault="00F62C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4276E"/>
    <w:multiLevelType w:val="hybridMultilevel"/>
    <w:tmpl w:val="B826413C"/>
    <w:lvl w:ilvl="0" w:tplc="FFE6DB0C">
      <w:start w:val="1"/>
      <w:numFmt w:val="bullet"/>
      <w:lvlText w:val="▪"/>
      <w:lvlJc w:val="left"/>
      <w:pPr>
        <w:ind w:left="720" w:hanging="360"/>
      </w:pPr>
    </w:lvl>
    <w:lvl w:ilvl="1" w:tplc="FDC4CCA0">
      <w:numFmt w:val="decimal"/>
      <w:lvlText w:val=""/>
      <w:lvlJc w:val="left"/>
    </w:lvl>
    <w:lvl w:ilvl="2" w:tplc="B5F2B832">
      <w:numFmt w:val="decimal"/>
      <w:lvlText w:val=""/>
      <w:lvlJc w:val="left"/>
    </w:lvl>
    <w:lvl w:ilvl="3" w:tplc="092C50D8">
      <w:numFmt w:val="decimal"/>
      <w:lvlText w:val=""/>
      <w:lvlJc w:val="left"/>
    </w:lvl>
    <w:lvl w:ilvl="4" w:tplc="DEE6D4BE">
      <w:numFmt w:val="decimal"/>
      <w:lvlText w:val=""/>
      <w:lvlJc w:val="left"/>
    </w:lvl>
    <w:lvl w:ilvl="5" w:tplc="FA4E2CC8">
      <w:numFmt w:val="decimal"/>
      <w:lvlText w:val=""/>
      <w:lvlJc w:val="left"/>
    </w:lvl>
    <w:lvl w:ilvl="6" w:tplc="4D74D904">
      <w:numFmt w:val="decimal"/>
      <w:lvlText w:val=""/>
      <w:lvlJc w:val="left"/>
    </w:lvl>
    <w:lvl w:ilvl="7" w:tplc="0C5A4342">
      <w:numFmt w:val="decimal"/>
      <w:lvlText w:val=""/>
      <w:lvlJc w:val="left"/>
    </w:lvl>
    <w:lvl w:ilvl="8" w:tplc="C62ADA00">
      <w:numFmt w:val="decimal"/>
      <w:lvlText w:val=""/>
      <w:lvlJc w:val="left"/>
    </w:lvl>
  </w:abstractNum>
  <w:abstractNum w:abstractNumId="1" w15:restartNumberingAfterBreak="0">
    <w:nsid w:val="6FD621E4"/>
    <w:multiLevelType w:val="hybridMultilevel"/>
    <w:tmpl w:val="93D82DB4"/>
    <w:lvl w:ilvl="0" w:tplc="C85ADE4E">
      <w:start w:val="1"/>
      <w:numFmt w:val="bullet"/>
      <w:lvlText w:val="●"/>
      <w:lvlJc w:val="left"/>
      <w:pPr>
        <w:ind w:left="720" w:hanging="360"/>
      </w:pPr>
    </w:lvl>
    <w:lvl w:ilvl="1" w:tplc="EBD87CB0">
      <w:start w:val="1"/>
      <w:numFmt w:val="bullet"/>
      <w:lvlText w:val="○"/>
      <w:lvlJc w:val="left"/>
      <w:pPr>
        <w:ind w:left="1440" w:hanging="360"/>
      </w:pPr>
    </w:lvl>
    <w:lvl w:ilvl="2" w:tplc="05B2FAEA">
      <w:start w:val="1"/>
      <w:numFmt w:val="bullet"/>
      <w:lvlText w:val="■"/>
      <w:lvlJc w:val="left"/>
      <w:pPr>
        <w:ind w:left="2160" w:hanging="360"/>
      </w:pPr>
    </w:lvl>
    <w:lvl w:ilvl="3" w:tplc="76668380">
      <w:start w:val="1"/>
      <w:numFmt w:val="bullet"/>
      <w:lvlText w:val="●"/>
      <w:lvlJc w:val="left"/>
      <w:pPr>
        <w:ind w:left="2880" w:hanging="360"/>
      </w:pPr>
    </w:lvl>
    <w:lvl w:ilvl="4" w:tplc="6D247734">
      <w:start w:val="1"/>
      <w:numFmt w:val="bullet"/>
      <w:lvlText w:val="○"/>
      <w:lvlJc w:val="left"/>
      <w:pPr>
        <w:ind w:left="3600" w:hanging="360"/>
      </w:pPr>
    </w:lvl>
    <w:lvl w:ilvl="5" w:tplc="7C728578">
      <w:start w:val="1"/>
      <w:numFmt w:val="bullet"/>
      <w:lvlText w:val="■"/>
      <w:lvlJc w:val="left"/>
      <w:pPr>
        <w:ind w:left="4320" w:hanging="360"/>
      </w:pPr>
    </w:lvl>
    <w:lvl w:ilvl="6" w:tplc="F534608A">
      <w:start w:val="1"/>
      <w:numFmt w:val="bullet"/>
      <w:lvlText w:val="●"/>
      <w:lvlJc w:val="left"/>
      <w:pPr>
        <w:ind w:left="5040" w:hanging="360"/>
      </w:pPr>
    </w:lvl>
    <w:lvl w:ilvl="7" w:tplc="F9BEA3C8">
      <w:start w:val="1"/>
      <w:numFmt w:val="bullet"/>
      <w:lvlText w:val="●"/>
      <w:lvlJc w:val="left"/>
      <w:pPr>
        <w:ind w:left="5760" w:hanging="360"/>
      </w:pPr>
    </w:lvl>
    <w:lvl w:ilvl="8" w:tplc="BDEA4F54">
      <w:start w:val="1"/>
      <w:numFmt w:val="bullet"/>
      <w:lvlText w:val="●"/>
      <w:lvlJc w:val="left"/>
      <w:pPr>
        <w:ind w:left="6480" w:hanging="360"/>
      </w:pPr>
    </w:lvl>
  </w:abstractNum>
  <w:num w:numId="1" w16cid:durableId="34670177">
    <w:abstractNumId w:val="1"/>
    <w:lvlOverride w:ilvl="0">
      <w:startOverride w:val="1"/>
    </w:lvlOverride>
  </w:num>
  <w:num w:numId="2" w16cid:durableId="202118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CE3"/>
    <w:rsid w:val="00257EF7"/>
    <w:rsid w:val="00877CE3"/>
    <w:rsid w:val="00AA2042"/>
    <w:rsid w:val="00B531F8"/>
    <w:rsid w:val="00C7136B"/>
    <w:rsid w:val="00F62C6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863D2"/>
  <w15:docId w15:val="{01824A20-2FFE-4F68-B5C9-2089136B1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4A0080"/>
      <w:sz w:val="30"/>
      <w:szCs w:val="30"/>
    </w:rPr>
  </w:style>
  <w:style w:type="paragraph" w:styleId="Heading2">
    <w:name w:val="heading 2"/>
    <w:uiPriority w:val="9"/>
    <w:unhideWhenUsed/>
    <w:qFormat/>
    <w:pPr>
      <w:spacing w:before="280" w:after="120"/>
      <w:outlineLvl w:val="1"/>
    </w:pPr>
    <w:rPr>
      <w:b/>
      <w:bCs/>
      <w:color w:val="6B21A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57EF7"/>
    <w:pPr>
      <w:tabs>
        <w:tab w:val="center" w:pos="4513"/>
        <w:tab w:val="right" w:pos="9026"/>
      </w:tabs>
    </w:pPr>
    <w:rPr>
      <w:rFonts w:cs="Cordia New"/>
      <w:szCs w:val="28"/>
    </w:rPr>
  </w:style>
  <w:style w:type="character" w:customStyle="1" w:styleId="HeaderChar">
    <w:name w:val="Header Char"/>
    <w:basedOn w:val="DefaultParagraphFont"/>
    <w:link w:val="Header"/>
    <w:uiPriority w:val="99"/>
    <w:rsid w:val="00257EF7"/>
    <w:rPr>
      <w:rFonts w:cs="Cordia New"/>
      <w:szCs w:val="28"/>
    </w:rPr>
  </w:style>
  <w:style w:type="paragraph" w:styleId="Footer">
    <w:name w:val="footer"/>
    <w:basedOn w:val="Normal"/>
    <w:link w:val="FooterChar"/>
    <w:uiPriority w:val="99"/>
    <w:unhideWhenUsed/>
    <w:rsid w:val="00257EF7"/>
    <w:pPr>
      <w:tabs>
        <w:tab w:val="center" w:pos="4513"/>
        <w:tab w:val="right" w:pos="9026"/>
      </w:tabs>
    </w:pPr>
    <w:rPr>
      <w:rFonts w:cs="Cordia New"/>
      <w:szCs w:val="28"/>
    </w:rPr>
  </w:style>
  <w:style w:type="character" w:customStyle="1" w:styleId="FooterChar">
    <w:name w:val="Footer Char"/>
    <w:basedOn w:val="DefaultParagraphFont"/>
    <w:link w:val="Footer"/>
    <w:uiPriority w:val="99"/>
    <w:rsid w:val="00257EF7"/>
    <w:rPr>
      <w:rFonts w:cs="Cordia New"/>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791</Words>
  <Characters>4512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Gaurav Karakoti</cp:lastModifiedBy>
  <cp:revision>2</cp:revision>
  <dcterms:created xsi:type="dcterms:W3CDTF">2026-04-12T05:33:00Z</dcterms:created>
  <dcterms:modified xsi:type="dcterms:W3CDTF">2026-04-12T06:32:00Z</dcterms:modified>
</cp:coreProperties>
</file>