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Heading1"/>
        <w:rPr/>
      </w:pPr>
      <w:bookmarkStart w:colFirst="0" w:colLast="0" w:name="_heading=h.sys80e9pts65" w:id="0"/>
      <w:bookmarkEnd w:id="0"/>
      <w:r w:rsidDel="00000000" w:rsidR="00000000" w:rsidRPr="00000000">
        <w:rPr>
          <w:rtl w:val="0"/>
        </w:rPr>
        <w:t xml:space="preserve">Milestone 5</w:t>
      </w:r>
      <w:r w:rsidDel="00000000" w:rsidR="00000000" w:rsidRPr="00000000">
        <w:pict>
          <v:shape id="Ink 17" style="position:absolute;left:0;text-align:left;margin-left:-383.0pt;margin-top:-65.0pt;width:1.15pt;height:1.05pt;z-index:25167462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">
            <v:imagedata r:id="rId1" o:title=""/>
            <w10:wrap/>
          </v:shape>
        </w:pict>
      </w:r>
    </w:p>
    <w:p w:rsidR="00000000" w:rsidDel="00000000" w:rsidP="00000000" w:rsidRDefault="00000000" w:rsidRPr="00000000" w14:paraId="00000003">
      <w:pPr>
        <w:pStyle w:val="Heading2"/>
        <w:rPr>
          <w:highlight w:val="white"/>
        </w:rPr>
      </w:pPr>
      <w:r w:rsidDel="00000000" w:rsidR="00000000" w:rsidRPr="00000000">
        <w:rPr>
          <w:highlight w:val="white"/>
          <w:rtl w:val="0"/>
        </w:rPr>
        <w:t xml:space="preserve">Overview / Objective</w:t>
      </w:r>
    </w:p>
    <w:p w:rsidR="00000000" w:rsidDel="00000000" w:rsidP="00000000" w:rsidRDefault="00000000" w:rsidRPr="00000000" w14:paraId="00000004">
      <w:pPr>
        <w:rPr>
          <w:highlight w:val="white"/>
        </w:rPr>
      </w:pPr>
      <w:r w:rsidDel="00000000" w:rsidR="00000000" w:rsidRPr="00000000">
        <w:rPr>
          <w:highlight w:val="white"/>
          <w:rtl w:val="0"/>
        </w:rPr>
        <w:t xml:space="preserve">Microstructures are 2D images captured in microscopy, which are defined as the structure of a prepared surface of material. Nonetheless, they efficiently result in a structure-property correlation study. However, manual recognition of microscopic data is both human knowledge-intensive and potentially ambiguous, especially in the case of steel. The current study creates a computer vision of important microconstituents of steels such as ferrite, pearlite, austenite, bainite, and martensite, enabling automatic identification of microstructure. Utilizing the Chan-Vese image segmentation methods, the current work extracted the patches of phases from the collected microstructures of steels. These phase patches constituted the database for the development of a deep convolutional neural network VGG-19, ResNet-50 and EfficientnetB3. The article demonstrates the development and prediction framework of in-silico microstructure vision. Utilizing a few typical example microstructure data, the article discussed the automatic labelling knowledge intensiveness and ambiguous behavior of the created microstructure vision. </w:t>
      </w:r>
    </w:p>
    <w:p w:rsidR="00000000" w:rsidDel="00000000" w:rsidP="00000000" w:rsidRDefault="00000000" w:rsidRPr="00000000" w14:paraId="00000005">
      <w:pPr>
        <w:pStyle w:val="Heading2"/>
        <w:rPr>
          <w:highlight w:val="white"/>
        </w:rPr>
      </w:pPr>
      <w:r w:rsidDel="00000000" w:rsidR="00000000" w:rsidRPr="00000000">
        <w:rPr>
          <w:highlight w:val="white"/>
          <w:rtl w:val="0"/>
        </w:rPr>
        <w:t xml:space="preserve">Dataset Details</w:t>
      </w:r>
    </w:p>
    <w:p w:rsidR="00000000" w:rsidDel="00000000" w:rsidP="00000000" w:rsidRDefault="00000000" w:rsidRPr="00000000" w14:paraId="00000006">
      <w:pPr>
        <w:rPr>
          <w:b w:val="1"/>
          <w:highlight w:val="white"/>
        </w:rPr>
      </w:pPr>
      <w:r w:rsidDel="00000000" w:rsidR="00000000" w:rsidRPr="00000000">
        <w:rPr>
          <w:highlight w:val="white"/>
          <w:rtl w:val="0"/>
        </w:rPr>
        <w:t xml:space="preserve">A steel microstructure database was created by an extensive review of published literature. Relevant data were meticulously gathered from various scientific articles, research papers, and industrial reports that detailed the microstructural characteristics and phase compositions of steels belonging to the advanced high-strength steels. The ground reality for labeling micrographs was done as they are reported in the literature. The literature sources were carefully selected based on their relevance, rigor, and the quality of their experimental methodologies. </w:t>
      </w:r>
      <w:r w:rsidDel="00000000" w:rsidR="00000000" w:rsidRPr="00000000">
        <w:rPr>
          <w:rtl w:val="0"/>
        </w:rPr>
      </w:r>
    </w:p>
    <w:p w:rsidR="00000000" w:rsidDel="00000000" w:rsidP="00000000" w:rsidRDefault="00000000" w:rsidRPr="00000000" w14:paraId="00000007">
      <w:pPr>
        <w:pStyle w:val="Heading2"/>
        <w:rPr>
          <w:highlight w:val="white"/>
        </w:rPr>
      </w:pPr>
      <w:r w:rsidDel="00000000" w:rsidR="00000000" w:rsidRPr="00000000">
        <w:rPr>
          <w:highlight w:val="white"/>
          <w:rtl w:val="0"/>
        </w:rPr>
        <w:t xml:space="preserve">Model Architecture</w:t>
      </w:r>
    </w:p>
    <w:p w:rsidR="00000000" w:rsidDel="00000000" w:rsidP="00000000" w:rsidRDefault="00000000" w:rsidRPr="00000000" w14:paraId="00000008">
      <w:pPr>
        <w:rPr/>
      </w:pPr>
      <w:bookmarkStart w:colFirst="0" w:colLast="0" w:name="_heading=h.hjpc2y8kmvde" w:id="1"/>
      <w:bookmarkEnd w:id="1"/>
      <w:r w:rsidDel="00000000" w:rsidR="00000000" w:rsidRPr="00000000">
        <w:rPr>
          <w:rtl w:val="0"/>
        </w:rPr>
        <w:t xml:space="preserve">The three commonly used CNN-based architectures, like VGG-19, Resnet-50, and EfficientnetB3, are selected to train augmented patches for a comparative analysis of the models. However, some modifications have been made to these original networks to adapt to our work. One additional fully connected layer was added to extract features with high resolution, and one dropout layer was added in the network to avoid overfitting. The last layer of the classification model was SoftMax, and the binary cross-entropy was selected as the loss function in this study. Adam was used as an optimizer for the loss function.</w:t>
      </w:r>
    </w:p>
    <w:p w:rsidR="00000000" w:rsidDel="00000000" w:rsidP="00000000" w:rsidRDefault="00000000" w:rsidRPr="00000000" w14:paraId="00000009">
      <w:pPr>
        <w:pStyle w:val="Heading2"/>
        <w:rPr>
          <w:highlight w:val="white"/>
        </w:rPr>
      </w:pPr>
      <w:r w:rsidDel="00000000" w:rsidR="00000000" w:rsidRPr="00000000">
        <w:rPr>
          <w:highlight w:val="white"/>
          <w:rtl w:val="0"/>
        </w:rPr>
        <w:t xml:space="preserve">Training</w:t>
      </w:r>
    </w:p>
    <w:p w:rsidR="00000000" w:rsidDel="00000000" w:rsidP="00000000" w:rsidRDefault="00000000" w:rsidRPr="00000000" w14:paraId="0000000A">
      <w:pPr>
        <w:rPr>
          <w:b w:val="1"/>
          <w:highlight w:val="white"/>
        </w:rPr>
      </w:pPr>
      <w:r w:rsidDel="00000000" w:rsidR="00000000" w:rsidRPr="00000000">
        <w:rPr>
          <w:rtl w:val="0"/>
        </w:rPr>
        <w:t xml:space="preserve">The last layer of the classification model was SoftMax, and the binary cross-entropy was selected as the loss function in this study. Adam was used as an optimizer for the loss function with a learning rate of 0.01. Accuracy was selected as the evaluation metrics and batch size was 32. The training of the classification model was performed on Intel(R) Xeon(R) Gold 5218R CPU, and Nvidia RTX A5000 GPU in Python-based TensorFlow 2.0 platform.</w:t>
      </w:r>
      <w:r w:rsidDel="00000000" w:rsidR="00000000" w:rsidRPr="00000000">
        <w:rPr>
          <w:rtl w:val="0"/>
        </w:rPr>
      </w:r>
    </w:p>
    <w:p w:rsidR="00000000" w:rsidDel="00000000" w:rsidP="00000000" w:rsidRDefault="00000000" w:rsidRPr="00000000" w14:paraId="0000000B">
      <w:pPr>
        <w:rPr>
          <w:highlight w:val="white"/>
        </w:rPr>
      </w:pPr>
      <w:r w:rsidDel="00000000" w:rsidR="00000000" w:rsidRPr="00000000">
        <w:rPr>
          <w:highlight w:val="white"/>
          <w:rtl w:val="0"/>
        </w:rPr>
        <w:t xml:space="preserve">The final model configuration consisting of 256 dense units, 0.1 dropout, L2 kernel regularization, and with a learning rate of 0.001 was used during the cross-validation process. Across the 5-fold folds, the model demonstrated consistent performance, achieving a best validation accuracy of 95%. This result confirms the model’s stability and ability to generalize well across different subsets of the data, supporting the reliability of the chosen. The accuracy across each fold is shown in figure 6. The best performing model is stored as ‘.h5’ for future predictions.</w:t>
      </w:r>
    </w:p>
    <w:p w:rsidR="00000000" w:rsidDel="00000000" w:rsidP="00000000" w:rsidRDefault="00000000" w:rsidRPr="00000000" w14:paraId="0000000C">
      <w:pPr>
        <w:pStyle w:val="Heading2"/>
        <w:rPr>
          <w:highlight w:val="white"/>
        </w:rPr>
      </w:pPr>
      <w:r w:rsidDel="00000000" w:rsidR="00000000" w:rsidRPr="00000000">
        <w:rPr>
          <w:highlight w:val="white"/>
          <w:rtl w:val="0"/>
        </w:rPr>
        <w:t xml:space="preserve">Model Evaluation &amp; Analysis</w:t>
      </w:r>
    </w:p>
    <w:p w:rsidR="00000000" w:rsidDel="00000000" w:rsidP="00000000" w:rsidRDefault="00000000" w:rsidRPr="00000000" w14:paraId="0000000D">
      <w:pPr>
        <w:rPr/>
      </w:pPr>
      <w:r w:rsidDel="00000000" w:rsidR="00000000" w:rsidRPr="00000000">
        <w:rPr>
          <w:rtl w:val="0"/>
        </w:rPr>
        <w:t xml:space="preserve">Fig. 1 exhibits the confusion matrix of the testing data for the classification obtained from the proposed best ResNet50 model, which reveals the correct and wrong predictions for each of the microstructure phases of the steel. In general, the confusion matrix epitomizes the much deeper statistics about the type of error made by the classifier, if any. Alone, performance metrics like accuracy sometimes do not provide the complete information of the multiclass classification model's performance when the set of correct predictions in every class is not of equal size. For example, in this case, the number of correctly predicted instances for all five phases is uneven concerning their support in the training and testing datasets. </w:t>
      </w:r>
    </w:p>
    <w:p w:rsidR="00000000" w:rsidDel="00000000" w:rsidP="00000000" w:rsidRDefault="00000000" w:rsidRPr="00000000" w14:paraId="0000000E">
      <w:pPr>
        <w:rPr/>
      </w:pPr>
      <w:r w:rsidDel="00000000" w:rsidR="00000000" w:rsidRPr="00000000">
        <w:rPr>
          <w:rtl w:val="0"/>
        </w:rPr>
        <w:t xml:space="preserve">In the present context for the martensite phases, the predictability is very uncertain, unlike the other phases, namely, austenite, ferrite, and pearlite. Moreover, it can be found from Fig. 1 that the bainite is a more confused class. Out of the 121 cases which are martensite in the testing dataset, the classification model correctly predicted 118 cases, and in the rest of 3 instances the model was confused with pearlite phases. Same as in the case of the bainite phase, the model predicted the bainite 118 times correctly and 2 times it was predicted as pearlite.</w:t>
      </w:r>
    </w:p>
    <w:p w:rsidR="00000000" w:rsidDel="00000000" w:rsidP="00000000" w:rsidRDefault="00000000" w:rsidRPr="00000000" w14:paraId="0000000F">
      <w:pPr>
        <w:jc w:val="center"/>
        <w:rPr>
          <w:highlight w:val="white"/>
        </w:rPr>
      </w:pPr>
      <w:r w:rsidDel="00000000" w:rsidR="00000000" w:rsidRPr="00000000">
        <w:rPr/>
        <w:drawing>
          <wp:inline distB="0" distT="0" distL="0" distR="0">
            <wp:extent cx="4393340" cy="3659869"/>
            <wp:effectExtent b="0" l="0" r="0" t="0"/>
            <wp:docPr id="205412171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393340" cy="3659869"/>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highlight w:val="white"/>
        </w:rPr>
      </w:pPr>
      <w:r w:rsidDel="00000000" w:rsidR="00000000" w:rsidRPr="00000000">
        <w:rPr>
          <w:highlight w:val="white"/>
          <w:rtl w:val="0"/>
        </w:rPr>
        <w:t xml:space="preserve">Fig. 1. Confusion matrix of the best performing model on the validation data </w:t>
      </w:r>
    </w:p>
    <w:p w:rsidR="00000000" w:rsidDel="00000000" w:rsidP="00000000" w:rsidRDefault="00000000" w:rsidRPr="00000000" w14:paraId="00000011">
      <w:pPr>
        <w:rPr>
          <w:highlight w:val="white"/>
        </w:rPr>
      </w:pPr>
      <w:r w:rsidDel="00000000" w:rsidR="00000000" w:rsidRPr="00000000">
        <w:rPr>
          <w:color w:val="000000"/>
          <w:highlight w:val="white"/>
          <w:rtl w:val="0"/>
        </w:rPr>
        <w:t xml:space="preserve">The trained model demonstrated strong performance across all steel microstructure classes, achieving high precision, recall, and F1-scores. Classes such as Austenite and Ferrite were perfectly classified, each achieving a precision, recall, and F1-score of 1.00. Bainite and Martensite also showed excellent results with F1-scores of 0.99 and 0.98, respectively, indicating only minor misclassifications. Pearlite exhibited slightly lower precision (0.96) but maintained perfect recall (1.00), leading to a strong F1-score of 0.97. </w:t>
      </w:r>
      <w:r w:rsidDel="00000000" w:rsidR="00000000" w:rsidRPr="00000000">
        <w:rPr>
          <w:highlight w:val="white"/>
          <w:rtl w:val="0"/>
        </w:rPr>
        <w:t xml:space="preserve">Overall, the results indicate a highly accurate and reliable model with strong generalization capability across all microstructure classes, with minimal performance variation between them.</w:t>
      </w:r>
    </w:p>
    <w:p w:rsidR="00000000" w:rsidDel="00000000" w:rsidP="00000000" w:rsidRDefault="00000000" w:rsidRPr="00000000" w14:paraId="00000012">
      <w:pPr>
        <w:rPr>
          <w:highlight w:val="white"/>
        </w:rPr>
      </w:pPr>
      <w:r w:rsidDel="00000000" w:rsidR="00000000" w:rsidRPr="00000000">
        <w:rPr>
          <w:highlight w:val="white"/>
          <w:rtl w:val="0"/>
        </w:rPr>
        <w:t xml:space="preserve">Table 1. The classification report of the best performing model on the validation data</w:t>
      </w:r>
    </w:p>
    <w:tbl>
      <w:tblPr>
        <w:tblStyle w:val="Table1"/>
        <w:tblW w:w="751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2"/>
        <w:gridCol w:w="1502"/>
        <w:gridCol w:w="1503"/>
        <w:gridCol w:w="1503"/>
        <w:gridCol w:w="1503"/>
        <w:tblGridChange w:id="0">
          <w:tblGrid>
            <w:gridCol w:w="1502"/>
            <w:gridCol w:w="1502"/>
            <w:gridCol w:w="1503"/>
            <w:gridCol w:w="1503"/>
            <w:gridCol w:w="1503"/>
          </w:tblGrid>
        </w:tblGridChange>
      </w:tblGrid>
      <w:tr>
        <w:trPr>
          <w:cantSplit w:val="0"/>
          <w:tblHeader w:val="0"/>
        </w:trPr>
        <w:tc>
          <w:tcPr/>
          <w:p w:rsidR="00000000" w:rsidDel="00000000" w:rsidP="00000000" w:rsidRDefault="00000000" w:rsidRPr="00000000" w14:paraId="00000013">
            <w:pPr>
              <w:spacing w:after="0" w:before="0" w:lineRule="auto"/>
              <w:rPr>
                <w:highlight w:val="white"/>
              </w:rPr>
            </w:pPr>
            <w:r w:rsidDel="00000000" w:rsidR="00000000" w:rsidRPr="00000000">
              <w:rPr>
                <w:rtl w:val="0"/>
              </w:rPr>
            </w:r>
          </w:p>
        </w:tc>
        <w:tc>
          <w:tcPr/>
          <w:p w:rsidR="00000000" w:rsidDel="00000000" w:rsidP="00000000" w:rsidRDefault="00000000" w:rsidRPr="00000000" w14:paraId="00000014">
            <w:pPr>
              <w:spacing w:after="0" w:before="0" w:lineRule="auto"/>
              <w:rPr>
                <w:b w:val="1"/>
                <w:highlight w:val="white"/>
              </w:rPr>
            </w:pPr>
            <w:r w:rsidDel="00000000" w:rsidR="00000000" w:rsidRPr="00000000">
              <w:rPr>
                <w:b w:val="1"/>
                <w:highlight w:val="white"/>
                <w:rtl w:val="0"/>
              </w:rPr>
              <w:t xml:space="preserve">Precision</w:t>
            </w:r>
          </w:p>
        </w:tc>
        <w:tc>
          <w:tcPr/>
          <w:p w:rsidR="00000000" w:rsidDel="00000000" w:rsidP="00000000" w:rsidRDefault="00000000" w:rsidRPr="00000000" w14:paraId="00000015">
            <w:pPr>
              <w:spacing w:after="0" w:before="0" w:lineRule="auto"/>
              <w:rPr>
                <w:b w:val="1"/>
                <w:highlight w:val="white"/>
              </w:rPr>
            </w:pPr>
            <w:r w:rsidDel="00000000" w:rsidR="00000000" w:rsidRPr="00000000">
              <w:rPr>
                <w:b w:val="1"/>
                <w:highlight w:val="white"/>
                <w:rtl w:val="0"/>
              </w:rPr>
              <w:t xml:space="preserve">Recall</w:t>
            </w:r>
          </w:p>
        </w:tc>
        <w:tc>
          <w:tcPr/>
          <w:p w:rsidR="00000000" w:rsidDel="00000000" w:rsidP="00000000" w:rsidRDefault="00000000" w:rsidRPr="00000000" w14:paraId="00000016">
            <w:pPr>
              <w:spacing w:after="0" w:before="0" w:lineRule="auto"/>
              <w:rPr>
                <w:b w:val="1"/>
                <w:highlight w:val="white"/>
              </w:rPr>
            </w:pPr>
            <w:r w:rsidDel="00000000" w:rsidR="00000000" w:rsidRPr="00000000">
              <w:rPr>
                <w:b w:val="1"/>
                <w:highlight w:val="white"/>
                <w:rtl w:val="0"/>
              </w:rPr>
              <w:t xml:space="preserve">F1-score</w:t>
            </w:r>
          </w:p>
        </w:tc>
        <w:tc>
          <w:tcPr/>
          <w:p w:rsidR="00000000" w:rsidDel="00000000" w:rsidP="00000000" w:rsidRDefault="00000000" w:rsidRPr="00000000" w14:paraId="00000017">
            <w:pPr>
              <w:spacing w:after="0" w:before="0" w:lineRule="auto"/>
              <w:rPr>
                <w:b w:val="1"/>
                <w:highlight w:val="white"/>
              </w:rPr>
            </w:pPr>
            <w:r w:rsidDel="00000000" w:rsidR="00000000" w:rsidRPr="00000000">
              <w:rPr>
                <w:b w:val="1"/>
                <w:highlight w:val="white"/>
                <w:rtl w:val="0"/>
              </w:rPr>
              <w:t xml:space="preserve">Support</w:t>
            </w:r>
          </w:p>
        </w:tc>
      </w:tr>
      <w:tr>
        <w:trPr>
          <w:cantSplit w:val="0"/>
          <w:tblHeader w:val="0"/>
        </w:trPr>
        <w:tc>
          <w:tcPr/>
          <w:p w:rsidR="00000000" w:rsidDel="00000000" w:rsidP="00000000" w:rsidRDefault="00000000" w:rsidRPr="00000000" w14:paraId="00000018">
            <w:pPr>
              <w:spacing w:after="0" w:before="0" w:lineRule="auto"/>
              <w:rPr>
                <w:b w:val="1"/>
                <w:highlight w:val="white"/>
              </w:rPr>
            </w:pPr>
            <w:r w:rsidDel="00000000" w:rsidR="00000000" w:rsidRPr="00000000">
              <w:rPr>
                <w:b w:val="1"/>
                <w:highlight w:val="white"/>
                <w:rtl w:val="0"/>
              </w:rPr>
              <w:t xml:space="preserve">Austenite</w:t>
            </w:r>
          </w:p>
        </w:tc>
        <w:tc>
          <w:tcPr/>
          <w:p w:rsidR="00000000" w:rsidDel="00000000" w:rsidP="00000000" w:rsidRDefault="00000000" w:rsidRPr="00000000" w14:paraId="00000019">
            <w:pPr>
              <w:spacing w:after="0" w:before="0" w:lineRule="auto"/>
              <w:rPr>
                <w:highlight w:val="white"/>
              </w:rPr>
            </w:pPr>
            <w:r w:rsidDel="00000000" w:rsidR="00000000" w:rsidRPr="00000000">
              <w:rPr>
                <w:highlight w:val="white"/>
                <w:rtl w:val="0"/>
              </w:rPr>
              <w:t xml:space="preserve">1</w:t>
            </w:r>
          </w:p>
        </w:tc>
        <w:tc>
          <w:tcPr/>
          <w:p w:rsidR="00000000" w:rsidDel="00000000" w:rsidP="00000000" w:rsidRDefault="00000000" w:rsidRPr="00000000" w14:paraId="0000001A">
            <w:pPr>
              <w:spacing w:after="0" w:before="0" w:lineRule="auto"/>
              <w:rPr>
                <w:highlight w:val="white"/>
              </w:rPr>
            </w:pPr>
            <w:r w:rsidDel="00000000" w:rsidR="00000000" w:rsidRPr="00000000">
              <w:rPr>
                <w:highlight w:val="white"/>
                <w:rtl w:val="0"/>
              </w:rPr>
              <w:t xml:space="preserve">1</w:t>
            </w:r>
          </w:p>
        </w:tc>
        <w:tc>
          <w:tcPr/>
          <w:p w:rsidR="00000000" w:rsidDel="00000000" w:rsidP="00000000" w:rsidRDefault="00000000" w:rsidRPr="00000000" w14:paraId="0000001B">
            <w:pPr>
              <w:spacing w:after="0" w:before="0" w:lineRule="auto"/>
              <w:rPr>
                <w:highlight w:val="white"/>
              </w:rPr>
            </w:pPr>
            <w:r w:rsidDel="00000000" w:rsidR="00000000" w:rsidRPr="00000000">
              <w:rPr>
                <w:highlight w:val="white"/>
                <w:rtl w:val="0"/>
              </w:rPr>
              <w:t xml:space="preserve">1</w:t>
            </w:r>
          </w:p>
        </w:tc>
        <w:tc>
          <w:tcPr/>
          <w:p w:rsidR="00000000" w:rsidDel="00000000" w:rsidP="00000000" w:rsidRDefault="00000000" w:rsidRPr="00000000" w14:paraId="0000001C">
            <w:pPr>
              <w:spacing w:after="0" w:before="0" w:lineRule="auto"/>
              <w:rPr>
                <w:highlight w:val="white"/>
              </w:rPr>
            </w:pPr>
            <w:r w:rsidDel="00000000" w:rsidR="00000000" w:rsidRPr="00000000">
              <w:rPr>
                <w:highlight w:val="white"/>
                <w:rtl w:val="0"/>
              </w:rPr>
              <w:t xml:space="preserve">119</w:t>
            </w:r>
          </w:p>
        </w:tc>
      </w:tr>
      <w:tr>
        <w:trPr>
          <w:cantSplit w:val="0"/>
          <w:tblHeader w:val="0"/>
        </w:trPr>
        <w:tc>
          <w:tcPr/>
          <w:p w:rsidR="00000000" w:rsidDel="00000000" w:rsidP="00000000" w:rsidRDefault="00000000" w:rsidRPr="00000000" w14:paraId="0000001D">
            <w:pPr>
              <w:spacing w:after="0" w:before="0" w:lineRule="auto"/>
              <w:rPr>
                <w:b w:val="1"/>
                <w:highlight w:val="white"/>
              </w:rPr>
            </w:pPr>
            <w:r w:rsidDel="00000000" w:rsidR="00000000" w:rsidRPr="00000000">
              <w:rPr>
                <w:b w:val="1"/>
                <w:highlight w:val="white"/>
                <w:rtl w:val="0"/>
              </w:rPr>
              <w:t xml:space="preserve">Bainite</w:t>
            </w:r>
          </w:p>
        </w:tc>
        <w:tc>
          <w:tcPr/>
          <w:p w:rsidR="00000000" w:rsidDel="00000000" w:rsidP="00000000" w:rsidRDefault="00000000" w:rsidRPr="00000000" w14:paraId="0000001E">
            <w:pPr>
              <w:spacing w:after="0" w:before="0" w:lineRule="auto"/>
              <w:rPr>
                <w:highlight w:val="white"/>
              </w:rPr>
            </w:pPr>
            <w:r w:rsidDel="00000000" w:rsidR="00000000" w:rsidRPr="00000000">
              <w:rPr>
                <w:highlight w:val="white"/>
                <w:rtl w:val="0"/>
              </w:rPr>
              <w:t xml:space="preserve">1</w:t>
            </w:r>
          </w:p>
        </w:tc>
        <w:tc>
          <w:tcPr/>
          <w:p w:rsidR="00000000" w:rsidDel="00000000" w:rsidP="00000000" w:rsidRDefault="00000000" w:rsidRPr="00000000" w14:paraId="0000001F">
            <w:pPr>
              <w:spacing w:after="0" w:before="0" w:lineRule="auto"/>
              <w:rPr>
                <w:highlight w:val="white"/>
              </w:rPr>
            </w:pPr>
            <w:r w:rsidDel="00000000" w:rsidR="00000000" w:rsidRPr="00000000">
              <w:rPr>
                <w:highlight w:val="white"/>
                <w:rtl w:val="0"/>
              </w:rPr>
              <w:t xml:space="preserve">0.98</w:t>
            </w:r>
          </w:p>
        </w:tc>
        <w:tc>
          <w:tcPr/>
          <w:p w:rsidR="00000000" w:rsidDel="00000000" w:rsidP="00000000" w:rsidRDefault="00000000" w:rsidRPr="00000000" w14:paraId="00000020">
            <w:pPr>
              <w:spacing w:after="0" w:before="0" w:lineRule="auto"/>
              <w:rPr>
                <w:highlight w:val="white"/>
              </w:rPr>
            </w:pPr>
            <w:r w:rsidDel="00000000" w:rsidR="00000000" w:rsidRPr="00000000">
              <w:rPr>
                <w:highlight w:val="white"/>
                <w:rtl w:val="0"/>
              </w:rPr>
              <w:t xml:space="preserve">0.99</w:t>
            </w:r>
          </w:p>
        </w:tc>
        <w:tc>
          <w:tcPr/>
          <w:p w:rsidR="00000000" w:rsidDel="00000000" w:rsidP="00000000" w:rsidRDefault="00000000" w:rsidRPr="00000000" w14:paraId="00000021">
            <w:pPr>
              <w:spacing w:after="0" w:before="0" w:lineRule="auto"/>
              <w:rPr>
                <w:highlight w:val="white"/>
              </w:rPr>
            </w:pPr>
            <w:r w:rsidDel="00000000" w:rsidR="00000000" w:rsidRPr="00000000">
              <w:rPr>
                <w:highlight w:val="white"/>
                <w:rtl w:val="0"/>
              </w:rPr>
              <w:t xml:space="preserve">120</w:t>
            </w:r>
          </w:p>
        </w:tc>
      </w:tr>
      <w:tr>
        <w:trPr>
          <w:cantSplit w:val="0"/>
          <w:tblHeader w:val="0"/>
        </w:trPr>
        <w:tc>
          <w:tcPr/>
          <w:p w:rsidR="00000000" w:rsidDel="00000000" w:rsidP="00000000" w:rsidRDefault="00000000" w:rsidRPr="00000000" w14:paraId="00000022">
            <w:pPr>
              <w:spacing w:after="0" w:before="0" w:lineRule="auto"/>
              <w:rPr>
                <w:b w:val="1"/>
                <w:highlight w:val="white"/>
              </w:rPr>
            </w:pPr>
            <w:r w:rsidDel="00000000" w:rsidR="00000000" w:rsidRPr="00000000">
              <w:rPr>
                <w:b w:val="1"/>
                <w:highlight w:val="white"/>
                <w:rtl w:val="0"/>
              </w:rPr>
              <w:t xml:space="preserve">Ferrite</w:t>
            </w:r>
          </w:p>
        </w:tc>
        <w:tc>
          <w:tcPr/>
          <w:p w:rsidR="00000000" w:rsidDel="00000000" w:rsidP="00000000" w:rsidRDefault="00000000" w:rsidRPr="00000000" w14:paraId="00000023">
            <w:pPr>
              <w:spacing w:after="0" w:before="0" w:lineRule="auto"/>
              <w:rPr>
                <w:highlight w:val="white"/>
              </w:rPr>
            </w:pPr>
            <w:r w:rsidDel="00000000" w:rsidR="00000000" w:rsidRPr="00000000">
              <w:rPr>
                <w:highlight w:val="white"/>
                <w:rtl w:val="0"/>
              </w:rPr>
              <w:t xml:space="preserve">1</w:t>
            </w:r>
          </w:p>
        </w:tc>
        <w:tc>
          <w:tcPr/>
          <w:p w:rsidR="00000000" w:rsidDel="00000000" w:rsidP="00000000" w:rsidRDefault="00000000" w:rsidRPr="00000000" w14:paraId="00000024">
            <w:pPr>
              <w:spacing w:after="0" w:before="0" w:lineRule="auto"/>
              <w:rPr>
                <w:highlight w:val="white"/>
              </w:rPr>
            </w:pPr>
            <w:r w:rsidDel="00000000" w:rsidR="00000000" w:rsidRPr="00000000">
              <w:rPr>
                <w:highlight w:val="white"/>
                <w:rtl w:val="0"/>
              </w:rPr>
              <w:t xml:space="preserve">1</w:t>
            </w:r>
          </w:p>
        </w:tc>
        <w:tc>
          <w:tcPr/>
          <w:p w:rsidR="00000000" w:rsidDel="00000000" w:rsidP="00000000" w:rsidRDefault="00000000" w:rsidRPr="00000000" w14:paraId="00000025">
            <w:pPr>
              <w:spacing w:after="0" w:before="0" w:lineRule="auto"/>
              <w:rPr>
                <w:highlight w:val="white"/>
              </w:rPr>
            </w:pPr>
            <w:r w:rsidDel="00000000" w:rsidR="00000000" w:rsidRPr="00000000">
              <w:rPr>
                <w:highlight w:val="white"/>
                <w:rtl w:val="0"/>
              </w:rPr>
              <w:t xml:space="preserve">1</w:t>
            </w:r>
          </w:p>
        </w:tc>
        <w:tc>
          <w:tcPr/>
          <w:p w:rsidR="00000000" w:rsidDel="00000000" w:rsidP="00000000" w:rsidRDefault="00000000" w:rsidRPr="00000000" w14:paraId="00000026">
            <w:pPr>
              <w:spacing w:after="0" w:before="0" w:lineRule="auto"/>
              <w:rPr>
                <w:highlight w:val="white"/>
              </w:rPr>
            </w:pPr>
            <w:r w:rsidDel="00000000" w:rsidR="00000000" w:rsidRPr="00000000">
              <w:rPr>
                <w:highlight w:val="white"/>
                <w:rtl w:val="0"/>
              </w:rPr>
              <w:t xml:space="preserve">131</w:t>
            </w:r>
          </w:p>
        </w:tc>
      </w:tr>
      <w:tr>
        <w:trPr>
          <w:cantSplit w:val="0"/>
          <w:tblHeader w:val="0"/>
        </w:trPr>
        <w:tc>
          <w:tcPr/>
          <w:p w:rsidR="00000000" w:rsidDel="00000000" w:rsidP="00000000" w:rsidRDefault="00000000" w:rsidRPr="00000000" w14:paraId="00000027">
            <w:pPr>
              <w:spacing w:after="0" w:before="0" w:lineRule="auto"/>
              <w:rPr>
                <w:b w:val="1"/>
                <w:highlight w:val="white"/>
              </w:rPr>
            </w:pPr>
            <w:r w:rsidDel="00000000" w:rsidR="00000000" w:rsidRPr="00000000">
              <w:rPr>
                <w:b w:val="1"/>
                <w:highlight w:val="white"/>
                <w:rtl w:val="0"/>
              </w:rPr>
              <w:t xml:space="preserve">Martensite</w:t>
            </w:r>
          </w:p>
        </w:tc>
        <w:tc>
          <w:tcPr/>
          <w:p w:rsidR="00000000" w:rsidDel="00000000" w:rsidP="00000000" w:rsidRDefault="00000000" w:rsidRPr="00000000" w14:paraId="00000028">
            <w:pPr>
              <w:spacing w:after="0" w:before="0" w:lineRule="auto"/>
              <w:rPr>
                <w:highlight w:val="white"/>
              </w:rPr>
            </w:pPr>
            <w:r w:rsidDel="00000000" w:rsidR="00000000" w:rsidRPr="00000000">
              <w:rPr>
                <w:highlight w:val="white"/>
                <w:rtl w:val="0"/>
              </w:rPr>
              <w:t xml:space="preserve">1</w:t>
            </w:r>
          </w:p>
        </w:tc>
        <w:tc>
          <w:tcPr/>
          <w:p w:rsidR="00000000" w:rsidDel="00000000" w:rsidP="00000000" w:rsidRDefault="00000000" w:rsidRPr="00000000" w14:paraId="00000029">
            <w:pPr>
              <w:spacing w:after="0" w:before="0" w:lineRule="auto"/>
              <w:rPr>
                <w:highlight w:val="white"/>
              </w:rPr>
            </w:pPr>
            <w:r w:rsidDel="00000000" w:rsidR="00000000" w:rsidRPr="00000000">
              <w:rPr>
                <w:highlight w:val="white"/>
                <w:rtl w:val="0"/>
              </w:rPr>
              <w:t xml:space="preserve">0.97</w:t>
            </w:r>
          </w:p>
        </w:tc>
        <w:tc>
          <w:tcPr/>
          <w:p w:rsidR="00000000" w:rsidDel="00000000" w:rsidP="00000000" w:rsidRDefault="00000000" w:rsidRPr="00000000" w14:paraId="0000002A">
            <w:pPr>
              <w:spacing w:after="0" w:before="0" w:lineRule="auto"/>
              <w:rPr>
                <w:highlight w:val="white"/>
              </w:rPr>
            </w:pPr>
            <w:r w:rsidDel="00000000" w:rsidR="00000000" w:rsidRPr="00000000">
              <w:rPr>
                <w:highlight w:val="white"/>
                <w:rtl w:val="0"/>
              </w:rPr>
              <w:t xml:space="preserve">0.98</w:t>
            </w:r>
          </w:p>
        </w:tc>
        <w:tc>
          <w:tcPr/>
          <w:p w:rsidR="00000000" w:rsidDel="00000000" w:rsidP="00000000" w:rsidRDefault="00000000" w:rsidRPr="00000000" w14:paraId="0000002B">
            <w:pPr>
              <w:spacing w:after="0" w:before="0" w:lineRule="auto"/>
              <w:rPr>
                <w:highlight w:val="white"/>
              </w:rPr>
            </w:pPr>
            <w:r w:rsidDel="00000000" w:rsidR="00000000" w:rsidRPr="00000000">
              <w:rPr>
                <w:highlight w:val="white"/>
                <w:rtl w:val="0"/>
              </w:rPr>
              <w:t xml:space="preserve">121</w:t>
            </w:r>
          </w:p>
        </w:tc>
      </w:tr>
      <w:tr>
        <w:trPr>
          <w:cantSplit w:val="0"/>
          <w:tblHeader w:val="0"/>
        </w:trPr>
        <w:tc>
          <w:tcPr/>
          <w:p w:rsidR="00000000" w:rsidDel="00000000" w:rsidP="00000000" w:rsidRDefault="00000000" w:rsidRPr="00000000" w14:paraId="0000002C">
            <w:pPr>
              <w:spacing w:after="0" w:before="0" w:lineRule="auto"/>
              <w:rPr>
                <w:b w:val="1"/>
                <w:highlight w:val="white"/>
              </w:rPr>
            </w:pPr>
            <w:r w:rsidDel="00000000" w:rsidR="00000000" w:rsidRPr="00000000">
              <w:rPr>
                <w:b w:val="1"/>
                <w:highlight w:val="white"/>
                <w:rtl w:val="0"/>
              </w:rPr>
              <w:t xml:space="preserve">Pearlite</w:t>
            </w:r>
          </w:p>
        </w:tc>
        <w:tc>
          <w:tcPr/>
          <w:p w:rsidR="00000000" w:rsidDel="00000000" w:rsidP="00000000" w:rsidRDefault="00000000" w:rsidRPr="00000000" w14:paraId="0000002D">
            <w:pPr>
              <w:spacing w:after="0" w:before="0" w:lineRule="auto"/>
              <w:rPr>
                <w:highlight w:val="white"/>
              </w:rPr>
            </w:pPr>
            <w:r w:rsidDel="00000000" w:rsidR="00000000" w:rsidRPr="00000000">
              <w:rPr>
                <w:highlight w:val="white"/>
                <w:rtl w:val="0"/>
              </w:rPr>
              <w:t xml:space="preserve">0.96</w:t>
            </w:r>
          </w:p>
        </w:tc>
        <w:tc>
          <w:tcPr/>
          <w:p w:rsidR="00000000" w:rsidDel="00000000" w:rsidP="00000000" w:rsidRDefault="00000000" w:rsidRPr="00000000" w14:paraId="0000002E">
            <w:pPr>
              <w:spacing w:after="0" w:before="0" w:lineRule="auto"/>
              <w:rPr>
                <w:highlight w:val="white"/>
              </w:rPr>
            </w:pPr>
            <w:r w:rsidDel="00000000" w:rsidR="00000000" w:rsidRPr="00000000">
              <w:rPr>
                <w:highlight w:val="white"/>
                <w:rtl w:val="0"/>
              </w:rPr>
              <w:t xml:space="preserve">1</w:t>
            </w:r>
          </w:p>
        </w:tc>
        <w:tc>
          <w:tcPr/>
          <w:p w:rsidR="00000000" w:rsidDel="00000000" w:rsidP="00000000" w:rsidRDefault="00000000" w:rsidRPr="00000000" w14:paraId="0000002F">
            <w:pPr>
              <w:spacing w:after="0" w:before="0" w:lineRule="auto"/>
              <w:rPr>
                <w:highlight w:val="white"/>
              </w:rPr>
            </w:pPr>
            <w:r w:rsidDel="00000000" w:rsidR="00000000" w:rsidRPr="00000000">
              <w:rPr>
                <w:highlight w:val="white"/>
                <w:rtl w:val="0"/>
              </w:rPr>
              <w:t xml:space="preserve">0.97</w:t>
            </w:r>
          </w:p>
        </w:tc>
        <w:tc>
          <w:tcPr/>
          <w:p w:rsidR="00000000" w:rsidDel="00000000" w:rsidP="00000000" w:rsidRDefault="00000000" w:rsidRPr="00000000" w14:paraId="00000030">
            <w:pPr>
              <w:spacing w:after="0" w:before="0" w:lineRule="auto"/>
              <w:rPr>
                <w:highlight w:val="white"/>
              </w:rPr>
            </w:pPr>
            <w:r w:rsidDel="00000000" w:rsidR="00000000" w:rsidRPr="00000000">
              <w:rPr>
                <w:highlight w:val="white"/>
                <w:rtl w:val="0"/>
              </w:rPr>
              <w:t xml:space="preserve">120</w:t>
            </w:r>
          </w:p>
        </w:tc>
      </w:tr>
    </w:tbl>
    <w:p w:rsidR="00000000" w:rsidDel="00000000" w:rsidP="00000000" w:rsidRDefault="00000000" w:rsidRPr="00000000" w14:paraId="00000031">
      <w:pPr>
        <w:pStyle w:val="Heading2"/>
        <w:rPr/>
      </w:pPr>
      <w:r w:rsidDel="00000000" w:rsidR="00000000" w:rsidRPr="00000000">
        <w:rPr>
          <w:rtl w:val="0"/>
        </w:rPr>
        <w:t xml:space="preserve">Error analysis</w:t>
      </w:r>
    </w:p>
    <w:p w:rsidR="00000000" w:rsidDel="00000000" w:rsidP="00000000" w:rsidRDefault="00000000" w:rsidRPr="00000000" w14:paraId="00000032">
      <w:pPr>
        <w:rPr/>
      </w:pPr>
      <w:r w:rsidDel="00000000" w:rsidR="00000000" w:rsidRPr="00000000">
        <w:rPr>
          <w:rtl w:val="0"/>
        </w:rPr>
        <w:t xml:space="preserve">Fig. 2 shows the example cases of wrong prediction of the bainitic and martensite phase patches. In most cases, bainite is confused with the pearlite phase. The misclassification of bainite as pearlite can be attributed to overlapping features in their microstructures and characteristics. The model predicted bainite as pearlite because both phases exhibit relatively low carbon content and appear similar in polished and etched micrographs at low-resolution images. From a metallurgical perspective, the misclassification of martensite as pearlite can be explained by the overlapping microstructural features and transformations in steel. Pearlite-like features are due to etching or tempering, can obscure martensite's sharp boundaries, making it appear lamellar.</w:t>
      </w:r>
    </w:p>
    <w:p w:rsidR="00000000" w:rsidDel="00000000" w:rsidP="00000000" w:rsidRDefault="00000000" w:rsidRPr="00000000" w14:paraId="00000033">
      <w:pPr>
        <w:rPr/>
      </w:pPr>
      <w:r w:rsidDel="00000000" w:rsidR="00000000" w:rsidRPr="00000000">
        <w:rPr/>
        <w:drawing>
          <wp:inline distB="0" distT="0" distL="0" distR="0">
            <wp:extent cx="5731510" cy="1327150"/>
            <wp:effectExtent b="0" l="0" r="0" t="0"/>
            <wp:docPr descr="A collage of images of a cat&#10;&#10;AI-generated content may be incorrect." id="2054121715" name="image2.png"/>
            <a:graphic>
              <a:graphicData uri="http://schemas.openxmlformats.org/drawingml/2006/picture">
                <pic:pic>
                  <pic:nvPicPr>
                    <pic:cNvPr descr="A collage of images of a cat&#10;&#10;AI-generated content may be incorrect." id="0" name="image2.png"/>
                    <pic:cNvPicPr preferRelativeResize="0"/>
                  </pic:nvPicPr>
                  <pic:blipFill>
                    <a:blip r:embed="rId9"/>
                    <a:srcRect b="0" l="0" r="0" t="0"/>
                    <a:stretch>
                      <a:fillRect/>
                    </a:stretch>
                  </pic:blipFill>
                  <pic:spPr>
                    <a:xfrm>
                      <a:off x="0" y="0"/>
                      <a:ext cx="5731510" cy="132715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Fig. 2. </w:t>
      </w:r>
      <w:r w:rsidDel="00000000" w:rsidR="00000000" w:rsidRPr="00000000">
        <w:rPr>
          <w:color w:val="000000"/>
          <w:rtl w:val="0"/>
        </w:rPr>
        <w:t xml:space="preserve">The predicted probability density was obtained from the last layer of ResNet-50 classification model.</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lay">
    <w:embedRegular w:fontKey="{00000000-0000-0000-0000-000000000000}" r:id="rId2" w:subsetted="0"/>
    <w:embedBold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222222"/>
        <w:sz w:val="24"/>
        <w:szCs w:val="24"/>
        <w:lang w:val="en"/>
      </w:rPr>
    </w:rPrDefault>
    <w:pPrDefault>
      <w:pPr>
        <w:shd w:fill="ffffff" w:val="clear"/>
        <w:spacing w:after="240" w:before="24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360" w:firstLine="360"/>
      <w:jc w:val="center"/>
    </w:pPr>
    <w:rPr>
      <w:b w:val="1"/>
      <w:sz w:val="32"/>
      <w:szCs w:val="32"/>
    </w:rPr>
  </w:style>
  <w:style w:type="paragraph" w:styleId="Heading2">
    <w:name w:val="heading 2"/>
    <w:basedOn w:val="Normal"/>
    <w:next w:val="Normal"/>
    <w:pPr/>
    <w:rPr>
      <w:b w:val="1"/>
      <w:sz w:val="28"/>
      <w:szCs w:val="28"/>
    </w:rPr>
  </w:style>
  <w:style w:type="paragraph" w:styleId="Heading3">
    <w:name w:val="heading 3"/>
    <w:basedOn w:val="Normal"/>
    <w:next w:val="Normal"/>
    <w:pPr/>
    <w:rPr>
      <w:b w:val="1"/>
      <w:sz w:val="24"/>
      <w:szCs w:val="24"/>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475AB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75AB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75AB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08084D"/>
    <w:rPr>
      <w:rFonts w:ascii="Times New Roman" w:cs="Times New Roman" w:eastAsia="Times New Roman" w:hAnsi="Times New Roman"/>
      <w:b w:val="1"/>
      <w:sz w:val="32"/>
      <w:szCs w:val="32"/>
    </w:rPr>
  </w:style>
  <w:style w:type="character" w:styleId="Heading2Char" w:customStyle="1">
    <w:name w:val="Heading 2 Char"/>
    <w:basedOn w:val="DefaultParagraphFont"/>
    <w:link w:val="Heading2"/>
    <w:uiPriority w:val="9"/>
    <w:rsid w:val="0008084D"/>
    <w:rPr>
      <w:rFonts w:ascii="Times New Roman" w:cs="Times New Roman" w:eastAsia="Times New Roman" w:hAnsi="Times New Roman"/>
      <w:b w:val="1"/>
      <w:color w:val="222222"/>
      <w:sz w:val="28"/>
      <w:szCs w:val="28"/>
    </w:rPr>
  </w:style>
  <w:style w:type="character" w:styleId="Heading3Char" w:customStyle="1">
    <w:name w:val="Heading 3 Char"/>
    <w:basedOn w:val="DefaultParagraphFont"/>
    <w:link w:val="Heading3"/>
    <w:uiPriority w:val="9"/>
    <w:rsid w:val="0008084D"/>
    <w:rPr>
      <w:rFonts w:ascii="Times New Roman" w:cs="Times New Roman" w:eastAsia="Times New Roman" w:hAnsi="Times New Roman"/>
      <w:b w:val="1"/>
      <w:color w:val="222222"/>
      <w:sz w:val="24"/>
      <w:szCs w:val="24"/>
    </w:rPr>
  </w:style>
  <w:style w:type="character" w:styleId="Heading4Char" w:customStyle="1">
    <w:name w:val="Heading 4 Char"/>
    <w:basedOn w:val="DefaultParagraphFont"/>
    <w:link w:val="Heading4"/>
    <w:uiPriority w:val="9"/>
    <w:semiHidden w:val="1"/>
    <w:rsid w:val="00475ABB"/>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475ABB"/>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475AB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75AB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75AB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75AB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475AB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475AB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75AB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75ABB"/>
    <w:rPr>
      <w:i w:val="1"/>
      <w:iCs w:val="1"/>
      <w:color w:val="404040" w:themeColor="text1" w:themeTint="0000BF"/>
    </w:rPr>
  </w:style>
  <w:style w:type="paragraph" w:styleId="ListParagraph">
    <w:name w:val="List Paragraph"/>
    <w:basedOn w:val="Normal"/>
    <w:uiPriority w:val="34"/>
    <w:qFormat w:val="1"/>
    <w:rsid w:val="00475ABB"/>
    <w:pPr>
      <w:ind w:left="720"/>
      <w:contextualSpacing w:val="1"/>
    </w:pPr>
  </w:style>
  <w:style w:type="character" w:styleId="IntenseEmphasis">
    <w:name w:val="Intense Emphasis"/>
    <w:basedOn w:val="DefaultParagraphFont"/>
    <w:uiPriority w:val="21"/>
    <w:qFormat w:val="1"/>
    <w:rsid w:val="00475ABB"/>
    <w:rPr>
      <w:i w:val="1"/>
      <w:iCs w:val="1"/>
      <w:color w:val="0f4761" w:themeColor="accent1" w:themeShade="0000BF"/>
    </w:rPr>
  </w:style>
  <w:style w:type="paragraph" w:styleId="IntenseQuote">
    <w:name w:val="Intense Quote"/>
    <w:basedOn w:val="Normal"/>
    <w:next w:val="Normal"/>
    <w:link w:val="IntenseQuoteChar"/>
    <w:uiPriority w:val="30"/>
    <w:qFormat w:val="1"/>
    <w:rsid w:val="00475AB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475ABB"/>
    <w:rPr>
      <w:i w:val="1"/>
      <w:iCs w:val="1"/>
      <w:color w:val="0f4761" w:themeColor="accent1" w:themeShade="0000BF"/>
    </w:rPr>
  </w:style>
  <w:style w:type="character" w:styleId="IntenseReference">
    <w:name w:val="Intense Reference"/>
    <w:basedOn w:val="DefaultParagraphFont"/>
    <w:uiPriority w:val="32"/>
    <w:qFormat w:val="1"/>
    <w:rsid w:val="00475ABB"/>
    <w:rPr>
      <w:b w:val="1"/>
      <w:bCs w:val="1"/>
      <w:smallCaps w:val="1"/>
      <w:color w:val="0f4761" w:themeColor="accent1" w:themeShade="0000BF"/>
      <w:spacing w:val="5"/>
    </w:rPr>
  </w:style>
  <w:style w:type="table" w:styleId="a" w:customStyle="1">
    <w:basedOn w:val="TableNormal"/>
    <w:tblPr>
      <w:tblStyleRowBandSize w:val="1"/>
      <w:tblStyleColBandSize w:val="1"/>
    </w:tblPr>
  </w:style>
  <w:style w:type="table" w:styleId="TableGrid">
    <w:name w:val="Table Grid"/>
    <w:basedOn w:val="TableNormal"/>
    <w:uiPriority w:val="39"/>
    <w:rsid w:val="00A0059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Play-regular.ttf"/><Relationship Id="rId3"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848tW7C39Zv1d4jrY4VYGk9doQ==">CgMxLjAyDmguc3lzODBlOXB0czY1Mg5oLmhqcGMyeThrbXZkZTgAciExdi1SN1FJRkU1bWhFRXR3WHlUZG9lZ211czdad19xakI=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2025-10-17T13:25:00Z</dcterms:created>
  <dc:creator>Subhas  Ganguly</dc:creator>
</cp:coreProperties>
</file>