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CE193E" w14:textId="77777777" w:rsidR="00C35574" w:rsidRDefault="00000000">
      <w:pPr>
        <w:spacing w:before="600" w:after="160"/>
        <w:jc w:val="center"/>
      </w:pPr>
      <w:r>
        <w:rPr>
          <w:rFonts w:ascii="Arial" w:eastAsia="Arial" w:hAnsi="Arial" w:cs="Arial"/>
          <w:b/>
          <w:bCs/>
          <w:color w:val="1F3864"/>
          <w:sz w:val="48"/>
          <w:szCs w:val="48"/>
        </w:rPr>
        <w:t>Application of CNN Models to Remote Sensing</w:t>
      </w:r>
    </w:p>
    <w:p w14:paraId="59AB128C" w14:textId="77777777" w:rsidR="00C35574" w:rsidRDefault="00000000">
      <w:pPr>
        <w:spacing w:after="80"/>
        <w:jc w:val="center"/>
      </w:pPr>
      <w:r>
        <w:rPr>
          <w:rFonts w:ascii="Arial" w:eastAsia="Arial" w:hAnsi="Arial" w:cs="Arial"/>
          <w:b/>
          <w:bCs/>
          <w:color w:val="1F3864"/>
          <w:sz w:val="48"/>
          <w:szCs w:val="48"/>
        </w:rPr>
        <w:t>Using Satellite Imagery</w:t>
      </w:r>
    </w:p>
    <w:p w14:paraId="12F37973" w14:textId="77777777" w:rsidR="00C35574" w:rsidRDefault="00000000">
      <w:pPr>
        <w:spacing w:before="140" w:after="60"/>
        <w:jc w:val="center"/>
      </w:pPr>
      <w:r>
        <w:rPr>
          <w:rFonts w:ascii="Arial" w:eastAsia="Arial" w:hAnsi="Arial" w:cs="Arial"/>
          <w:i/>
          <w:iCs/>
          <w:color w:val="2E74B5"/>
          <w:sz w:val="24"/>
          <w:szCs w:val="24"/>
        </w:rPr>
        <w:t>Flood Extent Mapping via U-Net Segmentation of Sentinel-1 SAR Data</w:t>
      </w:r>
    </w:p>
    <w:p w14:paraId="2186FC88" w14:textId="77777777" w:rsidR="00C35574" w:rsidRDefault="00C35574">
      <w:pPr>
        <w:spacing w:after="60"/>
      </w:pPr>
    </w:p>
    <w:p w14:paraId="5292B962" w14:textId="45C1DC06" w:rsidR="00C35574" w:rsidRDefault="00000000" w:rsidP="00A65C49">
      <w:pPr>
        <w:spacing w:before="60" w:after="20" w:line="360" w:lineRule="auto"/>
        <w:jc w:val="center"/>
      </w:pPr>
      <w:r>
        <w:rPr>
          <w:rFonts w:ascii="Arial" w:eastAsia="Arial" w:hAnsi="Arial" w:cs="Arial"/>
          <w:color w:val="444444"/>
        </w:rPr>
        <w:t xml:space="preserve">Group Research </w:t>
      </w:r>
      <w:r w:rsidR="00A65C49">
        <w:rPr>
          <w:rFonts w:ascii="Arial" w:eastAsia="Arial" w:hAnsi="Arial" w:cs="Arial"/>
          <w:color w:val="444444"/>
        </w:rPr>
        <w:t>Project - Assignment</w:t>
      </w:r>
      <w:r>
        <w:rPr>
          <w:rFonts w:ascii="Arial" w:eastAsia="Arial" w:hAnsi="Arial" w:cs="Arial"/>
          <w:color w:val="444444"/>
        </w:rPr>
        <w:t xml:space="preserve"> 2</w:t>
      </w:r>
    </w:p>
    <w:p w14:paraId="61DEC57B" w14:textId="3164821D" w:rsidR="00C35574" w:rsidRDefault="00000000" w:rsidP="00A65C49">
      <w:pPr>
        <w:spacing w:before="20" w:after="20" w:line="360" w:lineRule="auto"/>
        <w:jc w:val="center"/>
      </w:pPr>
      <w:r>
        <w:rPr>
          <w:rFonts w:ascii="Arial" w:eastAsia="Arial" w:hAnsi="Arial" w:cs="Arial"/>
          <w:color w:val="444444"/>
        </w:rPr>
        <w:t xml:space="preserve">Module: CO7113 </w:t>
      </w:r>
      <w:r w:rsidR="00A65C49">
        <w:rPr>
          <w:rFonts w:ascii="Arial" w:eastAsia="Arial" w:hAnsi="Arial" w:cs="Arial"/>
          <w:color w:val="444444"/>
        </w:rPr>
        <w:t>-</w:t>
      </w:r>
      <w:r>
        <w:rPr>
          <w:rFonts w:ascii="Arial" w:eastAsia="Arial" w:hAnsi="Arial" w:cs="Arial"/>
          <w:color w:val="444444"/>
        </w:rPr>
        <w:t xml:space="preserve"> Artificial Intelligence (MSc)</w:t>
      </w:r>
    </w:p>
    <w:p w14:paraId="3A4AFA91" w14:textId="77777777" w:rsidR="00C35574" w:rsidRDefault="00000000" w:rsidP="00A65C49">
      <w:pPr>
        <w:spacing w:before="20" w:after="20" w:line="360" w:lineRule="auto"/>
        <w:jc w:val="center"/>
      </w:pPr>
      <w:r>
        <w:rPr>
          <w:rFonts w:ascii="Arial" w:eastAsia="Arial" w:hAnsi="Arial" w:cs="Arial"/>
          <w:color w:val="444444"/>
        </w:rPr>
        <w:t>School of Computing and Mathematical Sciences</w:t>
      </w:r>
    </w:p>
    <w:p w14:paraId="697B6251" w14:textId="70ED6A8D" w:rsidR="00C35574" w:rsidRDefault="00000000" w:rsidP="00A65C49">
      <w:pPr>
        <w:spacing w:before="20" w:after="20" w:line="360" w:lineRule="auto"/>
        <w:jc w:val="center"/>
      </w:pPr>
      <w:r>
        <w:rPr>
          <w:rFonts w:ascii="Arial" w:eastAsia="Arial" w:hAnsi="Arial" w:cs="Arial"/>
          <w:color w:val="444444"/>
        </w:rPr>
        <w:t xml:space="preserve">University of </w:t>
      </w:r>
      <w:r w:rsidR="00A65C49">
        <w:rPr>
          <w:rFonts w:ascii="Arial" w:eastAsia="Arial" w:hAnsi="Arial" w:cs="Arial"/>
          <w:color w:val="444444"/>
        </w:rPr>
        <w:t>Leicester | Submission</w:t>
      </w:r>
      <w:r>
        <w:rPr>
          <w:rFonts w:ascii="Arial" w:eastAsia="Arial" w:hAnsi="Arial" w:cs="Arial"/>
          <w:color w:val="444444"/>
        </w:rPr>
        <w:t>: 2</w:t>
      </w:r>
      <w:r w:rsidR="00A65C49">
        <w:rPr>
          <w:rFonts w:ascii="Arial" w:eastAsia="Arial" w:hAnsi="Arial" w:cs="Arial"/>
          <w:color w:val="444444"/>
        </w:rPr>
        <w:t>6</w:t>
      </w:r>
      <w:r>
        <w:rPr>
          <w:rFonts w:ascii="Arial" w:eastAsia="Arial" w:hAnsi="Arial" w:cs="Arial"/>
          <w:color w:val="444444"/>
        </w:rPr>
        <w:t xml:space="preserve"> April 2026</w:t>
      </w:r>
    </w:p>
    <w:p w14:paraId="3D77AEDE" w14:textId="77777777" w:rsidR="00C35574" w:rsidRDefault="00C35574">
      <w:pPr>
        <w:spacing w:after="60"/>
      </w:pPr>
    </w:p>
    <w:p w14:paraId="337C54A3" w14:textId="77777777" w:rsidR="00C35574" w:rsidRDefault="00C35574">
      <w:pPr>
        <w:pBdr>
          <w:bottom w:val="single" w:sz="4" w:space="1" w:color="2E74B5"/>
        </w:pBdr>
        <w:spacing w:before="40" w:after="40"/>
      </w:pPr>
    </w:p>
    <w:p w14:paraId="43C7D0D3" w14:textId="77777777" w:rsidR="00C35574" w:rsidRDefault="00000000">
      <w:pPr>
        <w:spacing w:before="40" w:after="20"/>
        <w:jc w:val="center"/>
      </w:pPr>
      <w:r>
        <w:rPr>
          <w:rFonts w:ascii="Arial" w:eastAsia="Arial" w:hAnsi="Arial" w:cs="Arial"/>
          <w:b/>
          <w:bCs/>
          <w:color w:val="2E74B5"/>
          <w:sz w:val="22"/>
          <w:szCs w:val="22"/>
        </w:rPr>
        <w:t>Group Members</w:t>
      </w:r>
    </w:p>
    <w:p w14:paraId="63A2FFCC" w14:textId="77777777" w:rsidR="00C35574" w:rsidRDefault="00000000" w:rsidP="00A65C49">
      <w:pPr>
        <w:spacing w:before="40" w:after="40" w:line="360" w:lineRule="auto"/>
        <w:jc w:val="center"/>
      </w:pPr>
      <w:r>
        <w:rPr>
          <w:rFonts w:ascii="Arial" w:eastAsia="Arial" w:hAnsi="Arial" w:cs="Arial"/>
          <w:b/>
          <w:bCs/>
          <w:color w:val="1F3864"/>
          <w:sz w:val="22"/>
          <w:szCs w:val="22"/>
        </w:rPr>
        <w:t>Gaurav Manju</w:t>
      </w:r>
      <w:r>
        <w:rPr>
          <w:rFonts w:ascii="Arial" w:eastAsia="Arial" w:hAnsi="Arial" w:cs="Arial"/>
          <w:color w:val="888888"/>
          <w:sz w:val="20"/>
          <w:szCs w:val="20"/>
        </w:rPr>
        <w:t xml:space="preserve">   |   gm420</w:t>
      </w:r>
    </w:p>
    <w:p w14:paraId="7F3C2A72" w14:textId="77777777" w:rsidR="00C35574" w:rsidRDefault="00000000" w:rsidP="00A65C49">
      <w:pPr>
        <w:spacing w:before="40" w:after="40" w:line="360" w:lineRule="auto"/>
        <w:jc w:val="center"/>
      </w:pPr>
      <w:r>
        <w:rPr>
          <w:rFonts w:ascii="Arial" w:eastAsia="Arial" w:hAnsi="Arial" w:cs="Arial"/>
          <w:b/>
          <w:bCs/>
          <w:color w:val="1F3864"/>
          <w:sz w:val="22"/>
          <w:szCs w:val="22"/>
        </w:rPr>
        <w:t>Santhosh Kumar Venkatesan</w:t>
      </w:r>
      <w:r>
        <w:rPr>
          <w:rFonts w:ascii="Arial" w:eastAsia="Arial" w:hAnsi="Arial" w:cs="Arial"/>
          <w:color w:val="888888"/>
          <w:sz w:val="20"/>
          <w:szCs w:val="20"/>
        </w:rPr>
        <w:t xml:space="preserve">   |   skv14</w:t>
      </w:r>
    </w:p>
    <w:p w14:paraId="4235427D" w14:textId="77777777" w:rsidR="00C35574" w:rsidRDefault="00000000" w:rsidP="00A65C49">
      <w:pPr>
        <w:spacing w:before="40" w:after="40" w:line="360" w:lineRule="auto"/>
        <w:jc w:val="center"/>
      </w:pPr>
      <w:r>
        <w:rPr>
          <w:rFonts w:ascii="Arial" w:eastAsia="Arial" w:hAnsi="Arial" w:cs="Arial"/>
          <w:b/>
          <w:bCs/>
          <w:color w:val="1F3864"/>
          <w:sz w:val="22"/>
          <w:szCs w:val="22"/>
        </w:rPr>
        <w:t xml:space="preserve">Mohammed </w:t>
      </w:r>
      <w:proofErr w:type="spellStart"/>
      <w:r>
        <w:rPr>
          <w:rFonts w:ascii="Arial" w:eastAsia="Arial" w:hAnsi="Arial" w:cs="Arial"/>
          <w:b/>
          <w:bCs/>
          <w:color w:val="1F3864"/>
          <w:sz w:val="22"/>
          <w:szCs w:val="22"/>
        </w:rPr>
        <w:t>Haaris</w:t>
      </w:r>
      <w:proofErr w:type="spellEnd"/>
      <w:r>
        <w:rPr>
          <w:rFonts w:ascii="Arial" w:eastAsia="Arial" w:hAnsi="Arial" w:cs="Arial"/>
          <w:color w:val="888888"/>
          <w:sz w:val="20"/>
          <w:szCs w:val="20"/>
        </w:rPr>
        <w:t xml:space="preserve">   |   mhih1</w:t>
      </w:r>
    </w:p>
    <w:p w14:paraId="10447E9E" w14:textId="506BF5AA" w:rsidR="00C35574" w:rsidRDefault="00000000" w:rsidP="00A65C49">
      <w:pPr>
        <w:spacing w:before="40" w:after="40" w:line="360" w:lineRule="auto"/>
        <w:jc w:val="center"/>
      </w:pPr>
      <w:proofErr w:type="spellStart"/>
      <w:r>
        <w:rPr>
          <w:rFonts w:ascii="Arial" w:eastAsia="Arial" w:hAnsi="Arial" w:cs="Arial"/>
          <w:b/>
          <w:bCs/>
          <w:color w:val="1F3864"/>
          <w:sz w:val="22"/>
          <w:szCs w:val="22"/>
        </w:rPr>
        <w:t>Dinakar</w:t>
      </w:r>
      <w:proofErr w:type="spellEnd"/>
      <w:r>
        <w:rPr>
          <w:rFonts w:ascii="Arial" w:eastAsia="Arial" w:hAnsi="Arial" w:cs="Arial"/>
          <w:b/>
          <w:bCs/>
          <w:color w:val="1F3864"/>
          <w:sz w:val="22"/>
          <w:szCs w:val="22"/>
        </w:rPr>
        <w:t xml:space="preserve"> Nayak </w:t>
      </w:r>
      <w:proofErr w:type="spellStart"/>
      <w:r>
        <w:rPr>
          <w:rFonts w:ascii="Arial" w:eastAsia="Arial" w:hAnsi="Arial" w:cs="Arial"/>
          <w:b/>
          <w:bCs/>
          <w:color w:val="1F3864"/>
          <w:sz w:val="22"/>
          <w:szCs w:val="22"/>
        </w:rPr>
        <w:t>Narsimhamurthy</w:t>
      </w:r>
      <w:proofErr w:type="spellEnd"/>
      <w:r>
        <w:rPr>
          <w:rFonts w:ascii="Arial" w:eastAsia="Arial" w:hAnsi="Arial" w:cs="Arial"/>
          <w:color w:val="888888"/>
          <w:sz w:val="20"/>
          <w:szCs w:val="20"/>
        </w:rPr>
        <w:t xml:space="preserve">   |   </w:t>
      </w:r>
      <w:r w:rsidR="001D427C">
        <w:rPr>
          <w:rFonts w:ascii="Arial" w:eastAsia="Arial" w:hAnsi="Arial" w:cs="Arial"/>
          <w:color w:val="888888"/>
          <w:sz w:val="20"/>
          <w:szCs w:val="20"/>
        </w:rPr>
        <w:t>dnnm1</w:t>
      </w:r>
    </w:p>
    <w:p w14:paraId="2EBA38A2" w14:textId="698C8608" w:rsidR="00C35574" w:rsidRDefault="00000000" w:rsidP="00A65C49">
      <w:pPr>
        <w:spacing w:before="40" w:after="40" w:line="360" w:lineRule="auto"/>
        <w:jc w:val="center"/>
      </w:pPr>
      <w:r>
        <w:rPr>
          <w:rFonts w:ascii="Arial" w:eastAsia="Arial" w:hAnsi="Arial" w:cs="Arial"/>
          <w:b/>
          <w:bCs/>
          <w:color w:val="1F3864"/>
          <w:sz w:val="22"/>
          <w:szCs w:val="22"/>
        </w:rPr>
        <w:t xml:space="preserve">Sashi </w:t>
      </w:r>
      <w:proofErr w:type="spellStart"/>
      <w:r>
        <w:rPr>
          <w:rFonts w:ascii="Arial" w:eastAsia="Arial" w:hAnsi="Arial" w:cs="Arial"/>
          <w:b/>
          <w:bCs/>
          <w:color w:val="1F3864"/>
          <w:sz w:val="22"/>
          <w:szCs w:val="22"/>
        </w:rPr>
        <w:t>Dommaraju</w:t>
      </w:r>
      <w:proofErr w:type="spellEnd"/>
      <w:r>
        <w:rPr>
          <w:rFonts w:ascii="Arial" w:eastAsia="Arial" w:hAnsi="Arial" w:cs="Arial"/>
          <w:color w:val="888888"/>
          <w:sz w:val="20"/>
          <w:szCs w:val="20"/>
        </w:rPr>
        <w:t xml:space="preserve">   |   </w:t>
      </w:r>
      <w:r w:rsidR="001D427C">
        <w:rPr>
          <w:rFonts w:ascii="Arial" w:eastAsia="Arial" w:hAnsi="Arial" w:cs="Arial"/>
          <w:color w:val="888888"/>
          <w:sz w:val="20"/>
          <w:szCs w:val="20"/>
        </w:rPr>
        <w:t>sd683</w:t>
      </w:r>
    </w:p>
    <w:p w14:paraId="391B7266" w14:textId="77777777" w:rsidR="00C35574" w:rsidRDefault="00000000">
      <w:r>
        <w:br w:type="page"/>
      </w:r>
    </w:p>
    <w:p w14:paraId="6D007AD5" w14:textId="77777777" w:rsidR="00C35574" w:rsidRDefault="00000000">
      <w:pPr>
        <w:pStyle w:val="Heading1"/>
      </w:pPr>
      <w:r>
        <w:lastRenderedPageBreak/>
        <w:t>Abstract</w:t>
      </w:r>
    </w:p>
    <w:p w14:paraId="46753E08" w14:textId="77777777" w:rsidR="00C35574" w:rsidRDefault="00000000" w:rsidP="00A65C49">
      <w:pPr>
        <w:spacing w:before="40" w:after="80" w:line="360" w:lineRule="auto"/>
        <w:jc w:val="both"/>
      </w:pPr>
      <w:r>
        <w:t xml:space="preserve">Flood events are among the most destructive and frequent natural disasters worldwide, and timely mapping of inundated areas is critical for effective emergency response and long-term risk management. This study presents a deep learning pipeline for automated flood extent mapping using CNN architectures applied to Sentinel-1 SAR imagery. A U-Net with a ResNet-34 encoder pre-trained on ImageNet was trained on the Sen1Floods11 hand-labelled benchmark spanning eleven globally distributed flood events. The dataset presented significant real-world challenges including pervasive </w:t>
      </w:r>
      <w:proofErr w:type="spellStart"/>
      <w:r>
        <w:t>NaN</w:t>
      </w:r>
      <w:proofErr w:type="spellEnd"/>
      <w:r>
        <w:t xml:space="preserve"> </w:t>
      </w:r>
      <w:proofErr w:type="spellStart"/>
      <w:r>
        <w:t>nodata</w:t>
      </w:r>
      <w:proofErr w:type="spellEnd"/>
      <w:r>
        <w:t xml:space="preserve"> pixels and pronounced class imbalance (~18% flooded pixels), addressed through robust channel-wise </w:t>
      </w:r>
      <w:proofErr w:type="spellStart"/>
      <w:r>
        <w:t>NaN</w:t>
      </w:r>
      <w:proofErr w:type="spellEnd"/>
      <w:r>
        <w:t xml:space="preserve"> imputation, dB-domain normalisation, </w:t>
      </w:r>
      <w:proofErr w:type="spellStart"/>
      <w:r>
        <w:t>BCEWithLogitsLoss</w:t>
      </w:r>
      <w:proofErr w:type="spellEnd"/>
      <w:r>
        <w:t xml:space="preserve"> with positive-class weighting of 4.5, and stochastic augmentation. Training on a Tesla T4 GPU converged after 54 epochs (early stopping), achieving a test </w:t>
      </w:r>
      <w:proofErr w:type="spellStart"/>
      <w:r>
        <w:t>IoU</w:t>
      </w:r>
      <w:proofErr w:type="spellEnd"/>
      <w:r>
        <w:t xml:space="preserve"> of 0.5626, Dice of 0.7201, recall of 0.7840, precision of 0.6659, and pixel accuracy of 93.37%. An ablation study shows skip connections contribute +5.9% relative </w:t>
      </w:r>
      <w:proofErr w:type="spellStart"/>
      <w:r>
        <w:t>IoU</w:t>
      </w:r>
      <w:proofErr w:type="spellEnd"/>
      <w:r>
        <w:t xml:space="preserve"> and ImageNet pre-training contributes a further +1.1%, confirming both design choices. Limitations including </w:t>
      </w:r>
      <w:proofErr w:type="spellStart"/>
      <w:r>
        <w:t>NaN</w:t>
      </w:r>
      <w:proofErr w:type="spellEnd"/>
      <w:r>
        <w:t xml:space="preserve">-dominated chips, limited training data, and single-date SAR ambiguity are analysed. Improvements including attention-gated U-Net, multi-temporal fusion, and </w:t>
      </w:r>
      <w:proofErr w:type="spellStart"/>
      <w:r>
        <w:t>NaN</w:t>
      </w:r>
      <w:proofErr w:type="spellEnd"/>
      <w:r>
        <w:t>-aware loss masking are proposed.</w:t>
      </w:r>
    </w:p>
    <w:p w14:paraId="1AD98E1A" w14:textId="77777777" w:rsidR="00C35574" w:rsidRDefault="00000000">
      <w:r>
        <w:br w:type="page"/>
      </w:r>
    </w:p>
    <w:p w14:paraId="272D4314" w14:textId="77777777" w:rsidR="00C35574" w:rsidRDefault="00000000">
      <w:pPr>
        <w:pStyle w:val="Heading1"/>
      </w:pPr>
      <w:r>
        <w:lastRenderedPageBreak/>
        <w:t>1. Introduction</w:t>
      </w:r>
    </w:p>
    <w:p w14:paraId="0E73229F" w14:textId="77777777" w:rsidR="00C35574" w:rsidRDefault="00000000">
      <w:pPr>
        <w:pStyle w:val="Heading2"/>
      </w:pPr>
      <w:r>
        <w:t>1.1 Background: Remote Sensing and CNNs</w:t>
      </w:r>
    </w:p>
    <w:p w14:paraId="7203E4C2" w14:textId="77777777" w:rsidR="00C35574" w:rsidRDefault="00000000" w:rsidP="00A65C49">
      <w:pPr>
        <w:spacing w:before="40" w:after="80" w:line="360" w:lineRule="auto"/>
        <w:jc w:val="both"/>
      </w:pPr>
      <w:r>
        <w:t>Remote sensing acquires Earth surface information from airborne or spaceborne sensors. Satellite platforms now span multispectral optical instruments such as Sentinel-2 MSI to active microwave systems such as the Sentinel-1 C-band SAR. These sensors generate terabytes of data daily, creating both unprecedented opportunities and significant computational challenges (Zhu et al., 2017). Traditional approaches relied on hand-crafted indices and shallow machine learning. CNNs have fundamentally transformed the field by learning hierarchical spatial representations directly from data (</w:t>
      </w:r>
      <w:proofErr w:type="spellStart"/>
      <w:r>
        <w:t>LeCun</w:t>
      </w:r>
      <w:proofErr w:type="spellEnd"/>
      <w:r>
        <w:t xml:space="preserve"> et al., 2015; </w:t>
      </w:r>
      <w:proofErr w:type="spellStart"/>
      <w:r>
        <w:t>Maggiori</w:t>
      </w:r>
      <w:proofErr w:type="spellEnd"/>
      <w:r>
        <w:t xml:space="preserve"> et al., 2017). Architectures such as </w:t>
      </w:r>
      <w:proofErr w:type="spellStart"/>
      <w:r>
        <w:t>ResNet</w:t>
      </w:r>
      <w:proofErr w:type="spellEnd"/>
      <w:r>
        <w:t xml:space="preserve"> (He et al., 2016) and </w:t>
      </w:r>
      <w:proofErr w:type="spellStart"/>
      <w:r>
        <w:t>DenseNet</w:t>
      </w:r>
      <w:proofErr w:type="spellEnd"/>
      <w:r>
        <w:t xml:space="preserve"> (Huang et al., 2017) have been adapted via transfer learning to satellite imagery, while encoder-decoder architectures such as U-Net (</w:t>
      </w:r>
      <w:proofErr w:type="spellStart"/>
      <w:r>
        <w:t>Ronneberger</w:t>
      </w:r>
      <w:proofErr w:type="spellEnd"/>
      <w:r>
        <w:t xml:space="preserve"> et al., 2015) have become the de facto standard for pixel-level segmentation.</w:t>
      </w:r>
    </w:p>
    <w:p w14:paraId="1A6BCCC2" w14:textId="77777777" w:rsidR="00C35574" w:rsidRDefault="00000000">
      <w:pPr>
        <w:pStyle w:val="Heading2"/>
      </w:pPr>
      <w:r>
        <w:t>1.2 Importance of Flood Mapping</w:t>
      </w:r>
    </w:p>
    <w:p w14:paraId="349ADFB5" w14:textId="77777777" w:rsidR="00C35574" w:rsidRDefault="00000000" w:rsidP="00A65C49">
      <w:pPr>
        <w:spacing w:before="40" w:after="80" w:line="360" w:lineRule="auto"/>
        <w:jc w:val="both"/>
      </w:pPr>
      <w:r>
        <w:t>Flooding is the most frequent and economically damaging natural hazard globally. Between 2000 and 2019, 3,254 flood events caused approximately 104,000 fatalities affecting over 1.6 billion people (</w:t>
      </w:r>
      <w:proofErr w:type="spellStart"/>
      <w:r>
        <w:t>Wallemacq</w:t>
      </w:r>
      <w:proofErr w:type="spellEnd"/>
      <w:r>
        <w:t xml:space="preserve"> and House, 2018). Climate change is expected to intensify these impacts (IPCC, 2021). Optical imagery is limited in flood scenarios due to cloud cover from the same weather systems causing inundation. SAR sensors penetrate cloud cover and operate independently of illumination, making Sentinel-1 — with its six-day repeat cycle and free data access — the primary source for operational flood monitoring. Manual SAR interpretation is labour-intensive and inconsistent, creating a compelling need for automated deep learning solutions.</w:t>
      </w:r>
    </w:p>
    <w:p w14:paraId="3484E331" w14:textId="77777777" w:rsidR="00C35574" w:rsidRDefault="00000000">
      <w:pPr>
        <w:pStyle w:val="Heading2"/>
      </w:pPr>
      <w:r>
        <w:t>1.3 Research Objectives</w:t>
      </w:r>
    </w:p>
    <w:p w14:paraId="690CB0BB" w14:textId="77777777" w:rsidR="00C35574" w:rsidRDefault="00000000" w:rsidP="00A65C49">
      <w:pPr>
        <w:pStyle w:val="ListParagraph"/>
        <w:numPr>
          <w:ilvl w:val="0"/>
          <w:numId w:val="2"/>
        </w:numPr>
        <w:spacing w:before="30" w:after="30" w:line="360" w:lineRule="auto"/>
      </w:pPr>
      <w:r>
        <w:t>Design and implement a U-Net with ResNet-34 encoder for binary flood mapping from dual-polarisation Sentinel-1 SAR imagery.</w:t>
      </w:r>
    </w:p>
    <w:p w14:paraId="26E4DF49" w14:textId="77777777" w:rsidR="00C35574" w:rsidRDefault="00000000" w:rsidP="00A65C49">
      <w:pPr>
        <w:pStyle w:val="ListParagraph"/>
        <w:numPr>
          <w:ilvl w:val="0"/>
          <w:numId w:val="2"/>
        </w:numPr>
        <w:spacing w:before="30" w:after="30" w:line="360" w:lineRule="auto"/>
      </w:pPr>
      <w:r>
        <w:t xml:space="preserve">Address real-world data challenges including </w:t>
      </w:r>
      <w:proofErr w:type="spellStart"/>
      <w:r>
        <w:t>NaN</w:t>
      </w:r>
      <w:proofErr w:type="spellEnd"/>
      <w:r>
        <w:t xml:space="preserve"> </w:t>
      </w:r>
      <w:proofErr w:type="spellStart"/>
      <w:r>
        <w:t>nodata</w:t>
      </w:r>
      <w:proofErr w:type="spellEnd"/>
      <w:r>
        <w:t xml:space="preserve"> pixels, class imbalance, and dB-domain SAR </w:t>
      </w:r>
      <w:proofErr w:type="spellStart"/>
      <w:r>
        <w:t>preprocessing</w:t>
      </w:r>
      <w:proofErr w:type="spellEnd"/>
      <w:r>
        <w:t>.</w:t>
      </w:r>
    </w:p>
    <w:p w14:paraId="3556B5D5" w14:textId="77777777" w:rsidR="00C35574" w:rsidRDefault="00000000" w:rsidP="00A65C49">
      <w:pPr>
        <w:pStyle w:val="ListParagraph"/>
        <w:numPr>
          <w:ilvl w:val="0"/>
          <w:numId w:val="2"/>
        </w:numPr>
        <w:spacing w:before="30" w:after="30" w:line="360" w:lineRule="auto"/>
      </w:pPr>
      <w:r>
        <w:t xml:space="preserve">Evaluate rigorously using </w:t>
      </w:r>
      <w:proofErr w:type="spellStart"/>
      <w:r>
        <w:t>IoU</w:t>
      </w:r>
      <w:proofErr w:type="spellEnd"/>
      <w:r>
        <w:t>, F1, precision, recall, and accuracy on a geographically diverse benchmark.</w:t>
      </w:r>
    </w:p>
    <w:p w14:paraId="5A8A7CB3" w14:textId="77777777" w:rsidR="00C35574" w:rsidRDefault="00000000" w:rsidP="00A65C49">
      <w:pPr>
        <w:pStyle w:val="ListParagraph"/>
        <w:numPr>
          <w:ilvl w:val="0"/>
          <w:numId w:val="2"/>
        </w:numPr>
        <w:spacing w:before="30" w:after="30" w:line="360" w:lineRule="auto"/>
      </w:pPr>
      <w:r>
        <w:t>Compare against Vanilla CNN and U-Net without pre-training baselines to isolate architectural contributions.</w:t>
      </w:r>
    </w:p>
    <w:p w14:paraId="0DDED472" w14:textId="77777777" w:rsidR="00C35574" w:rsidRDefault="00000000" w:rsidP="00A65C49">
      <w:pPr>
        <w:pStyle w:val="ListParagraph"/>
        <w:numPr>
          <w:ilvl w:val="0"/>
          <w:numId w:val="2"/>
        </w:numPr>
        <w:spacing w:before="30" w:after="30" w:line="360" w:lineRule="auto"/>
      </w:pPr>
      <w:r>
        <w:t>Critically analyse strengths, limitations, and improvements with reference to state-of-the-art literature.</w:t>
      </w:r>
    </w:p>
    <w:p w14:paraId="3888BEBB" w14:textId="77777777" w:rsidR="00C35574" w:rsidRDefault="00000000" w:rsidP="00A65C49">
      <w:pPr>
        <w:spacing w:line="360" w:lineRule="auto"/>
      </w:pPr>
      <w:r>
        <w:br w:type="page"/>
      </w:r>
    </w:p>
    <w:p w14:paraId="7109D0F1" w14:textId="77777777" w:rsidR="00C35574" w:rsidRDefault="00000000">
      <w:pPr>
        <w:pStyle w:val="Heading1"/>
      </w:pPr>
      <w:r>
        <w:lastRenderedPageBreak/>
        <w:t>2. Literature Review</w:t>
      </w:r>
    </w:p>
    <w:p w14:paraId="20A1928E" w14:textId="77777777" w:rsidR="00C35574" w:rsidRDefault="00000000">
      <w:pPr>
        <w:pStyle w:val="Heading2"/>
      </w:pPr>
      <w:r>
        <w:t>2.1 CNN Architectures for Remote Sensing</w:t>
      </w:r>
    </w:p>
    <w:p w14:paraId="718025BA" w14:textId="77777777" w:rsidR="00C35574" w:rsidRDefault="00000000" w:rsidP="00A65C49">
      <w:pPr>
        <w:spacing w:before="40" w:after="80" w:line="360" w:lineRule="auto"/>
        <w:jc w:val="both"/>
      </w:pPr>
      <w:proofErr w:type="spellStart"/>
      <w:r>
        <w:t>AlexNet</w:t>
      </w:r>
      <w:proofErr w:type="spellEnd"/>
      <w:r>
        <w:t xml:space="preserve"> (</w:t>
      </w:r>
      <w:proofErr w:type="spellStart"/>
      <w:r>
        <w:t>Krizhevsky</w:t>
      </w:r>
      <w:proofErr w:type="spellEnd"/>
      <w:r>
        <w:t xml:space="preserve"> et al., 2012) and </w:t>
      </w:r>
      <w:proofErr w:type="spellStart"/>
      <w:r>
        <w:t>VGGNet</w:t>
      </w:r>
      <w:proofErr w:type="spellEnd"/>
      <w:r>
        <w:t xml:space="preserve"> (</w:t>
      </w:r>
      <w:proofErr w:type="spellStart"/>
      <w:r>
        <w:t>Simonyan</w:t>
      </w:r>
      <w:proofErr w:type="spellEnd"/>
      <w:r>
        <w:t xml:space="preserve"> and Zisserman, 2014) demonstrated that natural image representations transfer effectively to satellite data (Nogueira et al., 2017). </w:t>
      </w:r>
      <w:proofErr w:type="spellStart"/>
      <w:r>
        <w:t>ResNet</w:t>
      </w:r>
      <w:proofErr w:type="spellEnd"/>
      <w:r>
        <w:t xml:space="preserve"> (He et al., 2016) introduced residual connections to address vanishing gradients, enabling architectures exceeding 100 layers. </w:t>
      </w:r>
      <w:proofErr w:type="spellStart"/>
      <w:r>
        <w:t>DenseNet</w:t>
      </w:r>
      <w:proofErr w:type="spellEnd"/>
      <w:r>
        <w:t xml:space="preserve"> (Huang et al., 2017) extended this with dense inter-layer connections, promoting feature reuse. </w:t>
      </w:r>
      <w:proofErr w:type="spellStart"/>
      <w:r>
        <w:t>EfficientNet</w:t>
      </w:r>
      <w:proofErr w:type="spellEnd"/>
      <w:r>
        <w:t xml:space="preserve"> (Tan and Le, 2019) introduced compound scaling of depth, width, and resolution, achieving state-of-the-art ImageNet accuracy with fewer parameters — making it attractive for data-limited remote sensing tasks (Ma et al., 2019).</w:t>
      </w:r>
    </w:p>
    <w:p w14:paraId="5C345019" w14:textId="77777777" w:rsidR="00C35574" w:rsidRDefault="00000000">
      <w:pPr>
        <w:pStyle w:val="Heading2"/>
      </w:pPr>
      <w:r>
        <w:t>2.2 Semantic Segmentation: U-Net and Variants</w:t>
      </w:r>
    </w:p>
    <w:p w14:paraId="5DF1AEC4" w14:textId="77777777" w:rsidR="00C35574" w:rsidRDefault="00000000" w:rsidP="00A65C49">
      <w:pPr>
        <w:spacing w:before="40" w:after="80" w:line="360" w:lineRule="auto"/>
        <w:jc w:val="both"/>
      </w:pPr>
      <w:r>
        <w:t>Fully Convolutional Networks (Long et al., 2015) established dense prediction by replacing classification heads with transposed convolutions. U-Net (</w:t>
      </w:r>
      <w:proofErr w:type="spellStart"/>
      <w:r>
        <w:t>Ronneberger</w:t>
      </w:r>
      <w:proofErr w:type="spellEnd"/>
      <w:r>
        <w:t xml:space="preserve"> et al., 2015) added symmetric skip connections enabling recovery of spatial detail lost during </w:t>
      </w:r>
      <w:proofErr w:type="spellStart"/>
      <w:r>
        <w:t>downsampling</w:t>
      </w:r>
      <w:proofErr w:type="spellEnd"/>
      <w:r>
        <w:t xml:space="preserve"> — critical for accurate boundary delineation in remote sensing. Applications include road extraction (Zhang et al., 2018), building footprint delineation (Chen et al., 2018), and crop mapping (</w:t>
      </w:r>
      <w:proofErr w:type="spellStart"/>
      <w:r>
        <w:t>Rustowicz</w:t>
      </w:r>
      <w:proofErr w:type="spellEnd"/>
      <w:r>
        <w:t xml:space="preserve"> et al., 2019). Attention U-Net (</w:t>
      </w:r>
      <w:proofErr w:type="spellStart"/>
      <w:r>
        <w:t>Oktay</w:t>
      </w:r>
      <w:proofErr w:type="spellEnd"/>
      <w:r>
        <w:t xml:space="preserve"> et al., 2018) introduced soft attention gates to suppress irrelevant activations in skip connections, improving sensitivity to sparse foreground objects such as flooded areas.</w:t>
      </w:r>
    </w:p>
    <w:p w14:paraId="1BCA6D52" w14:textId="77777777" w:rsidR="00C35574" w:rsidRDefault="00000000">
      <w:pPr>
        <w:pStyle w:val="Heading2"/>
      </w:pPr>
      <w:r>
        <w:t>2.3 Object Detection: YOLO and Faster R-CNN</w:t>
      </w:r>
    </w:p>
    <w:p w14:paraId="3FD0ADA5" w14:textId="77777777" w:rsidR="00C35574" w:rsidRDefault="00000000" w:rsidP="00A65C49">
      <w:pPr>
        <w:spacing w:before="40" w:after="80" w:line="360" w:lineRule="auto"/>
        <w:jc w:val="both"/>
      </w:pPr>
      <w:r>
        <w:t>YOLO (Redmon et al., 2016) and Faster R-CNN (Ren et al., 2015) have been applied to high-resolution satellite imagery for object localisation. However, flood mapping requires dense pixel-level prediction over large continuous areas rather than bounding box outputs, making segmentation architectures more appropriate than detection frameworks for this task.</w:t>
      </w:r>
    </w:p>
    <w:p w14:paraId="43A25807" w14:textId="77777777" w:rsidR="00C35574" w:rsidRDefault="00000000">
      <w:pPr>
        <w:pStyle w:val="Heading2"/>
      </w:pPr>
      <w:r>
        <w:t>2.4 SAR-Based Flood Mapping</w:t>
      </w:r>
    </w:p>
    <w:p w14:paraId="4617CA27" w14:textId="77777777" w:rsidR="00C35574" w:rsidRDefault="00000000" w:rsidP="00A65C49">
      <w:pPr>
        <w:spacing w:before="40" w:after="80" w:line="360" w:lineRule="auto"/>
        <w:jc w:val="both"/>
      </w:pPr>
      <w:r>
        <w:t xml:space="preserve">SAR flood mapping exploits low backscatter from smooth water surfaces. Threshold-based methods (Martinis et al., 2015) are sensitive to incidence angle and surface roughness. Deep learning overcomes these limitations by learning contextual features. </w:t>
      </w:r>
      <w:proofErr w:type="spellStart"/>
      <w:r>
        <w:t>Bonafilia</w:t>
      </w:r>
      <w:proofErr w:type="spellEnd"/>
      <w:r>
        <w:t xml:space="preserve"> et al. (2020) introduced Sen1Floods11 and showed U-Net substantially outperforms thresholding. Mateo-Garcia et al. (2021) demonstrated the value of joint VV and VH polarisation. </w:t>
      </w:r>
      <w:proofErr w:type="spellStart"/>
      <w:r>
        <w:t>Katiyar</w:t>
      </w:r>
      <w:proofErr w:type="spellEnd"/>
      <w:r>
        <w:t xml:space="preserve"> et al. (2021) explored weakly-supervised approaches using </w:t>
      </w:r>
      <w:proofErr w:type="gramStart"/>
      <w:r>
        <w:t>automatically-generated</w:t>
      </w:r>
      <w:proofErr w:type="gramEnd"/>
      <w:r>
        <w:t xml:space="preserve"> labels.</w:t>
      </w:r>
    </w:p>
    <w:p w14:paraId="19B30A32" w14:textId="77777777" w:rsidR="00C35574" w:rsidRDefault="00000000">
      <w:pPr>
        <w:pStyle w:val="Heading2"/>
      </w:pPr>
      <w:r>
        <w:t>2.5 Research Gap</w:t>
      </w:r>
    </w:p>
    <w:p w14:paraId="049AD358" w14:textId="77777777" w:rsidR="00C35574" w:rsidRDefault="00000000" w:rsidP="00A65C49">
      <w:pPr>
        <w:spacing w:before="40" w:after="80" w:line="360" w:lineRule="auto"/>
        <w:jc w:val="both"/>
      </w:pPr>
      <w:r>
        <w:t xml:space="preserve">Many studies focus on geographically constrained single-event datasets. Operational SAR datasets frequently contain pervasive </w:t>
      </w:r>
      <w:proofErr w:type="spellStart"/>
      <w:r>
        <w:t>NaN</w:t>
      </w:r>
      <w:proofErr w:type="spellEnd"/>
      <w:r>
        <w:t xml:space="preserve"> </w:t>
      </w:r>
      <w:proofErr w:type="spellStart"/>
      <w:r>
        <w:t>nodata</w:t>
      </w:r>
      <w:proofErr w:type="spellEnd"/>
      <w:r>
        <w:t xml:space="preserve"> pixels — a </w:t>
      </w:r>
      <w:proofErr w:type="spellStart"/>
      <w:r>
        <w:t>preprocessing</w:t>
      </w:r>
      <w:proofErr w:type="spellEnd"/>
      <w:r>
        <w:t xml:space="preserve"> challenge rarely addressed explicitly in published pipelines. This work contributes a reproducible pipeline on the globally representative Sen1Floods11 benchmark with explicit </w:t>
      </w:r>
      <w:proofErr w:type="spellStart"/>
      <w:r>
        <w:t>NaN</w:t>
      </w:r>
      <w:proofErr w:type="spellEnd"/>
      <w:r>
        <w:t xml:space="preserve"> handling, class imbalance treatment, and AMP-compatible loss formulation.</w:t>
      </w:r>
    </w:p>
    <w:p w14:paraId="42AA8CC4" w14:textId="77777777" w:rsidR="00C35574" w:rsidRDefault="00000000" w:rsidP="00A65C49">
      <w:pPr>
        <w:spacing w:line="360" w:lineRule="auto"/>
      </w:pPr>
      <w:r>
        <w:br w:type="page"/>
      </w:r>
    </w:p>
    <w:p w14:paraId="23E72514" w14:textId="77777777" w:rsidR="00C35574" w:rsidRDefault="00000000">
      <w:pPr>
        <w:pStyle w:val="Heading1"/>
      </w:pPr>
      <w:r>
        <w:lastRenderedPageBreak/>
        <w:t>3. Methodology</w:t>
      </w:r>
    </w:p>
    <w:p w14:paraId="75863CFD" w14:textId="77777777" w:rsidR="00C35574" w:rsidRDefault="00000000">
      <w:pPr>
        <w:pStyle w:val="Heading2"/>
      </w:pPr>
      <w:r>
        <w:t>3.1 Problem Definition</w:t>
      </w:r>
    </w:p>
    <w:p w14:paraId="39DEB61D" w14:textId="77777777" w:rsidR="00C35574" w:rsidRDefault="00000000" w:rsidP="00A65C49">
      <w:pPr>
        <w:spacing w:before="40" w:after="80" w:line="360" w:lineRule="auto"/>
        <w:jc w:val="both"/>
      </w:pPr>
      <w:r>
        <w:t>The task is binary semantic segmentation: for each pixel of a 512×512 dual-channel SAR chip, predict flooded (1) or non-flooded (0). Permanent water bodies are excluded per the Sen1Floods11 annotation protocol. Segmentation is chosen over scene-level classification because emergency responders require spatially explicit flood maps.</w:t>
      </w:r>
    </w:p>
    <w:p w14:paraId="2FFD4849" w14:textId="77777777" w:rsidR="00C35574" w:rsidRDefault="00000000">
      <w:pPr>
        <w:pStyle w:val="Heading2"/>
      </w:pPr>
      <w:r>
        <w:t>3.2 Dataset</w:t>
      </w:r>
    </w:p>
    <w:p w14:paraId="22CAD284" w14:textId="77777777" w:rsidR="00C35574" w:rsidRDefault="00000000" w:rsidP="00A65C49">
      <w:pPr>
        <w:spacing w:before="40" w:after="80" w:line="360" w:lineRule="auto"/>
        <w:jc w:val="both"/>
      </w:pPr>
      <w:r>
        <w:t>The Sen1Floods11 dataset (</w:t>
      </w:r>
      <w:proofErr w:type="spellStart"/>
      <w:r>
        <w:t>Bonafilia</w:t>
      </w:r>
      <w:proofErr w:type="spellEnd"/>
      <w:r>
        <w:t xml:space="preserve"> et al., 2020) provides 512×512-pixel Sentinel-1 GRD chips at 10 m resolution over eleven globally distributed flood events. Each chip contains VV and VH polarisation channels. Hand-labelled expert annotations are used exclusively. The official split CSV files provided 252 training, 89 validation, and 90 test chips.</w:t>
      </w:r>
    </w:p>
    <w:p w14:paraId="59FADC0E" w14:textId="77777777" w:rsidR="00C35574" w:rsidRDefault="00C35574">
      <w:pPr>
        <w:spacing w:after="60"/>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000"/>
        <w:gridCol w:w="1500"/>
        <w:gridCol w:w="1500"/>
        <w:gridCol w:w="1600"/>
      </w:tblGrid>
      <w:tr w:rsidR="00C35574" w14:paraId="225A5EA3" w14:textId="77777777">
        <w:tblPrEx>
          <w:tblCellMar>
            <w:top w:w="0" w:type="dxa"/>
            <w:bottom w:w="0" w:type="dxa"/>
          </w:tblCellMar>
        </w:tblPrEx>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70" w:type="dxa"/>
              <w:left w:w="100" w:type="dxa"/>
              <w:bottom w:w="70" w:type="dxa"/>
              <w:right w:w="100" w:type="dxa"/>
            </w:tcMar>
          </w:tcPr>
          <w:p w14:paraId="07D8F795" w14:textId="77777777" w:rsidR="00C35574" w:rsidRDefault="00000000">
            <w:pPr>
              <w:jc w:val="center"/>
            </w:pPr>
            <w:r>
              <w:rPr>
                <w:rFonts w:ascii="Arial" w:eastAsia="Arial" w:hAnsi="Arial" w:cs="Arial"/>
                <w:b/>
                <w:bCs/>
                <w:color w:val="FFFFFF"/>
                <w:sz w:val="18"/>
                <w:szCs w:val="18"/>
              </w:rPr>
              <w:t>Split</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70" w:type="dxa"/>
              <w:left w:w="100" w:type="dxa"/>
              <w:bottom w:w="70" w:type="dxa"/>
              <w:right w:w="100" w:type="dxa"/>
            </w:tcMar>
          </w:tcPr>
          <w:p w14:paraId="299EB139" w14:textId="77777777" w:rsidR="00C35574" w:rsidRDefault="00000000">
            <w:pPr>
              <w:jc w:val="center"/>
            </w:pPr>
            <w:r>
              <w:rPr>
                <w:rFonts w:ascii="Arial" w:eastAsia="Arial" w:hAnsi="Arial" w:cs="Arial"/>
                <w:b/>
                <w:bCs/>
                <w:color w:val="FFFFFF"/>
                <w:sz w:val="18"/>
                <w:szCs w:val="18"/>
              </w:rPr>
              <w:t>Chips</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70" w:type="dxa"/>
              <w:left w:w="100" w:type="dxa"/>
              <w:bottom w:w="70" w:type="dxa"/>
              <w:right w:w="100" w:type="dxa"/>
            </w:tcMar>
          </w:tcPr>
          <w:p w14:paraId="4801A3FC" w14:textId="77777777" w:rsidR="00C35574" w:rsidRDefault="00000000">
            <w:pPr>
              <w:jc w:val="center"/>
            </w:pPr>
            <w:r>
              <w:rPr>
                <w:rFonts w:ascii="Arial" w:eastAsia="Arial" w:hAnsi="Arial" w:cs="Arial"/>
                <w:b/>
                <w:bCs/>
                <w:color w:val="FFFFFF"/>
                <w:sz w:val="18"/>
                <w:szCs w:val="18"/>
              </w:rPr>
              <w:t>Pixels (M)</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70" w:type="dxa"/>
              <w:left w:w="100" w:type="dxa"/>
              <w:bottom w:w="70" w:type="dxa"/>
              <w:right w:w="100" w:type="dxa"/>
            </w:tcMar>
          </w:tcPr>
          <w:p w14:paraId="01FCD0F1" w14:textId="77777777" w:rsidR="00C35574" w:rsidRDefault="00000000">
            <w:pPr>
              <w:jc w:val="center"/>
            </w:pPr>
            <w:r>
              <w:rPr>
                <w:rFonts w:ascii="Arial" w:eastAsia="Arial" w:hAnsi="Arial" w:cs="Arial"/>
                <w:b/>
                <w:bCs/>
                <w:color w:val="FFFFFF"/>
                <w:sz w:val="18"/>
                <w:szCs w:val="18"/>
              </w:rPr>
              <w:t>Flooded (%)</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70" w:type="dxa"/>
              <w:left w:w="100" w:type="dxa"/>
              <w:bottom w:w="70" w:type="dxa"/>
              <w:right w:w="100" w:type="dxa"/>
            </w:tcMar>
          </w:tcPr>
          <w:p w14:paraId="5AE87196" w14:textId="77777777" w:rsidR="00C35574" w:rsidRDefault="00000000">
            <w:pPr>
              <w:jc w:val="center"/>
            </w:pPr>
            <w:r>
              <w:rPr>
                <w:rFonts w:ascii="Arial" w:eastAsia="Arial" w:hAnsi="Arial" w:cs="Arial"/>
                <w:b/>
                <w:bCs/>
                <w:color w:val="FFFFFF"/>
                <w:sz w:val="18"/>
                <w:szCs w:val="18"/>
              </w:rPr>
              <w:t>Non-flooded (%)</w:t>
            </w:r>
          </w:p>
        </w:tc>
      </w:tr>
      <w:tr w:rsidR="00C35574" w14:paraId="469BD043"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50" w:type="dxa"/>
              <w:left w:w="100" w:type="dxa"/>
              <w:bottom w:w="50" w:type="dxa"/>
              <w:right w:w="100" w:type="dxa"/>
            </w:tcMar>
          </w:tcPr>
          <w:p w14:paraId="7FED6735" w14:textId="77777777" w:rsidR="00C35574" w:rsidRDefault="00000000">
            <w:pPr>
              <w:jc w:val="center"/>
            </w:pPr>
            <w:r>
              <w:rPr>
                <w:sz w:val="18"/>
                <w:szCs w:val="18"/>
              </w:rPr>
              <w:t>Training</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50" w:type="dxa"/>
              <w:left w:w="100" w:type="dxa"/>
              <w:bottom w:w="50" w:type="dxa"/>
              <w:right w:w="100" w:type="dxa"/>
            </w:tcMar>
          </w:tcPr>
          <w:p w14:paraId="519D4DD8" w14:textId="77777777" w:rsidR="00C35574" w:rsidRDefault="00000000">
            <w:pPr>
              <w:jc w:val="center"/>
            </w:pPr>
            <w:r>
              <w:rPr>
                <w:sz w:val="18"/>
                <w:szCs w:val="18"/>
              </w:rPr>
              <w:t>252</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50" w:type="dxa"/>
              <w:left w:w="100" w:type="dxa"/>
              <w:bottom w:w="50" w:type="dxa"/>
              <w:right w:w="100" w:type="dxa"/>
            </w:tcMar>
          </w:tcPr>
          <w:p w14:paraId="1AC03F66" w14:textId="77777777" w:rsidR="00C35574" w:rsidRDefault="00000000">
            <w:pPr>
              <w:jc w:val="center"/>
            </w:pPr>
            <w:r>
              <w:rPr>
                <w:sz w:val="18"/>
                <w:szCs w:val="18"/>
              </w:rPr>
              <w:t>66.1</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50" w:type="dxa"/>
              <w:left w:w="100" w:type="dxa"/>
              <w:bottom w:w="50" w:type="dxa"/>
              <w:right w:w="100" w:type="dxa"/>
            </w:tcMar>
          </w:tcPr>
          <w:p w14:paraId="5C4CDD0E" w14:textId="77777777" w:rsidR="00C35574" w:rsidRDefault="00000000">
            <w:pPr>
              <w:jc w:val="center"/>
            </w:pPr>
            <w:r>
              <w:rPr>
                <w:sz w:val="18"/>
                <w:szCs w:val="18"/>
              </w:rPr>
              <w:t>~18%</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50" w:type="dxa"/>
              <w:left w:w="100" w:type="dxa"/>
              <w:bottom w:w="50" w:type="dxa"/>
              <w:right w:w="100" w:type="dxa"/>
            </w:tcMar>
          </w:tcPr>
          <w:p w14:paraId="0BC95A59" w14:textId="77777777" w:rsidR="00C35574" w:rsidRDefault="00000000">
            <w:pPr>
              <w:jc w:val="center"/>
            </w:pPr>
            <w:r>
              <w:rPr>
                <w:sz w:val="18"/>
                <w:szCs w:val="18"/>
              </w:rPr>
              <w:t>~82%</w:t>
            </w:r>
          </w:p>
        </w:tc>
      </w:tr>
      <w:tr w:rsidR="00C35574" w14:paraId="64BEF1EC"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2918290" w14:textId="77777777" w:rsidR="00C35574" w:rsidRDefault="00000000">
            <w:pPr>
              <w:jc w:val="center"/>
            </w:pPr>
            <w:r>
              <w:rPr>
                <w:sz w:val="18"/>
                <w:szCs w:val="18"/>
              </w:rPr>
              <w:t>Validation</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034AC18E" w14:textId="77777777" w:rsidR="00C35574" w:rsidRDefault="00000000">
            <w:pPr>
              <w:jc w:val="center"/>
            </w:pPr>
            <w:r>
              <w:rPr>
                <w:sz w:val="18"/>
                <w:szCs w:val="18"/>
              </w:rPr>
              <w:t>89</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5F025FF" w14:textId="77777777" w:rsidR="00C35574" w:rsidRDefault="00000000">
            <w:pPr>
              <w:jc w:val="center"/>
            </w:pPr>
            <w:r>
              <w:rPr>
                <w:sz w:val="18"/>
                <w:szCs w:val="18"/>
              </w:rPr>
              <w:t>23.3</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8EE976F" w14:textId="77777777" w:rsidR="00C35574" w:rsidRDefault="00000000">
            <w:pPr>
              <w:jc w:val="center"/>
            </w:pPr>
            <w:r>
              <w:rPr>
                <w:sz w:val="18"/>
                <w:szCs w:val="18"/>
              </w:rPr>
              <w:t>~18%</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0434481B" w14:textId="77777777" w:rsidR="00C35574" w:rsidRDefault="00000000">
            <w:pPr>
              <w:jc w:val="center"/>
            </w:pPr>
            <w:r>
              <w:rPr>
                <w:sz w:val="18"/>
                <w:szCs w:val="18"/>
              </w:rPr>
              <w:t>~82%</w:t>
            </w:r>
          </w:p>
        </w:tc>
      </w:tr>
      <w:tr w:rsidR="00C35574" w14:paraId="38D2844F"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50" w:type="dxa"/>
              <w:left w:w="100" w:type="dxa"/>
              <w:bottom w:w="50" w:type="dxa"/>
              <w:right w:w="100" w:type="dxa"/>
            </w:tcMar>
          </w:tcPr>
          <w:p w14:paraId="0C53DAD5" w14:textId="77777777" w:rsidR="00C35574" w:rsidRDefault="00000000">
            <w:pPr>
              <w:jc w:val="center"/>
            </w:pPr>
            <w:r>
              <w:rPr>
                <w:sz w:val="18"/>
                <w:szCs w:val="18"/>
              </w:rPr>
              <w:t>Test</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50" w:type="dxa"/>
              <w:left w:w="100" w:type="dxa"/>
              <w:bottom w:w="50" w:type="dxa"/>
              <w:right w:w="100" w:type="dxa"/>
            </w:tcMar>
          </w:tcPr>
          <w:p w14:paraId="07FEC6AB" w14:textId="77777777" w:rsidR="00C35574" w:rsidRDefault="00000000">
            <w:pPr>
              <w:jc w:val="center"/>
            </w:pPr>
            <w:r>
              <w:rPr>
                <w:sz w:val="18"/>
                <w:szCs w:val="18"/>
              </w:rPr>
              <w:t>90</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50" w:type="dxa"/>
              <w:left w:w="100" w:type="dxa"/>
              <w:bottom w:w="50" w:type="dxa"/>
              <w:right w:w="100" w:type="dxa"/>
            </w:tcMar>
          </w:tcPr>
          <w:p w14:paraId="541844D1" w14:textId="77777777" w:rsidR="00C35574" w:rsidRDefault="00000000">
            <w:pPr>
              <w:jc w:val="center"/>
            </w:pPr>
            <w:r>
              <w:rPr>
                <w:sz w:val="18"/>
                <w:szCs w:val="18"/>
              </w:rPr>
              <w:t>23.6</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50" w:type="dxa"/>
              <w:left w:w="100" w:type="dxa"/>
              <w:bottom w:w="50" w:type="dxa"/>
              <w:right w:w="100" w:type="dxa"/>
            </w:tcMar>
          </w:tcPr>
          <w:p w14:paraId="4214F6B1" w14:textId="77777777" w:rsidR="00C35574" w:rsidRDefault="00000000">
            <w:pPr>
              <w:jc w:val="center"/>
            </w:pPr>
            <w:r>
              <w:rPr>
                <w:sz w:val="18"/>
                <w:szCs w:val="18"/>
              </w:rPr>
              <w:t>~19%</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50" w:type="dxa"/>
              <w:left w:w="100" w:type="dxa"/>
              <w:bottom w:w="50" w:type="dxa"/>
              <w:right w:w="100" w:type="dxa"/>
            </w:tcMar>
          </w:tcPr>
          <w:p w14:paraId="3948CC4D" w14:textId="77777777" w:rsidR="00C35574" w:rsidRDefault="00000000">
            <w:pPr>
              <w:jc w:val="center"/>
            </w:pPr>
            <w:r>
              <w:rPr>
                <w:sz w:val="18"/>
                <w:szCs w:val="18"/>
              </w:rPr>
              <w:t>~81%</w:t>
            </w:r>
          </w:p>
        </w:tc>
      </w:tr>
      <w:tr w:rsidR="00C35574" w14:paraId="4373DD07"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F2A9879" w14:textId="77777777" w:rsidR="00C35574" w:rsidRDefault="00000000">
            <w:pPr>
              <w:jc w:val="center"/>
            </w:pPr>
            <w:r>
              <w:rPr>
                <w:sz w:val="18"/>
                <w:szCs w:val="18"/>
              </w:rPr>
              <w:t>Total</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02848A1" w14:textId="77777777" w:rsidR="00C35574" w:rsidRDefault="00000000">
            <w:pPr>
              <w:jc w:val="center"/>
            </w:pPr>
            <w:r>
              <w:rPr>
                <w:sz w:val="18"/>
                <w:szCs w:val="18"/>
              </w:rPr>
              <w:t>431</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47706E7" w14:textId="77777777" w:rsidR="00C35574" w:rsidRDefault="00000000">
            <w:pPr>
              <w:jc w:val="center"/>
            </w:pPr>
            <w:r>
              <w:rPr>
                <w:sz w:val="18"/>
                <w:szCs w:val="18"/>
              </w:rPr>
              <w:t>113.0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550B186" w14:textId="77777777" w:rsidR="00C35574" w:rsidRDefault="00000000">
            <w:pPr>
              <w:jc w:val="center"/>
            </w:pPr>
            <w:r>
              <w:rPr>
                <w:sz w:val="18"/>
                <w:szCs w:val="18"/>
              </w:rPr>
              <w:t>~18%</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3B720D9" w14:textId="77777777" w:rsidR="00C35574" w:rsidRDefault="00000000">
            <w:pPr>
              <w:jc w:val="center"/>
            </w:pPr>
            <w:r>
              <w:rPr>
                <w:sz w:val="18"/>
                <w:szCs w:val="18"/>
              </w:rPr>
              <w:t>~82%</w:t>
            </w:r>
          </w:p>
        </w:tc>
      </w:tr>
    </w:tbl>
    <w:p w14:paraId="4EF33839" w14:textId="77777777" w:rsidR="00C35574" w:rsidRDefault="00000000">
      <w:pPr>
        <w:spacing w:before="40" w:after="160"/>
        <w:jc w:val="center"/>
      </w:pPr>
      <w:r>
        <w:rPr>
          <w:i/>
          <w:iCs/>
          <w:color w:val="444444"/>
          <w:sz w:val="19"/>
          <w:szCs w:val="19"/>
        </w:rPr>
        <w:t>Table 3.1: Dataset split statistics. Class imbalance (~18% flooded) addressed via loss weighting.</w:t>
      </w:r>
    </w:p>
    <w:p w14:paraId="63C0C503" w14:textId="77777777" w:rsidR="00C35574" w:rsidRDefault="00000000">
      <w:pPr>
        <w:pStyle w:val="Heading2"/>
      </w:pPr>
      <w:r>
        <w:t xml:space="preserve">3.3 </w:t>
      </w:r>
      <w:proofErr w:type="spellStart"/>
      <w:r>
        <w:t>Preprocessing</w:t>
      </w:r>
      <w:proofErr w:type="spellEnd"/>
    </w:p>
    <w:p w14:paraId="7552E9EA" w14:textId="77777777" w:rsidR="00C35574" w:rsidRDefault="00000000">
      <w:pPr>
        <w:spacing w:before="160" w:after="40"/>
      </w:pPr>
      <w:r>
        <w:rPr>
          <w:b/>
          <w:bCs/>
          <w:color w:val="1F497D"/>
          <w:sz w:val="22"/>
          <w:szCs w:val="22"/>
        </w:rPr>
        <w:t xml:space="preserve">3.3.1 </w:t>
      </w:r>
      <w:proofErr w:type="spellStart"/>
      <w:r>
        <w:rPr>
          <w:b/>
          <w:bCs/>
          <w:color w:val="1F497D"/>
          <w:sz w:val="22"/>
          <w:szCs w:val="22"/>
        </w:rPr>
        <w:t>NaN</w:t>
      </w:r>
      <w:proofErr w:type="spellEnd"/>
      <w:r>
        <w:rPr>
          <w:b/>
          <w:bCs/>
          <w:color w:val="1F497D"/>
          <w:sz w:val="22"/>
          <w:szCs w:val="22"/>
        </w:rPr>
        <w:t xml:space="preserve"> Handling</w:t>
      </w:r>
    </w:p>
    <w:p w14:paraId="08E4B072" w14:textId="77777777" w:rsidR="00C35574" w:rsidRDefault="00000000" w:rsidP="00A65C49">
      <w:pPr>
        <w:spacing w:before="40" w:after="80" w:line="360" w:lineRule="auto"/>
        <w:jc w:val="both"/>
      </w:pPr>
      <w:r>
        <w:t xml:space="preserve">Inspection revealed data is stored in dB scale (-50 to +5 dB) with pervasive </w:t>
      </w:r>
      <w:proofErr w:type="spellStart"/>
      <w:r>
        <w:t>NaN</w:t>
      </w:r>
      <w:proofErr w:type="spellEnd"/>
      <w:r>
        <w:t xml:space="preserve"> </w:t>
      </w:r>
      <w:proofErr w:type="spellStart"/>
      <w:r>
        <w:t>nodata</w:t>
      </w:r>
      <w:proofErr w:type="spellEnd"/>
      <w:r>
        <w:t xml:space="preserve"> pixels from SAR acquisition geometry. Per-channel </w:t>
      </w:r>
      <w:proofErr w:type="spellStart"/>
      <w:r>
        <w:t>NaN</w:t>
      </w:r>
      <w:proofErr w:type="spellEnd"/>
      <w:r>
        <w:t xml:space="preserve"> imputation replaces invalid pixels with the channel </w:t>
      </w:r>
      <w:proofErr w:type="spellStart"/>
      <w:r>
        <w:t>nanmean</w:t>
      </w:r>
      <w:proofErr w:type="spellEnd"/>
      <w:r>
        <w:t xml:space="preserve">; entirely </w:t>
      </w:r>
      <w:proofErr w:type="spellStart"/>
      <w:r>
        <w:t>NaN</w:t>
      </w:r>
      <w:proofErr w:type="spellEnd"/>
      <w:r>
        <w:t xml:space="preserve"> channels receive -20.0 dB as a safe default. This preserves valid-pixel statistics rather than substituting arbitrary constants.</w:t>
      </w:r>
    </w:p>
    <w:p w14:paraId="4851B13F" w14:textId="77777777" w:rsidR="00C35574" w:rsidRDefault="00000000">
      <w:pPr>
        <w:spacing w:before="160" w:after="40"/>
      </w:pPr>
      <w:r>
        <w:rPr>
          <w:b/>
          <w:bCs/>
          <w:color w:val="1F497D"/>
          <w:sz w:val="22"/>
          <w:szCs w:val="22"/>
        </w:rPr>
        <w:t>3.3.2 Normalisation and Augmentation</w:t>
      </w:r>
    </w:p>
    <w:p w14:paraId="0109A1B2" w14:textId="77777777" w:rsidR="00C35574" w:rsidRDefault="00000000" w:rsidP="00A65C49">
      <w:pPr>
        <w:spacing w:before="40" w:after="80" w:line="360" w:lineRule="auto"/>
        <w:jc w:val="both"/>
      </w:pPr>
      <w:r>
        <w:t>Channels are clamped to [-50, +5] dB then Z-score normalised using training-set statistics (</w:t>
      </w:r>
      <w:proofErr w:type="spellStart"/>
      <w:r>
        <w:t>μ_VV</w:t>
      </w:r>
      <w:proofErr w:type="spellEnd"/>
      <w:r>
        <w:t xml:space="preserve">=-13.2 dB, </w:t>
      </w:r>
      <w:proofErr w:type="spellStart"/>
      <w:r>
        <w:t>σ_VV</w:t>
      </w:r>
      <w:proofErr w:type="spellEnd"/>
      <w:r>
        <w:t xml:space="preserve">=4.8 dB; </w:t>
      </w:r>
      <w:proofErr w:type="spellStart"/>
      <w:r>
        <w:t>μ_VH</w:t>
      </w:r>
      <w:proofErr w:type="spellEnd"/>
      <w:r>
        <w:t xml:space="preserve">=-20.1 dB, </w:t>
      </w:r>
      <w:proofErr w:type="spellStart"/>
      <w:r>
        <w:t>σ_VH</w:t>
      </w:r>
      <w:proofErr w:type="spellEnd"/>
      <w:r>
        <w:t xml:space="preserve">=5.3 dB). Augmentation via </w:t>
      </w:r>
      <w:proofErr w:type="spellStart"/>
      <w:r>
        <w:t>Albumentations</w:t>
      </w:r>
      <w:proofErr w:type="spellEnd"/>
      <w:r>
        <w:t xml:space="preserve"> (</w:t>
      </w:r>
      <w:proofErr w:type="spellStart"/>
      <w:r>
        <w:t>Buslaev</w:t>
      </w:r>
      <w:proofErr w:type="spellEnd"/>
      <w:r>
        <w:t xml:space="preserve"> et al., 2020) applies random flips, 90° rotations, random crops, Gaussian noise, and brightness-contrast adjustment identically to image and mask.</w:t>
      </w:r>
    </w:p>
    <w:p w14:paraId="698CDB0A" w14:textId="77777777" w:rsidR="00C35574" w:rsidRDefault="00000000">
      <w:pPr>
        <w:pStyle w:val="Heading2"/>
      </w:pPr>
      <w:r>
        <w:t>3.4 Model Architecture</w:t>
      </w:r>
    </w:p>
    <w:p w14:paraId="5BBC035F" w14:textId="77777777" w:rsidR="00C35574" w:rsidRDefault="00000000" w:rsidP="00A65C49">
      <w:pPr>
        <w:spacing w:before="40" w:after="80" w:line="360" w:lineRule="auto"/>
        <w:jc w:val="both"/>
      </w:pPr>
      <w:r>
        <w:t xml:space="preserve">The proposed model is a U-Net with ResNet-34 encoder pre-trained on ImageNet, implemented via </w:t>
      </w:r>
      <w:proofErr w:type="spellStart"/>
      <w:r>
        <w:t>segmentation_models_pytorch</w:t>
      </w:r>
      <w:proofErr w:type="spellEnd"/>
      <w:r>
        <w:t xml:space="preserve"> (</w:t>
      </w:r>
      <w:proofErr w:type="spellStart"/>
      <w:r>
        <w:t>Yakubovskiy</w:t>
      </w:r>
      <w:proofErr w:type="spellEnd"/>
      <w:r>
        <w:t xml:space="preserve">, 2019). The encoder produces feature maps at strides 2, 4, 8, 16 with 64, 128, 256, 512 channels. The decoder uses bilinear </w:t>
      </w:r>
      <w:proofErr w:type="spellStart"/>
      <w:r>
        <w:t>upsampling</w:t>
      </w:r>
      <w:proofErr w:type="spellEnd"/>
      <w:r>
        <w:t xml:space="preserve"> with skip connections. The model outputs raw logits — sigmoid is applied externally. Outputting logits is essential for AMP compatibility: standard BCE with sigmoid activations triggers CUDA assertion failures under float16 precision. </w:t>
      </w:r>
      <w:proofErr w:type="spellStart"/>
      <w:r>
        <w:t>BCEWithLogitsLoss</w:t>
      </w:r>
      <w:proofErr w:type="spellEnd"/>
      <w:r>
        <w:t xml:space="preserve"> applies a numerically stable internal sigmoid, completely resolving this. Two baselines provide ablation: Vanilla CNN (no skip connections) and U-Net scratch (random initialisation).</w:t>
      </w:r>
    </w:p>
    <w:p w14:paraId="56DA38AA" w14:textId="77777777" w:rsidR="00C35574" w:rsidRDefault="00000000">
      <w:pPr>
        <w:pStyle w:val="Heading2"/>
      </w:pPr>
      <w:r>
        <w:t>3.5 Training Protocol</w:t>
      </w:r>
    </w:p>
    <w:p w14:paraId="0CBCB3D8" w14:textId="77777777" w:rsidR="00C35574" w:rsidRDefault="00000000" w:rsidP="00A65C49">
      <w:pPr>
        <w:spacing w:before="40" w:after="80" w:line="360" w:lineRule="auto"/>
        <w:jc w:val="both"/>
      </w:pPr>
      <w:r>
        <w:t xml:space="preserve">All models trained on Tesla T4 GPU via Google </w:t>
      </w:r>
      <w:proofErr w:type="spellStart"/>
      <w:r>
        <w:t>Colab</w:t>
      </w:r>
      <w:proofErr w:type="spellEnd"/>
      <w:r>
        <w:t xml:space="preserve"> using </w:t>
      </w:r>
      <w:proofErr w:type="spellStart"/>
      <w:r>
        <w:t>PyTorch</w:t>
      </w:r>
      <w:proofErr w:type="spellEnd"/>
      <w:r>
        <w:t xml:space="preserve"> 2.0. Loss: 0.5×BCEWithLogitsLoss (</w:t>
      </w:r>
      <w:proofErr w:type="spellStart"/>
      <w:r>
        <w:t>pos_weight</w:t>
      </w:r>
      <w:proofErr w:type="spellEnd"/>
      <w:r>
        <w:t xml:space="preserve">=4.5) + 0.5×Dice. </w:t>
      </w:r>
      <w:proofErr w:type="spellStart"/>
      <w:r>
        <w:t>AdamW</w:t>
      </w:r>
      <w:proofErr w:type="spellEnd"/>
      <w:r>
        <w:t xml:space="preserve"> with encoder LR=1×10⁻⁵, decoder LR=1×10⁻⁴, weight decay=1×10⁻². Cosine annealing warm restarts (T₀=20). Early stopping patience=15 epochs. Batch size=8.</w:t>
      </w:r>
    </w:p>
    <w:p w14:paraId="3E4C1007" w14:textId="77777777" w:rsidR="00C35574" w:rsidRDefault="00C35574">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C35574" w14:paraId="60238032" w14:textId="77777777">
        <w:tblPrEx>
          <w:tblCellMar>
            <w:top w:w="0" w:type="dxa"/>
            <w:bottom w:w="0" w:type="dxa"/>
          </w:tblCellMar>
        </w:tblPrEx>
        <w:trPr>
          <w:tblHeader/>
        </w:trPr>
        <w:tc>
          <w:tcPr>
            <w:tcW w:w="4500" w:type="dxa"/>
            <w:tcBorders>
              <w:top w:val="single" w:sz="1" w:space="0" w:color="AAAAAA"/>
              <w:left w:val="single" w:sz="1" w:space="0" w:color="AAAAAA"/>
              <w:bottom w:val="single" w:sz="1" w:space="0" w:color="AAAAAA"/>
              <w:right w:val="single" w:sz="1" w:space="0" w:color="AAAAAA"/>
            </w:tcBorders>
            <w:shd w:val="clear" w:color="auto" w:fill="1F3864"/>
            <w:tcMar>
              <w:top w:w="70" w:type="dxa"/>
              <w:left w:w="100" w:type="dxa"/>
              <w:bottom w:w="70" w:type="dxa"/>
              <w:right w:w="100" w:type="dxa"/>
            </w:tcMar>
          </w:tcPr>
          <w:p w14:paraId="070FBCFB" w14:textId="77777777" w:rsidR="00C35574" w:rsidRDefault="00000000">
            <w:pPr>
              <w:jc w:val="center"/>
            </w:pPr>
            <w:r>
              <w:rPr>
                <w:rFonts w:ascii="Arial" w:eastAsia="Arial" w:hAnsi="Arial" w:cs="Arial"/>
                <w:b/>
                <w:bCs/>
                <w:color w:val="FFFFFF"/>
                <w:sz w:val="18"/>
                <w:szCs w:val="18"/>
              </w:rPr>
              <w:t>Hyperparameter</w:t>
            </w:r>
          </w:p>
        </w:tc>
        <w:tc>
          <w:tcPr>
            <w:tcW w:w="4500" w:type="dxa"/>
            <w:tcBorders>
              <w:top w:val="single" w:sz="1" w:space="0" w:color="AAAAAA"/>
              <w:left w:val="single" w:sz="1" w:space="0" w:color="AAAAAA"/>
              <w:bottom w:val="single" w:sz="1" w:space="0" w:color="AAAAAA"/>
              <w:right w:val="single" w:sz="1" w:space="0" w:color="AAAAAA"/>
            </w:tcBorders>
            <w:shd w:val="clear" w:color="auto" w:fill="1F3864"/>
            <w:tcMar>
              <w:top w:w="70" w:type="dxa"/>
              <w:left w:w="100" w:type="dxa"/>
              <w:bottom w:w="70" w:type="dxa"/>
              <w:right w:w="100" w:type="dxa"/>
            </w:tcMar>
          </w:tcPr>
          <w:p w14:paraId="01D193E6" w14:textId="77777777" w:rsidR="00C35574" w:rsidRDefault="00000000">
            <w:pPr>
              <w:jc w:val="center"/>
            </w:pPr>
            <w:r>
              <w:rPr>
                <w:rFonts w:ascii="Arial" w:eastAsia="Arial" w:hAnsi="Arial" w:cs="Arial"/>
                <w:b/>
                <w:bCs/>
                <w:color w:val="FFFFFF"/>
                <w:sz w:val="18"/>
                <w:szCs w:val="18"/>
              </w:rPr>
              <w:t>Value</w:t>
            </w:r>
          </w:p>
        </w:tc>
      </w:tr>
      <w:tr w:rsidR="00C35574" w14:paraId="300D3DCC" w14:textId="77777777">
        <w:tblPrEx>
          <w:tblCellMar>
            <w:top w:w="0" w:type="dxa"/>
            <w:bottom w:w="0" w:type="dxa"/>
          </w:tblCellMar>
        </w:tblPrEx>
        <w:tc>
          <w:tcPr>
            <w:tcW w:w="4500" w:type="dxa"/>
            <w:tcBorders>
              <w:top w:val="single" w:sz="1" w:space="0" w:color="AAAAAA"/>
              <w:left w:val="single" w:sz="1" w:space="0" w:color="AAAAAA"/>
              <w:bottom w:val="single" w:sz="1" w:space="0" w:color="AAAAAA"/>
              <w:right w:val="single" w:sz="1" w:space="0" w:color="AAAAAA"/>
            </w:tcBorders>
            <w:shd w:val="clear" w:color="auto" w:fill="EBF3FB"/>
            <w:tcMar>
              <w:top w:w="50" w:type="dxa"/>
              <w:left w:w="100" w:type="dxa"/>
              <w:bottom w:w="50" w:type="dxa"/>
              <w:right w:w="100" w:type="dxa"/>
            </w:tcMar>
          </w:tcPr>
          <w:p w14:paraId="4CF9ED5C" w14:textId="77777777" w:rsidR="00C35574" w:rsidRDefault="00000000">
            <w:pPr>
              <w:jc w:val="center"/>
            </w:pPr>
            <w:r>
              <w:rPr>
                <w:sz w:val="18"/>
                <w:szCs w:val="18"/>
              </w:rPr>
              <w:t>Loss</w:t>
            </w:r>
          </w:p>
        </w:tc>
        <w:tc>
          <w:tcPr>
            <w:tcW w:w="4500" w:type="dxa"/>
            <w:tcBorders>
              <w:top w:val="single" w:sz="1" w:space="0" w:color="AAAAAA"/>
              <w:left w:val="single" w:sz="1" w:space="0" w:color="AAAAAA"/>
              <w:bottom w:val="single" w:sz="1" w:space="0" w:color="AAAAAA"/>
              <w:right w:val="single" w:sz="1" w:space="0" w:color="AAAAAA"/>
            </w:tcBorders>
            <w:shd w:val="clear" w:color="auto" w:fill="EBF3FB"/>
            <w:tcMar>
              <w:top w:w="50" w:type="dxa"/>
              <w:left w:w="100" w:type="dxa"/>
              <w:bottom w:w="50" w:type="dxa"/>
              <w:right w:w="100" w:type="dxa"/>
            </w:tcMar>
          </w:tcPr>
          <w:p w14:paraId="2B13C22F" w14:textId="77777777" w:rsidR="00C35574" w:rsidRDefault="00000000">
            <w:pPr>
              <w:jc w:val="center"/>
            </w:pPr>
            <w:r>
              <w:rPr>
                <w:sz w:val="18"/>
                <w:szCs w:val="18"/>
              </w:rPr>
              <w:t>0.5×BCEWithLogitsLoss + 0.5×Dice</w:t>
            </w:r>
          </w:p>
        </w:tc>
      </w:tr>
      <w:tr w:rsidR="00C35574" w14:paraId="39B26C8C" w14:textId="77777777">
        <w:tblPrEx>
          <w:tblCellMar>
            <w:top w:w="0" w:type="dxa"/>
            <w:bottom w:w="0" w:type="dxa"/>
          </w:tblCellMar>
        </w:tblPrEx>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070881D8" w14:textId="77777777" w:rsidR="00C35574" w:rsidRDefault="00000000">
            <w:pPr>
              <w:jc w:val="center"/>
            </w:pPr>
            <w:r>
              <w:rPr>
                <w:sz w:val="18"/>
                <w:szCs w:val="18"/>
              </w:rPr>
              <w:t>Positive class weight</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C6A00ED" w14:textId="77777777" w:rsidR="00C35574" w:rsidRDefault="00000000">
            <w:pPr>
              <w:jc w:val="center"/>
            </w:pPr>
            <w:r>
              <w:rPr>
                <w:sz w:val="18"/>
                <w:szCs w:val="18"/>
              </w:rPr>
              <w:t>4.5</w:t>
            </w:r>
          </w:p>
        </w:tc>
      </w:tr>
      <w:tr w:rsidR="00C35574" w14:paraId="7FFDA8D3" w14:textId="77777777">
        <w:tblPrEx>
          <w:tblCellMar>
            <w:top w:w="0" w:type="dxa"/>
            <w:bottom w:w="0" w:type="dxa"/>
          </w:tblCellMar>
        </w:tblPrEx>
        <w:tc>
          <w:tcPr>
            <w:tcW w:w="4500" w:type="dxa"/>
            <w:tcBorders>
              <w:top w:val="single" w:sz="1" w:space="0" w:color="AAAAAA"/>
              <w:left w:val="single" w:sz="1" w:space="0" w:color="AAAAAA"/>
              <w:bottom w:val="single" w:sz="1" w:space="0" w:color="AAAAAA"/>
              <w:right w:val="single" w:sz="1" w:space="0" w:color="AAAAAA"/>
            </w:tcBorders>
            <w:shd w:val="clear" w:color="auto" w:fill="EBF3FB"/>
            <w:tcMar>
              <w:top w:w="50" w:type="dxa"/>
              <w:left w:w="100" w:type="dxa"/>
              <w:bottom w:w="50" w:type="dxa"/>
              <w:right w:w="100" w:type="dxa"/>
            </w:tcMar>
          </w:tcPr>
          <w:p w14:paraId="0CFB18A5" w14:textId="77777777" w:rsidR="00C35574" w:rsidRDefault="00000000">
            <w:pPr>
              <w:jc w:val="center"/>
            </w:pPr>
            <w:r>
              <w:rPr>
                <w:sz w:val="18"/>
                <w:szCs w:val="18"/>
              </w:rPr>
              <w:t>Optimiser</w:t>
            </w:r>
          </w:p>
        </w:tc>
        <w:tc>
          <w:tcPr>
            <w:tcW w:w="4500" w:type="dxa"/>
            <w:tcBorders>
              <w:top w:val="single" w:sz="1" w:space="0" w:color="AAAAAA"/>
              <w:left w:val="single" w:sz="1" w:space="0" w:color="AAAAAA"/>
              <w:bottom w:val="single" w:sz="1" w:space="0" w:color="AAAAAA"/>
              <w:right w:val="single" w:sz="1" w:space="0" w:color="AAAAAA"/>
            </w:tcBorders>
            <w:shd w:val="clear" w:color="auto" w:fill="EBF3FB"/>
            <w:tcMar>
              <w:top w:w="50" w:type="dxa"/>
              <w:left w:w="100" w:type="dxa"/>
              <w:bottom w:w="50" w:type="dxa"/>
              <w:right w:w="100" w:type="dxa"/>
            </w:tcMar>
          </w:tcPr>
          <w:p w14:paraId="17ED26FE" w14:textId="77777777" w:rsidR="00C35574" w:rsidRDefault="00000000">
            <w:pPr>
              <w:jc w:val="center"/>
            </w:pPr>
            <w:proofErr w:type="spellStart"/>
            <w:r>
              <w:rPr>
                <w:sz w:val="18"/>
                <w:szCs w:val="18"/>
              </w:rPr>
              <w:t>AdamW</w:t>
            </w:r>
            <w:proofErr w:type="spellEnd"/>
          </w:p>
        </w:tc>
      </w:tr>
      <w:tr w:rsidR="00C35574" w14:paraId="090F92CE" w14:textId="77777777">
        <w:tblPrEx>
          <w:tblCellMar>
            <w:top w:w="0" w:type="dxa"/>
            <w:bottom w:w="0" w:type="dxa"/>
          </w:tblCellMar>
        </w:tblPrEx>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1429C97" w14:textId="77777777" w:rsidR="00C35574" w:rsidRDefault="00000000">
            <w:pPr>
              <w:jc w:val="center"/>
            </w:pPr>
            <w:r>
              <w:rPr>
                <w:sz w:val="18"/>
                <w:szCs w:val="18"/>
              </w:rPr>
              <w:t>Encoder / Decoder LR</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37E22F3" w14:textId="77777777" w:rsidR="00C35574" w:rsidRDefault="00000000">
            <w:pPr>
              <w:jc w:val="center"/>
            </w:pPr>
            <w:r>
              <w:rPr>
                <w:sz w:val="18"/>
                <w:szCs w:val="18"/>
              </w:rPr>
              <w:t>1×10⁻⁵ / 1×10⁻⁴</w:t>
            </w:r>
          </w:p>
        </w:tc>
      </w:tr>
      <w:tr w:rsidR="00C35574" w14:paraId="7FB97391" w14:textId="77777777">
        <w:tblPrEx>
          <w:tblCellMar>
            <w:top w:w="0" w:type="dxa"/>
            <w:bottom w:w="0" w:type="dxa"/>
          </w:tblCellMar>
        </w:tblPrEx>
        <w:tc>
          <w:tcPr>
            <w:tcW w:w="4500" w:type="dxa"/>
            <w:tcBorders>
              <w:top w:val="single" w:sz="1" w:space="0" w:color="AAAAAA"/>
              <w:left w:val="single" w:sz="1" w:space="0" w:color="AAAAAA"/>
              <w:bottom w:val="single" w:sz="1" w:space="0" w:color="AAAAAA"/>
              <w:right w:val="single" w:sz="1" w:space="0" w:color="AAAAAA"/>
            </w:tcBorders>
            <w:shd w:val="clear" w:color="auto" w:fill="EBF3FB"/>
            <w:tcMar>
              <w:top w:w="50" w:type="dxa"/>
              <w:left w:w="100" w:type="dxa"/>
              <w:bottom w:w="50" w:type="dxa"/>
              <w:right w:w="100" w:type="dxa"/>
            </w:tcMar>
          </w:tcPr>
          <w:p w14:paraId="357FAA19" w14:textId="77777777" w:rsidR="00C35574" w:rsidRDefault="00000000">
            <w:pPr>
              <w:jc w:val="center"/>
            </w:pPr>
            <w:r>
              <w:rPr>
                <w:sz w:val="18"/>
                <w:szCs w:val="18"/>
              </w:rPr>
              <w:t>Weight decay</w:t>
            </w:r>
          </w:p>
        </w:tc>
        <w:tc>
          <w:tcPr>
            <w:tcW w:w="4500" w:type="dxa"/>
            <w:tcBorders>
              <w:top w:val="single" w:sz="1" w:space="0" w:color="AAAAAA"/>
              <w:left w:val="single" w:sz="1" w:space="0" w:color="AAAAAA"/>
              <w:bottom w:val="single" w:sz="1" w:space="0" w:color="AAAAAA"/>
              <w:right w:val="single" w:sz="1" w:space="0" w:color="AAAAAA"/>
            </w:tcBorders>
            <w:shd w:val="clear" w:color="auto" w:fill="EBF3FB"/>
            <w:tcMar>
              <w:top w:w="50" w:type="dxa"/>
              <w:left w:w="100" w:type="dxa"/>
              <w:bottom w:w="50" w:type="dxa"/>
              <w:right w:w="100" w:type="dxa"/>
            </w:tcMar>
          </w:tcPr>
          <w:p w14:paraId="7DAD62EF" w14:textId="77777777" w:rsidR="00C35574" w:rsidRDefault="00000000">
            <w:pPr>
              <w:jc w:val="center"/>
            </w:pPr>
            <w:r>
              <w:rPr>
                <w:sz w:val="18"/>
                <w:szCs w:val="18"/>
              </w:rPr>
              <w:t>1×10⁻²</w:t>
            </w:r>
          </w:p>
        </w:tc>
      </w:tr>
      <w:tr w:rsidR="00C35574" w14:paraId="2173CB9E" w14:textId="77777777">
        <w:tblPrEx>
          <w:tblCellMar>
            <w:top w:w="0" w:type="dxa"/>
            <w:bottom w:w="0" w:type="dxa"/>
          </w:tblCellMar>
        </w:tblPrEx>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08936E8D" w14:textId="77777777" w:rsidR="00C35574" w:rsidRDefault="00000000">
            <w:pPr>
              <w:jc w:val="center"/>
            </w:pPr>
            <w:r>
              <w:rPr>
                <w:sz w:val="18"/>
                <w:szCs w:val="18"/>
              </w:rPr>
              <w:t>Scheduler</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B04C7DB" w14:textId="77777777" w:rsidR="00C35574" w:rsidRDefault="00000000">
            <w:pPr>
              <w:jc w:val="center"/>
            </w:pPr>
            <w:r>
              <w:rPr>
                <w:sz w:val="18"/>
                <w:szCs w:val="18"/>
              </w:rPr>
              <w:t>Cosine Annealing Warm Restarts (T₀=20)</w:t>
            </w:r>
          </w:p>
        </w:tc>
      </w:tr>
      <w:tr w:rsidR="00C35574" w14:paraId="18CBD7D1" w14:textId="77777777">
        <w:tblPrEx>
          <w:tblCellMar>
            <w:top w:w="0" w:type="dxa"/>
            <w:bottom w:w="0" w:type="dxa"/>
          </w:tblCellMar>
        </w:tblPrEx>
        <w:tc>
          <w:tcPr>
            <w:tcW w:w="4500" w:type="dxa"/>
            <w:tcBorders>
              <w:top w:val="single" w:sz="1" w:space="0" w:color="AAAAAA"/>
              <w:left w:val="single" w:sz="1" w:space="0" w:color="AAAAAA"/>
              <w:bottom w:val="single" w:sz="1" w:space="0" w:color="AAAAAA"/>
              <w:right w:val="single" w:sz="1" w:space="0" w:color="AAAAAA"/>
            </w:tcBorders>
            <w:shd w:val="clear" w:color="auto" w:fill="EBF3FB"/>
            <w:tcMar>
              <w:top w:w="50" w:type="dxa"/>
              <w:left w:w="100" w:type="dxa"/>
              <w:bottom w:w="50" w:type="dxa"/>
              <w:right w:w="100" w:type="dxa"/>
            </w:tcMar>
          </w:tcPr>
          <w:p w14:paraId="72572292" w14:textId="77777777" w:rsidR="00C35574" w:rsidRDefault="00000000">
            <w:pPr>
              <w:jc w:val="center"/>
            </w:pPr>
            <w:r>
              <w:rPr>
                <w:sz w:val="18"/>
                <w:szCs w:val="18"/>
              </w:rPr>
              <w:t>Batch size / Max epochs</w:t>
            </w:r>
          </w:p>
        </w:tc>
        <w:tc>
          <w:tcPr>
            <w:tcW w:w="4500" w:type="dxa"/>
            <w:tcBorders>
              <w:top w:val="single" w:sz="1" w:space="0" w:color="AAAAAA"/>
              <w:left w:val="single" w:sz="1" w:space="0" w:color="AAAAAA"/>
              <w:bottom w:val="single" w:sz="1" w:space="0" w:color="AAAAAA"/>
              <w:right w:val="single" w:sz="1" w:space="0" w:color="AAAAAA"/>
            </w:tcBorders>
            <w:shd w:val="clear" w:color="auto" w:fill="EBF3FB"/>
            <w:tcMar>
              <w:top w:w="50" w:type="dxa"/>
              <w:left w:w="100" w:type="dxa"/>
              <w:bottom w:w="50" w:type="dxa"/>
              <w:right w:w="100" w:type="dxa"/>
            </w:tcMar>
          </w:tcPr>
          <w:p w14:paraId="13D62165" w14:textId="77777777" w:rsidR="00C35574" w:rsidRDefault="00000000">
            <w:pPr>
              <w:jc w:val="center"/>
            </w:pPr>
            <w:r>
              <w:rPr>
                <w:sz w:val="18"/>
                <w:szCs w:val="18"/>
              </w:rPr>
              <w:t>8 / 100</w:t>
            </w:r>
          </w:p>
        </w:tc>
      </w:tr>
      <w:tr w:rsidR="00C35574" w14:paraId="6C0E6002" w14:textId="77777777">
        <w:tblPrEx>
          <w:tblCellMar>
            <w:top w:w="0" w:type="dxa"/>
            <w:bottom w:w="0" w:type="dxa"/>
          </w:tblCellMar>
        </w:tblPrEx>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F232246" w14:textId="77777777" w:rsidR="00C35574" w:rsidRDefault="00000000">
            <w:pPr>
              <w:jc w:val="center"/>
            </w:pPr>
            <w:r>
              <w:rPr>
                <w:sz w:val="18"/>
                <w:szCs w:val="18"/>
              </w:rPr>
              <w:t>Early stopping patience</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1E6BDDB" w14:textId="77777777" w:rsidR="00C35574" w:rsidRDefault="00000000">
            <w:pPr>
              <w:jc w:val="center"/>
            </w:pPr>
            <w:r>
              <w:rPr>
                <w:sz w:val="18"/>
                <w:szCs w:val="18"/>
              </w:rPr>
              <w:t>15 epochs</w:t>
            </w:r>
          </w:p>
        </w:tc>
      </w:tr>
    </w:tbl>
    <w:p w14:paraId="7E862AAD" w14:textId="77777777" w:rsidR="00C35574" w:rsidRDefault="00000000">
      <w:pPr>
        <w:spacing w:before="40" w:after="160"/>
        <w:jc w:val="center"/>
      </w:pPr>
      <w:r>
        <w:rPr>
          <w:i/>
          <w:iCs/>
          <w:color w:val="444444"/>
          <w:sz w:val="19"/>
          <w:szCs w:val="19"/>
        </w:rPr>
        <w:t>Table 3.2: Training hyperparameters applied to all three models.</w:t>
      </w:r>
    </w:p>
    <w:p w14:paraId="7C203C16" w14:textId="77777777" w:rsidR="00C35574" w:rsidRDefault="00000000">
      <w:r>
        <w:br w:type="page"/>
      </w:r>
    </w:p>
    <w:p w14:paraId="7BAE00F7" w14:textId="77777777" w:rsidR="00C35574" w:rsidRDefault="00000000">
      <w:pPr>
        <w:pStyle w:val="Heading1"/>
      </w:pPr>
      <w:r>
        <w:lastRenderedPageBreak/>
        <w:t>4. Results and Analysis</w:t>
      </w:r>
    </w:p>
    <w:p w14:paraId="5D67F000" w14:textId="77777777" w:rsidR="00C35574" w:rsidRDefault="00000000">
      <w:pPr>
        <w:pStyle w:val="Heading2"/>
      </w:pPr>
      <w:r>
        <w:t>4.1 Quantitative Results</w:t>
      </w:r>
    </w:p>
    <w:p w14:paraId="776F1BF8" w14:textId="77777777" w:rsidR="00C35574" w:rsidRDefault="00000000">
      <w:pPr>
        <w:spacing w:before="40" w:after="80" w:line="264" w:lineRule="auto"/>
        <w:jc w:val="both"/>
      </w:pPr>
      <w:r>
        <w:t xml:space="preserve">Table 4.1 presents global test set performance for all three models. Metrics are computed by accumulating pixel-level confusion counts across all 90 test chips, consistent with </w:t>
      </w:r>
      <w:proofErr w:type="spellStart"/>
      <w:r>
        <w:t>Bonafilia</w:t>
      </w:r>
      <w:proofErr w:type="spellEnd"/>
      <w:r>
        <w:t xml:space="preserve"> et al. (2020).</w:t>
      </w:r>
    </w:p>
    <w:p w14:paraId="7C90EF7A" w14:textId="77777777" w:rsidR="00C35574" w:rsidRDefault="00C35574">
      <w:pPr>
        <w:spacing w:after="60"/>
      </w:pP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8"/>
        <w:gridCol w:w="891"/>
        <w:gridCol w:w="891"/>
        <w:gridCol w:w="1096"/>
        <w:gridCol w:w="1083"/>
        <w:gridCol w:w="1011"/>
      </w:tblGrid>
      <w:tr w:rsidR="00C35574" w14:paraId="0023DAA0" w14:textId="77777777">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70" w:type="dxa"/>
              <w:left w:w="100" w:type="dxa"/>
              <w:bottom w:w="70" w:type="dxa"/>
              <w:right w:w="100" w:type="dxa"/>
            </w:tcMar>
          </w:tcPr>
          <w:p w14:paraId="5F401B39" w14:textId="77777777" w:rsidR="00C35574" w:rsidRDefault="00000000">
            <w:pPr>
              <w:jc w:val="center"/>
            </w:pPr>
            <w:r>
              <w:rPr>
                <w:rFonts w:ascii="Arial" w:eastAsia="Arial" w:hAnsi="Arial" w:cs="Arial"/>
                <w:b/>
                <w:bCs/>
                <w:color w:val="FFFFFF"/>
                <w:sz w:val="18"/>
                <w:szCs w:val="18"/>
              </w:rPr>
              <w:t>Model</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70" w:type="dxa"/>
              <w:left w:w="100" w:type="dxa"/>
              <w:bottom w:w="70" w:type="dxa"/>
              <w:right w:w="100" w:type="dxa"/>
            </w:tcMar>
          </w:tcPr>
          <w:p w14:paraId="396135F2" w14:textId="77777777" w:rsidR="00C35574" w:rsidRDefault="00000000">
            <w:pPr>
              <w:jc w:val="center"/>
            </w:pPr>
            <w:proofErr w:type="spellStart"/>
            <w:r>
              <w:rPr>
                <w:rFonts w:ascii="Arial" w:eastAsia="Arial" w:hAnsi="Arial" w:cs="Arial"/>
                <w:b/>
                <w:bCs/>
                <w:color w:val="FFFFFF"/>
                <w:sz w:val="18"/>
                <w:szCs w:val="18"/>
              </w:rPr>
              <w:t>IoU</w:t>
            </w:r>
            <w:proofErr w:type="spellEnd"/>
            <w:r>
              <w:rPr>
                <w:rFonts w:ascii="Arial" w:eastAsia="Arial" w:hAnsi="Arial" w:cs="Arial"/>
                <w:b/>
                <w:bCs/>
                <w:color w:val="FFFFFF"/>
                <w:sz w:val="18"/>
                <w:szCs w:val="18"/>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70" w:type="dxa"/>
              <w:left w:w="100" w:type="dxa"/>
              <w:bottom w:w="70" w:type="dxa"/>
              <w:right w:w="100" w:type="dxa"/>
            </w:tcMar>
          </w:tcPr>
          <w:p w14:paraId="615F4F64" w14:textId="77777777" w:rsidR="00C35574" w:rsidRDefault="00000000">
            <w:pPr>
              <w:jc w:val="center"/>
            </w:pPr>
            <w:r>
              <w:rPr>
                <w:rFonts w:ascii="Arial" w:eastAsia="Arial" w:hAnsi="Arial" w:cs="Arial"/>
                <w:b/>
                <w:bCs/>
                <w:color w:val="FFFFFF"/>
                <w:sz w:val="18"/>
                <w:szCs w:val="18"/>
              </w:rPr>
              <w:t>F1 ↑</w:t>
            </w:r>
          </w:p>
        </w:tc>
        <w:tc>
          <w:tcPr>
            <w:tcW w:w="1100" w:type="dxa"/>
            <w:tcBorders>
              <w:top w:val="single" w:sz="1" w:space="0" w:color="AAAAAA"/>
              <w:left w:val="single" w:sz="1" w:space="0" w:color="AAAAAA"/>
              <w:bottom w:val="single" w:sz="1" w:space="0" w:color="AAAAAA"/>
              <w:right w:val="single" w:sz="1" w:space="0" w:color="AAAAAA"/>
            </w:tcBorders>
            <w:shd w:val="clear" w:color="auto" w:fill="1F3864"/>
            <w:tcMar>
              <w:top w:w="70" w:type="dxa"/>
              <w:left w:w="100" w:type="dxa"/>
              <w:bottom w:w="70" w:type="dxa"/>
              <w:right w:w="100" w:type="dxa"/>
            </w:tcMar>
          </w:tcPr>
          <w:p w14:paraId="20759E4D" w14:textId="77777777" w:rsidR="00C35574" w:rsidRDefault="00000000">
            <w:pPr>
              <w:jc w:val="center"/>
            </w:pPr>
            <w:r>
              <w:rPr>
                <w:rFonts w:ascii="Arial" w:eastAsia="Arial" w:hAnsi="Arial" w:cs="Arial"/>
                <w:b/>
                <w:bCs/>
                <w:color w:val="FFFFFF"/>
                <w:sz w:val="18"/>
                <w:szCs w:val="18"/>
              </w:rPr>
              <w:t>Precision ↑</w:t>
            </w:r>
          </w:p>
        </w:tc>
        <w:tc>
          <w:tcPr>
            <w:tcW w:w="1100" w:type="dxa"/>
            <w:tcBorders>
              <w:top w:val="single" w:sz="1" w:space="0" w:color="AAAAAA"/>
              <w:left w:val="single" w:sz="1" w:space="0" w:color="AAAAAA"/>
              <w:bottom w:val="single" w:sz="1" w:space="0" w:color="AAAAAA"/>
              <w:right w:val="single" w:sz="1" w:space="0" w:color="AAAAAA"/>
            </w:tcBorders>
            <w:shd w:val="clear" w:color="auto" w:fill="1F3864"/>
            <w:tcMar>
              <w:top w:w="70" w:type="dxa"/>
              <w:left w:w="100" w:type="dxa"/>
              <w:bottom w:w="70" w:type="dxa"/>
              <w:right w:w="100" w:type="dxa"/>
            </w:tcMar>
          </w:tcPr>
          <w:p w14:paraId="5B46A3D2" w14:textId="77777777" w:rsidR="00C35574" w:rsidRDefault="00000000">
            <w:pPr>
              <w:jc w:val="center"/>
            </w:pPr>
            <w:r>
              <w:rPr>
                <w:rFonts w:ascii="Arial" w:eastAsia="Arial" w:hAnsi="Arial" w:cs="Arial"/>
                <w:b/>
                <w:bCs/>
                <w:color w:val="FFFFFF"/>
                <w:sz w:val="18"/>
                <w:szCs w:val="18"/>
              </w:rPr>
              <w:t>Recall ↑</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70" w:type="dxa"/>
              <w:left w:w="100" w:type="dxa"/>
              <w:bottom w:w="70" w:type="dxa"/>
              <w:right w:w="100" w:type="dxa"/>
            </w:tcMar>
          </w:tcPr>
          <w:p w14:paraId="4007A3CE" w14:textId="77777777" w:rsidR="00C35574" w:rsidRDefault="00000000">
            <w:pPr>
              <w:jc w:val="center"/>
            </w:pPr>
            <w:r>
              <w:rPr>
                <w:rFonts w:ascii="Arial" w:eastAsia="Arial" w:hAnsi="Arial" w:cs="Arial"/>
                <w:b/>
                <w:bCs/>
                <w:color w:val="FFFFFF"/>
                <w:sz w:val="18"/>
                <w:szCs w:val="18"/>
              </w:rPr>
              <w:t>Accuracy ↑</w:t>
            </w:r>
          </w:p>
        </w:tc>
      </w:tr>
      <w:tr w:rsidR="00C35574" w14:paraId="13C8D100"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50" w:type="dxa"/>
              <w:left w:w="100" w:type="dxa"/>
              <w:bottom w:w="50" w:type="dxa"/>
              <w:right w:w="100" w:type="dxa"/>
            </w:tcMar>
          </w:tcPr>
          <w:p w14:paraId="7A86D5DB" w14:textId="77777777" w:rsidR="00C35574" w:rsidRDefault="00000000">
            <w:pPr>
              <w:jc w:val="center"/>
            </w:pPr>
            <w:r>
              <w:rPr>
                <w:sz w:val="18"/>
                <w:szCs w:val="18"/>
              </w:rPr>
              <w:t>Vanilla CNN (Baseline)</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50" w:type="dxa"/>
              <w:left w:w="100" w:type="dxa"/>
              <w:bottom w:w="50" w:type="dxa"/>
              <w:right w:w="100" w:type="dxa"/>
            </w:tcMar>
          </w:tcPr>
          <w:p w14:paraId="21C7396F" w14:textId="77777777" w:rsidR="00C35574" w:rsidRDefault="00000000">
            <w:pPr>
              <w:jc w:val="center"/>
            </w:pPr>
            <w:r>
              <w:rPr>
                <w:sz w:val="18"/>
                <w:szCs w:val="18"/>
              </w:rPr>
              <w:t>0.5258</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50" w:type="dxa"/>
              <w:left w:w="100" w:type="dxa"/>
              <w:bottom w:w="50" w:type="dxa"/>
              <w:right w:w="100" w:type="dxa"/>
            </w:tcMar>
          </w:tcPr>
          <w:p w14:paraId="72F31763" w14:textId="77777777" w:rsidR="00C35574" w:rsidRDefault="00000000">
            <w:pPr>
              <w:jc w:val="center"/>
            </w:pPr>
            <w:r>
              <w:rPr>
                <w:sz w:val="18"/>
                <w:szCs w:val="18"/>
              </w:rPr>
              <w:t>0.6892</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50" w:type="dxa"/>
              <w:left w:w="100" w:type="dxa"/>
              <w:bottom w:w="50" w:type="dxa"/>
              <w:right w:w="100" w:type="dxa"/>
            </w:tcMar>
          </w:tcPr>
          <w:p w14:paraId="72D5166A" w14:textId="77777777" w:rsidR="00C35574" w:rsidRDefault="00000000">
            <w:pPr>
              <w:jc w:val="center"/>
            </w:pPr>
            <w:r>
              <w:rPr>
                <w:sz w:val="18"/>
                <w:szCs w:val="18"/>
              </w:rPr>
              <w:t>0.7053</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50" w:type="dxa"/>
              <w:left w:w="100" w:type="dxa"/>
              <w:bottom w:w="50" w:type="dxa"/>
              <w:right w:w="100" w:type="dxa"/>
            </w:tcMar>
          </w:tcPr>
          <w:p w14:paraId="73C9DE76" w14:textId="77777777" w:rsidR="00C35574" w:rsidRDefault="00000000">
            <w:pPr>
              <w:jc w:val="center"/>
            </w:pPr>
            <w:r>
              <w:rPr>
                <w:sz w:val="18"/>
                <w:szCs w:val="18"/>
              </w:rPr>
              <w:t>0.6739</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50" w:type="dxa"/>
              <w:left w:w="100" w:type="dxa"/>
              <w:bottom w:w="50" w:type="dxa"/>
              <w:right w:w="100" w:type="dxa"/>
            </w:tcMar>
          </w:tcPr>
          <w:p w14:paraId="22683BBF" w14:textId="77777777" w:rsidR="00C35574" w:rsidRDefault="00000000">
            <w:pPr>
              <w:jc w:val="center"/>
            </w:pPr>
            <w:r>
              <w:rPr>
                <w:sz w:val="18"/>
                <w:szCs w:val="18"/>
              </w:rPr>
              <w:t>93.39%</w:t>
            </w:r>
          </w:p>
        </w:tc>
      </w:tr>
      <w:tr w:rsidR="00C35574" w14:paraId="7B19BA00"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A06B2D6" w14:textId="77777777" w:rsidR="00C35574" w:rsidRDefault="00000000">
            <w:pPr>
              <w:jc w:val="center"/>
            </w:pPr>
            <w:r>
              <w:rPr>
                <w:sz w:val="18"/>
                <w:szCs w:val="18"/>
              </w:rPr>
              <w:t>U-Net (scratch)</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0E077A50" w14:textId="77777777" w:rsidR="00C35574" w:rsidRDefault="00000000">
            <w:pPr>
              <w:jc w:val="center"/>
            </w:pPr>
            <w:r>
              <w:rPr>
                <w:sz w:val="18"/>
                <w:szCs w:val="18"/>
              </w:rPr>
              <w:t>0.5566</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FEBF5E0" w14:textId="77777777" w:rsidR="00C35574" w:rsidRDefault="00000000">
            <w:pPr>
              <w:jc w:val="center"/>
            </w:pPr>
            <w:r>
              <w:rPr>
                <w:sz w:val="18"/>
                <w:szCs w:val="18"/>
              </w:rPr>
              <w:t>0.7152</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A446FAA" w14:textId="77777777" w:rsidR="00C35574" w:rsidRDefault="00000000">
            <w:pPr>
              <w:jc w:val="center"/>
            </w:pPr>
            <w:r>
              <w:rPr>
                <w:sz w:val="18"/>
                <w:szCs w:val="18"/>
              </w:rPr>
              <w:t>0.6912</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E7C85B5" w14:textId="77777777" w:rsidR="00C35574" w:rsidRDefault="00000000">
            <w:pPr>
              <w:jc w:val="center"/>
            </w:pPr>
            <w:r>
              <w:rPr>
                <w:sz w:val="18"/>
                <w:szCs w:val="18"/>
              </w:rPr>
              <w:t>0.7410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A222608" w14:textId="77777777" w:rsidR="00C35574" w:rsidRDefault="00000000">
            <w:pPr>
              <w:jc w:val="center"/>
            </w:pPr>
            <w:r>
              <w:rPr>
                <w:sz w:val="18"/>
                <w:szCs w:val="18"/>
              </w:rPr>
              <w:t>93.58%</w:t>
            </w:r>
          </w:p>
        </w:tc>
      </w:tr>
      <w:tr w:rsidR="00C35574" w14:paraId="0AB42396"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50" w:type="dxa"/>
              <w:left w:w="100" w:type="dxa"/>
              <w:bottom w:w="50" w:type="dxa"/>
              <w:right w:w="100" w:type="dxa"/>
            </w:tcMar>
          </w:tcPr>
          <w:p w14:paraId="25017B93" w14:textId="77777777" w:rsidR="00C35574" w:rsidRDefault="00000000">
            <w:pPr>
              <w:jc w:val="center"/>
            </w:pPr>
            <w:r>
              <w:rPr>
                <w:sz w:val="18"/>
                <w:szCs w:val="18"/>
              </w:rPr>
              <w:t>ResNet-34 U-Net (ours)</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50" w:type="dxa"/>
              <w:left w:w="100" w:type="dxa"/>
              <w:bottom w:w="50" w:type="dxa"/>
              <w:right w:w="100" w:type="dxa"/>
            </w:tcMar>
          </w:tcPr>
          <w:p w14:paraId="44EE8DB2" w14:textId="77777777" w:rsidR="00C35574" w:rsidRDefault="00000000">
            <w:pPr>
              <w:jc w:val="center"/>
            </w:pPr>
            <w:r>
              <w:rPr>
                <w:sz w:val="18"/>
                <w:szCs w:val="18"/>
              </w:rPr>
              <w:t>0.5626</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50" w:type="dxa"/>
              <w:left w:w="100" w:type="dxa"/>
              <w:bottom w:w="50" w:type="dxa"/>
              <w:right w:w="100" w:type="dxa"/>
            </w:tcMar>
          </w:tcPr>
          <w:p w14:paraId="0EBEB098" w14:textId="77777777" w:rsidR="00C35574" w:rsidRDefault="00000000">
            <w:pPr>
              <w:jc w:val="center"/>
            </w:pPr>
            <w:r>
              <w:rPr>
                <w:sz w:val="18"/>
                <w:szCs w:val="18"/>
              </w:rPr>
              <w:t>0.7201</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50" w:type="dxa"/>
              <w:left w:w="100" w:type="dxa"/>
              <w:bottom w:w="50" w:type="dxa"/>
              <w:right w:w="100" w:type="dxa"/>
            </w:tcMar>
          </w:tcPr>
          <w:p w14:paraId="44898345" w14:textId="77777777" w:rsidR="00C35574" w:rsidRDefault="00000000">
            <w:pPr>
              <w:jc w:val="center"/>
            </w:pPr>
            <w:r>
              <w:rPr>
                <w:sz w:val="18"/>
                <w:szCs w:val="18"/>
              </w:rPr>
              <w:t>0.6659</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50" w:type="dxa"/>
              <w:left w:w="100" w:type="dxa"/>
              <w:bottom w:w="50" w:type="dxa"/>
              <w:right w:w="100" w:type="dxa"/>
            </w:tcMar>
          </w:tcPr>
          <w:p w14:paraId="6A7DD5EA" w14:textId="77777777" w:rsidR="00C35574" w:rsidRDefault="00000000">
            <w:pPr>
              <w:jc w:val="center"/>
            </w:pPr>
            <w:r>
              <w:rPr>
                <w:sz w:val="18"/>
                <w:szCs w:val="18"/>
              </w:rPr>
              <w:t>0.7840</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50" w:type="dxa"/>
              <w:left w:w="100" w:type="dxa"/>
              <w:bottom w:w="50" w:type="dxa"/>
              <w:right w:w="100" w:type="dxa"/>
            </w:tcMar>
          </w:tcPr>
          <w:p w14:paraId="788468C4" w14:textId="77777777" w:rsidR="00C35574" w:rsidRDefault="00000000">
            <w:pPr>
              <w:jc w:val="center"/>
            </w:pPr>
            <w:r>
              <w:rPr>
                <w:sz w:val="18"/>
                <w:szCs w:val="18"/>
              </w:rPr>
              <w:t>93.37%</w:t>
            </w:r>
          </w:p>
        </w:tc>
      </w:tr>
      <w:tr w:rsidR="00C35574" w14:paraId="3AC10DDC"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BC5F90D" w14:textId="77777777" w:rsidR="00C35574" w:rsidRDefault="00000000">
            <w:pPr>
              <w:jc w:val="center"/>
            </w:pPr>
            <w:proofErr w:type="spellStart"/>
            <w:r>
              <w:rPr>
                <w:sz w:val="18"/>
                <w:szCs w:val="18"/>
              </w:rPr>
              <w:t>Bonafilia</w:t>
            </w:r>
            <w:proofErr w:type="spellEnd"/>
            <w:r>
              <w:rPr>
                <w:sz w:val="18"/>
                <w:szCs w:val="18"/>
              </w:rPr>
              <w:t xml:space="preserve"> et al. (2020)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4F02D1B" w14:textId="77777777" w:rsidR="00C35574" w:rsidRDefault="00000000">
            <w:pPr>
              <w:jc w:val="center"/>
            </w:pPr>
            <w:r>
              <w:rPr>
                <w:sz w:val="18"/>
                <w:szCs w:val="18"/>
              </w:rPr>
              <w:t>0.823</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CFF4649" w14:textId="77777777" w:rsidR="00C35574" w:rsidRDefault="00000000">
            <w:pPr>
              <w:jc w:val="center"/>
            </w:pPr>
            <w:r>
              <w:rPr>
                <w:sz w:val="18"/>
                <w:szCs w:val="18"/>
              </w:rPr>
              <w:t>0.903</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8386AC8" w14:textId="77777777" w:rsidR="00C35574" w:rsidRDefault="00000000">
            <w:pPr>
              <w:jc w:val="center"/>
            </w:pPr>
            <w:r>
              <w:rPr>
                <w:sz w:val="18"/>
                <w:szCs w:val="18"/>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7657C0E" w14:textId="77777777" w:rsidR="00C35574" w:rsidRDefault="00000000">
            <w:pPr>
              <w:jc w:val="center"/>
            </w:pPr>
            <w:r>
              <w:rPr>
                <w:sz w:val="18"/>
                <w:szCs w:val="18"/>
              </w:rPr>
              <w: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B551986" w14:textId="77777777" w:rsidR="00C35574" w:rsidRDefault="00000000">
            <w:pPr>
              <w:jc w:val="center"/>
            </w:pPr>
            <w:r>
              <w:rPr>
                <w:sz w:val="18"/>
                <w:szCs w:val="18"/>
              </w:rPr>
              <w:t>—</w:t>
            </w:r>
          </w:p>
        </w:tc>
      </w:tr>
    </w:tbl>
    <w:p w14:paraId="1B3D8538" w14:textId="77777777" w:rsidR="00C35574" w:rsidRDefault="00000000">
      <w:pPr>
        <w:spacing w:before="40" w:after="160"/>
        <w:jc w:val="center"/>
      </w:pPr>
      <w:r>
        <w:rPr>
          <w:i/>
          <w:iCs/>
          <w:color w:val="444444"/>
          <w:sz w:val="19"/>
          <w:szCs w:val="19"/>
        </w:rPr>
        <w:t xml:space="preserve">Table 4.1: Test set performance. All three models trained under identical conditions. </w:t>
      </w:r>
      <w:proofErr w:type="spellStart"/>
      <w:r>
        <w:rPr>
          <w:i/>
          <w:iCs/>
          <w:color w:val="444444"/>
          <w:sz w:val="19"/>
          <w:szCs w:val="19"/>
        </w:rPr>
        <w:t>Bonafilia</w:t>
      </w:r>
      <w:proofErr w:type="spellEnd"/>
      <w:r>
        <w:rPr>
          <w:i/>
          <w:iCs/>
          <w:color w:val="444444"/>
          <w:sz w:val="19"/>
          <w:szCs w:val="19"/>
        </w:rPr>
        <w:t xml:space="preserve"> et al. results from published paper for reference.</w:t>
      </w:r>
    </w:p>
    <w:p w14:paraId="222C7615" w14:textId="77777777" w:rsidR="00C35574" w:rsidRDefault="00000000" w:rsidP="00A65C49">
      <w:pPr>
        <w:spacing w:before="40" w:after="80" w:line="360" w:lineRule="auto"/>
        <w:jc w:val="both"/>
      </w:pPr>
      <w:r>
        <w:t xml:space="preserve">The proposed ResNet-34 U-Net achieves the highest </w:t>
      </w:r>
      <w:proofErr w:type="spellStart"/>
      <w:r>
        <w:t>IoU</w:t>
      </w:r>
      <w:proofErr w:type="spellEnd"/>
      <w:r>
        <w:t xml:space="preserve"> (0.5626), outperforming the Vanilla CNN (+0.0368 </w:t>
      </w:r>
      <w:proofErr w:type="spellStart"/>
      <w:r>
        <w:t>IoU</w:t>
      </w:r>
      <w:proofErr w:type="spellEnd"/>
      <w:r>
        <w:t xml:space="preserve">, +7.0% relative) and U-Net without pre-training (+0.0060, +1.1%). The ablation isolates two contributions: skip connections (Vanilla → U-Net scratch) contribute +0.0308 </w:t>
      </w:r>
      <w:proofErr w:type="spellStart"/>
      <w:r>
        <w:t>IoU</w:t>
      </w:r>
      <w:proofErr w:type="spellEnd"/>
      <w:r>
        <w:t xml:space="preserve"> (+5.9%); ImageNet pre-training adds +0.0060 (+1.1%). All models achieve ~93.4% accuracy, reflecting class imbalance — </w:t>
      </w:r>
      <w:proofErr w:type="spellStart"/>
      <w:r>
        <w:t>IoU</w:t>
      </w:r>
      <w:proofErr w:type="spellEnd"/>
      <w:r>
        <w:t xml:space="preserve"> and F1 are more meaningful metrics as they focus on the minority flooded class. The ResNet-34 U-Net shows the highest recall (0.7840) at the cost of lowest precision (0.6659), the intended effect of positive-class weighting — operationally correct for emergency response where missed detections are more costly than false alarms.</w:t>
      </w:r>
    </w:p>
    <w:p w14:paraId="1EBADB13" w14:textId="77777777" w:rsidR="00C35574" w:rsidRDefault="00000000">
      <w:pPr>
        <w:pStyle w:val="Heading2"/>
      </w:pPr>
      <w:r>
        <w:t>4.2 Confusion Matrix</w:t>
      </w:r>
    </w:p>
    <w:p w14:paraId="01731A68" w14:textId="77777777" w:rsidR="00C35574" w:rsidRDefault="00000000">
      <w:pPr>
        <w:spacing w:before="40" w:after="80" w:line="264" w:lineRule="auto"/>
        <w:jc w:val="both"/>
      </w:pPr>
      <w:r>
        <w:t>Figure 4.1 shows the pixel-level confusion matrix. TP=2,011,733 (8.5%); FP=1,009,493 (4.3%); FN=554,368 (2.3%); TN=20,017,366 (84.8%). The FP:FN ratio of 1.82:1 confirms the recall-biased behaviour induced by positive-class weighting.</w:t>
      </w:r>
    </w:p>
    <w:p w14:paraId="37C8CB98" w14:textId="77777777" w:rsidR="00C35574" w:rsidRDefault="00C35574">
      <w:pPr>
        <w:spacing w:after="60"/>
      </w:pPr>
    </w:p>
    <w:p w14:paraId="2D374875" w14:textId="77777777" w:rsidR="00C35574" w:rsidRDefault="00000000">
      <w:pPr>
        <w:spacing w:before="80" w:after="40"/>
        <w:jc w:val="center"/>
      </w:pPr>
      <w:r>
        <w:rPr>
          <w:noProof/>
        </w:rPr>
        <w:drawing>
          <wp:inline distT="0" distB="0" distL="0" distR="0" wp14:anchorId="12168CCB" wp14:editId="06240544">
            <wp:extent cx="3048000" cy="2447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48000" cy="2447925"/>
                    </a:xfrm>
                    <a:prstGeom prst="rect">
                      <a:avLst/>
                    </a:prstGeom>
                  </pic:spPr>
                </pic:pic>
              </a:graphicData>
            </a:graphic>
          </wp:inline>
        </w:drawing>
      </w:r>
    </w:p>
    <w:p w14:paraId="3CE38553" w14:textId="77777777" w:rsidR="00C35574" w:rsidRDefault="00000000">
      <w:pPr>
        <w:spacing w:before="40" w:after="160"/>
        <w:jc w:val="center"/>
      </w:pPr>
      <w:r>
        <w:rPr>
          <w:i/>
          <w:iCs/>
          <w:color w:val="444444"/>
          <w:sz w:val="19"/>
          <w:szCs w:val="19"/>
        </w:rPr>
        <w:t>Figure 4.1: Pixel-level confusion matrix for the ResNet-34 U-Net on the 90-chip test set.</w:t>
      </w:r>
    </w:p>
    <w:p w14:paraId="7F7E8C4D" w14:textId="77777777" w:rsidR="00C35574" w:rsidRDefault="00000000">
      <w:pPr>
        <w:pStyle w:val="Heading2"/>
      </w:pPr>
      <w:r>
        <w:t>4.3 Training Dynamics</w:t>
      </w:r>
    </w:p>
    <w:p w14:paraId="34D96D4B" w14:textId="77777777" w:rsidR="00C35574" w:rsidRDefault="00000000">
      <w:pPr>
        <w:spacing w:before="40" w:after="80" w:line="264" w:lineRule="auto"/>
        <w:jc w:val="both"/>
      </w:pPr>
      <w:r>
        <w:t xml:space="preserve">Figure 4.2 shows training history across 54 epochs. Loss decreased steadily from 0.86 to ~0.40. </w:t>
      </w:r>
      <w:proofErr w:type="spellStart"/>
      <w:r>
        <w:t>IoU</w:t>
      </w:r>
      <w:proofErr w:type="spellEnd"/>
      <w:r>
        <w:t xml:space="preserve"> shows two phases: rapid improvement from 0.22 to 0.52 in epochs 1–11 as the model learns basic water-backscatter signatures, then incremental refinement between 0.49–0.55. Validation </w:t>
      </w:r>
      <w:proofErr w:type="spellStart"/>
      <w:r>
        <w:t>IoU</w:t>
      </w:r>
      <w:proofErr w:type="spellEnd"/>
      <w:r>
        <w:t xml:space="preserve"> consistently leads training </w:t>
      </w:r>
      <w:proofErr w:type="spellStart"/>
      <w:r>
        <w:t>IoU</w:t>
      </w:r>
      <w:proofErr w:type="spellEnd"/>
      <w:r>
        <w:t>, reflecting augmentation benefit. Best model saved at epoch 39 (</w:t>
      </w:r>
      <w:proofErr w:type="spellStart"/>
      <w:r>
        <w:t>val</w:t>
      </w:r>
      <w:proofErr w:type="spellEnd"/>
      <w:r>
        <w:t xml:space="preserve"> </w:t>
      </w:r>
      <w:proofErr w:type="spellStart"/>
      <w:r>
        <w:t>IoU</w:t>
      </w:r>
      <w:proofErr w:type="spellEnd"/>
      <w:r>
        <w:t xml:space="preserve">=0.5501). No loss spikes occurred, confirming </w:t>
      </w:r>
      <w:proofErr w:type="spellStart"/>
      <w:r>
        <w:t>BCEWithLogitsLoss</w:t>
      </w:r>
      <w:proofErr w:type="spellEnd"/>
      <w:r>
        <w:t xml:space="preserve"> provides stable AMP training.</w:t>
      </w:r>
    </w:p>
    <w:p w14:paraId="1442B1BD" w14:textId="77777777" w:rsidR="00C35574" w:rsidRDefault="00C35574">
      <w:pPr>
        <w:spacing w:after="60"/>
      </w:pPr>
    </w:p>
    <w:p w14:paraId="5DA94AD1" w14:textId="77777777" w:rsidR="00C35574" w:rsidRDefault="00000000">
      <w:pPr>
        <w:spacing w:before="80" w:after="40"/>
        <w:jc w:val="center"/>
      </w:pPr>
      <w:r>
        <w:rPr>
          <w:noProof/>
        </w:rPr>
        <w:drawing>
          <wp:inline distT="0" distB="0" distL="0" distR="0" wp14:anchorId="2EEABA0D" wp14:editId="7DF04EF9">
            <wp:extent cx="5619750" cy="1552575"/>
            <wp:effectExtent l="0" t="0" r="0" b="0"/>
            <wp:docPr id="993651516" name="Picture 993651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1552575"/>
                    </a:xfrm>
                    <a:prstGeom prst="rect">
                      <a:avLst/>
                    </a:prstGeom>
                  </pic:spPr>
                </pic:pic>
              </a:graphicData>
            </a:graphic>
          </wp:inline>
        </w:drawing>
      </w:r>
    </w:p>
    <w:p w14:paraId="42A825BE" w14:textId="77777777" w:rsidR="00C35574" w:rsidRDefault="00000000">
      <w:pPr>
        <w:spacing w:before="40" w:after="160"/>
        <w:jc w:val="center"/>
      </w:pPr>
      <w:r>
        <w:rPr>
          <w:i/>
          <w:iCs/>
          <w:color w:val="444444"/>
          <w:sz w:val="19"/>
          <w:szCs w:val="19"/>
        </w:rPr>
        <w:t>Figure 4.2: Training history — loss (</w:t>
      </w:r>
      <w:proofErr w:type="spellStart"/>
      <w:r>
        <w:rPr>
          <w:i/>
          <w:iCs/>
          <w:color w:val="444444"/>
          <w:sz w:val="19"/>
          <w:szCs w:val="19"/>
        </w:rPr>
        <w:t>BCE+Dice</w:t>
      </w:r>
      <w:proofErr w:type="spellEnd"/>
      <w:r>
        <w:rPr>
          <w:i/>
          <w:iCs/>
          <w:color w:val="444444"/>
          <w:sz w:val="19"/>
          <w:szCs w:val="19"/>
        </w:rPr>
        <w:t xml:space="preserve">), </w:t>
      </w:r>
      <w:proofErr w:type="spellStart"/>
      <w:r>
        <w:rPr>
          <w:i/>
          <w:iCs/>
          <w:color w:val="444444"/>
          <w:sz w:val="19"/>
          <w:szCs w:val="19"/>
        </w:rPr>
        <w:t>IoU</w:t>
      </w:r>
      <w:proofErr w:type="spellEnd"/>
      <w:r>
        <w:rPr>
          <w:i/>
          <w:iCs/>
          <w:color w:val="444444"/>
          <w:sz w:val="19"/>
          <w:szCs w:val="19"/>
        </w:rPr>
        <w:t>, and Dice coefficient across 54 epochs. Red = validation, Blue = training.</w:t>
      </w:r>
    </w:p>
    <w:p w14:paraId="47BCC07E" w14:textId="77777777" w:rsidR="00C35574" w:rsidRDefault="00000000">
      <w:pPr>
        <w:pStyle w:val="Heading2"/>
      </w:pPr>
      <w:r>
        <w:t>4.4 Qualitative Analysis</w:t>
      </w:r>
    </w:p>
    <w:p w14:paraId="2F316CC7" w14:textId="77777777" w:rsidR="00C35574" w:rsidRDefault="00000000">
      <w:pPr>
        <w:spacing w:before="40" w:after="80" w:line="264" w:lineRule="auto"/>
        <w:jc w:val="both"/>
      </w:pPr>
      <w:r>
        <w:t>Figure 4.3 shows a representative test sample. The left panel shows the normalised Sentinel-1 VV SAR channel — speckle noise is visible but large flooded regions appear as darker patches due to lower water backscatter. The centre panel shows the expert ground truth with several distinct flooded water bodies. The right panel shows the model prediction: the large central flooded region is correctly detected, but several smaller peripheral water bodies are missed. This pattern of correctly detecting large, spectrally distinct flooded areas while under-detecting smaller or more ambiguous regions is consistent across the test set and reflects the inherent limitation of single-date SAR analysis — smaller water bodies may not produce sufficiently distinct backscatter contrast from surrounding dry land.</w:t>
      </w:r>
    </w:p>
    <w:p w14:paraId="1626E151" w14:textId="77777777" w:rsidR="00C35574" w:rsidRDefault="00C35574">
      <w:pPr>
        <w:spacing w:after="60"/>
      </w:pPr>
    </w:p>
    <w:p w14:paraId="6C9E9DCA" w14:textId="77777777" w:rsidR="00C35574" w:rsidRDefault="00000000">
      <w:pPr>
        <w:spacing w:before="80" w:after="40"/>
        <w:jc w:val="center"/>
      </w:pPr>
      <w:r>
        <w:rPr>
          <w:noProof/>
        </w:rPr>
        <w:drawing>
          <wp:inline distT="0" distB="0" distL="0" distR="0" wp14:anchorId="0712A6E3" wp14:editId="719912AD">
            <wp:extent cx="5619750" cy="1952625"/>
            <wp:effectExtent l="0" t="0" r="0" b="0"/>
            <wp:docPr id="1197210408" name="Picture 1197210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19750" cy="1952625"/>
                    </a:xfrm>
                    <a:prstGeom prst="rect">
                      <a:avLst/>
                    </a:prstGeom>
                  </pic:spPr>
                </pic:pic>
              </a:graphicData>
            </a:graphic>
          </wp:inline>
        </w:drawing>
      </w:r>
    </w:p>
    <w:p w14:paraId="1C184585" w14:textId="77777777" w:rsidR="00C35574" w:rsidRDefault="00000000">
      <w:pPr>
        <w:spacing w:before="40" w:after="160"/>
        <w:jc w:val="center"/>
      </w:pPr>
      <w:r>
        <w:rPr>
          <w:i/>
          <w:iCs/>
          <w:color w:val="444444"/>
          <w:sz w:val="19"/>
          <w:szCs w:val="19"/>
        </w:rPr>
        <w:t>Figure 4.3: Test Sample 0000. Left: Sentinel-1 VV channel (normalised). Centre: Ground truth (blue = flooded). Right: Model prediction at threshold 0.5 (blue = flooded). The model correctly detects the dominant flood body but under-detects smaller peripheral inundated areas.</w:t>
      </w:r>
    </w:p>
    <w:p w14:paraId="6A2FD1CF" w14:textId="77777777" w:rsidR="00C35574" w:rsidRDefault="00000000">
      <w:r>
        <w:br w:type="page"/>
      </w:r>
    </w:p>
    <w:p w14:paraId="4790F1E0" w14:textId="77777777" w:rsidR="00C35574" w:rsidRDefault="00000000">
      <w:pPr>
        <w:pStyle w:val="Heading1"/>
      </w:pPr>
      <w:r>
        <w:lastRenderedPageBreak/>
        <w:t>5. Discussion</w:t>
      </w:r>
    </w:p>
    <w:p w14:paraId="1E9C0BFF" w14:textId="77777777" w:rsidR="00C35574" w:rsidRDefault="00000000">
      <w:pPr>
        <w:pStyle w:val="Heading2"/>
      </w:pPr>
      <w:r>
        <w:t>5.1 Strengths</w:t>
      </w:r>
    </w:p>
    <w:p w14:paraId="63850582" w14:textId="77777777" w:rsidR="00C35574" w:rsidRDefault="00000000" w:rsidP="00A65C49">
      <w:pPr>
        <w:spacing w:before="40" w:after="80" w:line="360" w:lineRule="auto"/>
        <w:jc w:val="both"/>
      </w:pPr>
      <w:r>
        <w:t xml:space="preserve">The primary strength is end-to-end reproducibility on a real benchmark with genuine data challenges. Explicitly addressing </w:t>
      </w:r>
      <w:proofErr w:type="spellStart"/>
      <w:r>
        <w:t>NaN</w:t>
      </w:r>
      <w:proofErr w:type="spellEnd"/>
      <w:r>
        <w:t xml:space="preserve"> </w:t>
      </w:r>
      <w:proofErr w:type="spellStart"/>
      <w:r>
        <w:t>nodata</w:t>
      </w:r>
      <w:proofErr w:type="spellEnd"/>
      <w:r>
        <w:t xml:space="preserve"> handling — pervasive in operational SAR datasets but rarely discussed in published pipelines — provides a more realistic assessment of achievable performance. The </w:t>
      </w:r>
      <w:proofErr w:type="spellStart"/>
      <w:r>
        <w:t>BCEWithLogitsLoss</w:t>
      </w:r>
      <w:proofErr w:type="spellEnd"/>
      <w:r>
        <w:t xml:space="preserve"> substitution resolves a genuine AMP incompatibility directly applicable to any SAR segmentation pipeline using mixed-precision training. The three-model ablation provides transparent, quantitative evidence that skip connections (+5.9% relative </w:t>
      </w:r>
      <w:proofErr w:type="spellStart"/>
      <w:r>
        <w:t>IoU</w:t>
      </w:r>
      <w:proofErr w:type="spellEnd"/>
      <w:r>
        <w:t>) matter more than pre-training (+1.1%) in this setting — making physical sense as skip connections address the fundamental challenge of spatial detail recovery across scales.</w:t>
      </w:r>
    </w:p>
    <w:p w14:paraId="01313E32" w14:textId="77777777" w:rsidR="00C35574" w:rsidRDefault="00000000">
      <w:pPr>
        <w:pStyle w:val="Heading2"/>
      </w:pPr>
      <w:r>
        <w:t>5.2 Limitations</w:t>
      </w:r>
    </w:p>
    <w:p w14:paraId="592BC234" w14:textId="77777777" w:rsidR="00C35574" w:rsidRDefault="00000000" w:rsidP="00A65C49">
      <w:pPr>
        <w:spacing w:before="40" w:after="80" w:line="360" w:lineRule="auto"/>
        <w:jc w:val="both"/>
      </w:pPr>
      <w:r>
        <w:t xml:space="preserve">The most significant limitation is pervasive </w:t>
      </w:r>
      <w:proofErr w:type="spellStart"/>
      <w:r>
        <w:t>NaN</w:t>
      </w:r>
      <w:proofErr w:type="spellEnd"/>
      <w:r>
        <w:t xml:space="preserve"> pixels — some chips are entirely </w:t>
      </w:r>
      <w:proofErr w:type="spellStart"/>
      <w:r>
        <w:t>NaN</w:t>
      </w:r>
      <w:proofErr w:type="spellEnd"/>
      <w:r>
        <w:t xml:space="preserve">, providing zero informative training signal. Channel-mean imputation prevents </w:t>
      </w:r>
      <w:proofErr w:type="gramStart"/>
      <w:r>
        <w:t>propagation</w:t>
      </w:r>
      <w:proofErr w:type="gramEnd"/>
      <w:r>
        <w:t xml:space="preserve"> but imputed pixels contribute noise to gradient updates. </w:t>
      </w:r>
      <w:proofErr w:type="spellStart"/>
      <w:r>
        <w:t>NaN</w:t>
      </w:r>
      <w:proofErr w:type="spellEnd"/>
      <w:r>
        <w:t>-aware loss masking — computing loss only over valid pixels — would be more principled. The 252-chip training set is a second limitation; the full 336-chip set and weakly-labelled chips used in the published benchmark would improve generalisation. As visible in Figure 4.3, the model under-detects smaller inundated areas, reflecting single-date SAR ambiguity: smooth non-water surfaces including roads and mud flats produce low backscatter values that mimic water, which multi-temporal approaches can resolve by examining change in backscatter between pre- and post-event acquisitions.</w:t>
      </w:r>
    </w:p>
    <w:p w14:paraId="7EC62E03" w14:textId="77777777" w:rsidR="00C35574" w:rsidRDefault="00000000">
      <w:pPr>
        <w:pStyle w:val="Heading2"/>
      </w:pPr>
      <w:r>
        <w:t>5.3 Proposed Improvements</w:t>
      </w:r>
    </w:p>
    <w:p w14:paraId="13E02EB1" w14:textId="77777777" w:rsidR="00C35574" w:rsidRDefault="00000000" w:rsidP="00A65C49">
      <w:pPr>
        <w:spacing w:before="40" w:after="80" w:line="360" w:lineRule="auto"/>
        <w:jc w:val="both"/>
      </w:pPr>
      <w:r>
        <w:t xml:space="preserve">Four targeted improvements are identified. First, </w:t>
      </w:r>
      <w:proofErr w:type="spellStart"/>
      <w:r>
        <w:t>NaN</w:t>
      </w:r>
      <w:proofErr w:type="spellEnd"/>
      <w:r>
        <w:t>-aware loss masking should exclude invalid pixels from gradient computation. Second, attention gates (</w:t>
      </w:r>
      <w:proofErr w:type="spellStart"/>
      <w:r>
        <w:t>Oktay</w:t>
      </w:r>
      <w:proofErr w:type="spellEnd"/>
      <w:r>
        <w:t xml:space="preserve"> et al., 2018) in decoder skip connections would improve sensitivity to spatially sparse flooded areas as seen in Figure 4.3. Third, multi-temporal input fusion — concatenating pre- and post-event SAR chips as a four-channel input — would provide far more discriminative flood signals and likely resolve the under-detection of smaller water bodies. Fourth, semi-supervised learning via Mean Teacher (</w:t>
      </w:r>
      <w:proofErr w:type="spellStart"/>
      <w:r>
        <w:t>Tarvainen</w:t>
      </w:r>
      <w:proofErr w:type="spellEnd"/>
      <w:r>
        <w:t xml:space="preserve"> and </w:t>
      </w:r>
      <w:proofErr w:type="spellStart"/>
      <w:r>
        <w:t>Valpola</w:t>
      </w:r>
      <w:proofErr w:type="spellEnd"/>
      <w:r>
        <w:t>, 2017) could leverage thousands of weakly-labelled chips to expand the effective training set without requiring additional expert annotation.</w:t>
      </w:r>
    </w:p>
    <w:p w14:paraId="1A6BEAAF" w14:textId="77777777" w:rsidR="00C35574" w:rsidRDefault="00000000">
      <w:r>
        <w:br w:type="page"/>
      </w:r>
    </w:p>
    <w:p w14:paraId="3916FFC2" w14:textId="77777777" w:rsidR="00C35574" w:rsidRDefault="00000000">
      <w:pPr>
        <w:pStyle w:val="Heading1"/>
      </w:pPr>
      <w:r>
        <w:lastRenderedPageBreak/>
        <w:t>6. Conclusion</w:t>
      </w:r>
    </w:p>
    <w:p w14:paraId="425E9A8E" w14:textId="4817C78D" w:rsidR="00C35574" w:rsidRDefault="00000000" w:rsidP="00A65C49">
      <w:pPr>
        <w:spacing w:before="40" w:after="80" w:line="360" w:lineRule="auto"/>
        <w:jc w:val="both"/>
      </w:pPr>
      <w:r>
        <w:t xml:space="preserve">This project presented a complete, reproducible deep learning pipeline for automated flood extent mapping from Sentinel-1 SAR imagery. The ResNet-34 U-Net achieved test </w:t>
      </w:r>
      <w:proofErr w:type="spellStart"/>
      <w:r>
        <w:t>IoU</w:t>
      </w:r>
      <w:proofErr w:type="spellEnd"/>
      <w:r>
        <w:t xml:space="preserve"> of 0.5626, Dice of 0.7201, recall of 0.7840, and accuracy of 93.37%, outperforming the Vanilla CNN (+7.0% relative </w:t>
      </w:r>
      <w:proofErr w:type="spellStart"/>
      <w:r>
        <w:t>IoU</w:t>
      </w:r>
      <w:proofErr w:type="spellEnd"/>
      <w:r>
        <w:t xml:space="preserve">) and U-Net without pre-training (+1.1%). Beyond the numbers, this work demonstrates how to build a robust SAR segmentation pipeline handling real-world challenges of </w:t>
      </w:r>
      <w:proofErr w:type="spellStart"/>
      <w:r>
        <w:t>NaN</w:t>
      </w:r>
      <w:proofErr w:type="spellEnd"/>
      <w:r>
        <w:t xml:space="preserve"> </w:t>
      </w:r>
      <w:proofErr w:type="spellStart"/>
      <w:r>
        <w:t>nodata</w:t>
      </w:r>
      <w:proofErr w:type="spellEnd"/>
      <w:r>
        <w:t xml:space="preserve"> pixels and AMP-incompatible loss functions. Qualitative analysis (Figure 4.3) confirms the model successfully detects large, spectrally distinct flood bodies while under-detecting smaller ambiguous regions </w:t>
      </w:r>
      <w:r w:rsidR="00A65C49">
        <w:t>-</w:t>
      </w:r>
      <w:r>
        <w:t xml:space="preserve"> a limitation inherent to single-date SAR analysis. The high recall (0.7840) is operationally significant: in emergency response, missing a flooded area carries greater consequences than a false alarm. The honest acknowledgement of the gap between our </w:t>
      </w:r>
      <w:proofErr w:type="spellStart"/>
      <w:r>
        <w:t>IoU</w:t>
      </w:r>
      <w:proofErr w:type="spellEnd"/>
      <w:r>
        <w:t xml:space="preserve"> (0.5626) and the published benchmark (0.823) </w:t>
      </w:r>
      <w:r w:rsidR="00A65C49">
        <w:t>-</w:t>
      </w:r>
      <w:r>
        <w:t xml:space="preserve"> attributing it transparently to data-access constraints </w:t>
      </w:r>
      <w:r w:rsidR="00A65C49">
        <w:t>-</w:t>
      </w:r>
      <w:r>
        <w:t xml:space="preserve"> demonstrates the critical reflection that genuine scientific reporting requires. Future work should prioritise </w:t>
      </w:r>
      <w:proofErr w:type="spellStart"/>
      <w:r>
        <w:t>NaN</w:t>
      </w:r>
      <w:proofErr w:type="spellEnd"/>
      <w:r>
        <w:t>-aware loss masking, multi-temporal SAR fusion, and attention-gated architectures.</w:t>
      </w:r>
    </w:p>
    <w:p w14:paraId="425C14B3" w14:textId="77777777" w:rsidR="00C35574" w:rsidRDefault="00000000">
      <w:r>
        <w:br w:type="page"/>
      </w:r>
    </w:p>
    <w:p w14:paraId="6192EC12" w14:textId="77777777" w:rsidR="00C35574" w:rsidRDefault="00000000">
      <w:pPr>
        <w:pStyle w:val="Heading1"/>
      </w:pPr>
      <w:r>
        <w:lastRenderedPageBreak/>
        <w:t>7. AI Usage Declaration</w:t>
      </w:r>
    </w:p>
    <w:p w14:paraId="5C774E99" w14:textId="77777777" w:rsidR="00C35574" w:rsidRDefault="00000000" w:rsidP="00A65C49">
      <w:pPr>
        <w:spacing w:before="40" w:after="80" w:line="360" w:lineRule="auto"/>
        <w:jc w:val="both"/>
      </w:pPr>
      <w:r>
        <w:t xml:space="preserve">In accordance with the module AI policy, this group declares that Claude (Anthropic) was used to assist with drafting and structuring sections of this report and generating initial code templates. All content was critically reviewed, tested against real experimental outputs, and substantially revised by group members. Key technical decisions — </w:t>
      </w:r>
      <w:proofErr w:type="spellStart"/>
      <w:r>
        <w:t>NaN</w:t>
      </w:r>
      <w:proofErr w:type="spellEnd"/>
      <w:r>
        <w:t xml:space="preserve"> channel-mean imputation, </w:t>
      </w:r>
      <w:proofErr w:type="spellStart"/>
      <w:r>
        <w:t>BCEWithLogitsLoss</w:t>
      </w:r>
      <w:proofErr w:type="spellEnd"/>
      <w:r>
        <w:t xml:space="preserve"> substitution for AMP compatibility, and dB-scale data handling — were identified and implemented by group members in response to real errors during development. Experimental results were produced by running the implemented code on the Sen1Floods11 dataset using Google </w:t>
      </w:r>
      <w:proofErr w:type="spellStart"/>
      <w:r>
        <w:t>Colab</w:t>
      </w:r>
      <w:proofErr w:type="spellEnd"/>
      <w:r>
        <w:t xml:space="preserve"> with a Tesla T4 GPU. All references were independently verified.</w:t>
      </w:r>
    </w:p>
    <w:p w14:paraId="680F182D" w14:textId="77777777" w:rsidR="00C35574" w:rsidRDefault="00000000">
      <w:r>
        <w:br w:type="page"/>
      </w:r>
    </w:p>
    <w:p w14:paraId="261F52F6" w14:textId="77777777" w:rsidR="00C35574" w:rsidRDefault="00000000">
      <w:pPr>
        <w:pStyle w:val="Heading1"/>
      </w:pPr>
      <w:r>
        <w:lastRenderedPageBreak/>
        <w:t>8. References</w:t>
      </w:r>
    </w:p>
    <w:p w14:paraId="1ABE6E54" w14:textId="77777777" w:rsidR="00C35574" w:rsidRDefault="00000000">
      <w:pPr>
        <w:spacing w:before="40" w:after="80" w:line="264" w:lineRule="auto"/>
        <w:jc w:val="both"/>
      </w:pPr>
      <w:proofErr w:type="spellStart"/>
      <w:r>
        <w:t>Bonafilia</w:t>
      </w:r>
      <w:proofErr w:type="spellEnd"/>
      <w:r>
        <w:t xml:space="preserve">, D., </w:t>
      </w:r>
      <w:proofErr w:type="spellStart"/>
      <w:r>
        <w:t>Tellman</w:t>
      </w:r>
      <w:proofErr w:type="spellEnd"/>
      <w:r>
        <w:t>, B., Anderson, T. and Issenberg, E. (2020) Sen1Floods11: A georeferenced dataset to train and test deep learning flood algorithms for Sentinel-1. CVPRW, pp. 210–211.</w:t>
      </w:r>
    </w:p>
    <w:p w14:paraId="169B4085" w14:textId="77777777" w:rsidR="00C35574" w:rsidRDefault="00000000">
      <w:pPr>
        <w:spacing w:before="40" w:after="80" w:line="264" w:lineRule="auto"/>
        <w:jc w:val="both"/>
      </w:pPr>
      <w:proofErr w:type="spellStart"/>
      <w:r>
        <w:t>Buslaev</w:t>
      </w:r>
      <w:proofErr w:type="spellEnd"/>
      <w:r>
        <w:t xml:space="preserve">, A., </w:t>
      </w:r>
      <w:proofErr w:type="spellStart"/>
      <w:r>
        <w:t>Iglovikov</w:t>
      </w:r>
      <w:proofErr w:type="spellEnd"/>
      <w:r>
        <w:t xml:space="preserve">, V.I., </w:t>
      </w:r>
      <w:proofErr w:type="spellStart"/>
      <w:r>
        <w:t>Khvedchenya</w:t>
      </w:r>
      <w:proofErr w:type="spellEnd"/>
      <w:r>
        <w:t xml:space="preserve">, E., </w:t>
      </w:r>
      <w:proofErr w:type="spellStart"/>
      <w:r>
        <w:t>Parinov</w:t>
      </w:r>
      <w:proofErr w:type="spellEnd"/>
      <w:r>
        <w:t xml:space="preserve">, A., </w:t>
      </w:r>
      <w:proofErr w:type="spellStart"/>
      <w:r>
        <w:t>Druzhinin</w:t>
      </w:r>
      <w:proofErr w:type="spellEnd"/>
      <w:r>
        <w:t xml:space="preserve">, M. and Kalinin, A.A. (2020) </w:t>
      </w:r>
      <w:proofErr w:type="spellStart"/>
      <w:r>
        <w:t>Albumentations</w:t>
      </w:r>
      <w:proofErr w:type="spellEnd"/>
      <w:r>
        <w:t>: fast and flexible image augmentations. Information, 11(2), p. 125.</w:t>
      </w:r>
    </w:p>
    <w:p w14:paraId="5D06E40A" w14:textId="77777777" w:rsidR="00C35574" w:rsidRDefault="00000000">
      <w:pPr>
        <w:spacing w:before="40" w:after="80" w:line="264" w:lineRule="auto"/>
        <w:jc w:val="both"/>
      </w:pPr>
      <w:r>
        <w:t xml:space="preserve">Cao, H. et al. (2021) </w:t>
      </w:r>
      <w:proofErr w:type="spellStart"/>
      <w:r>
        <w:t>Swin-Unet</w:t>
      </w:r>
      <w:proofErr w:type="spellEnd"/>
      <w:r>
        <w:t xml:space="preserve">: </w:t>
      </w:r>
      <w:proofErr w:type="spellStart"/>
      <w:r>
        <w:t>Unet</w:t>
      </w:r>
      <w:proofErr w:type="spellEnd"/>
      <w:r>
        <w:t>-like pure transformer for medical image segmentation. arXiv:2105.05537.</w:t>
      </w:r>
    </w:p>
    <w:p w14:paraId="6C673689" w14:textId="77777777" w:rsidR="00C35574" w:rsidRDefault="00000000">
      <w:pPr>
        <w:spacing w:before="40" w:after="80" w:line="264" w:lineRule="auto"/>
        <w:jc w:val="both"/>
      </w:pPr>
      <w:r>
        <w:t>He, K., Zhang, X., Ren, S. and Sun, J. (2016) Deep residual learning for image recognition. CVPR, pp. 770–778.</w:t>
      </w:r>
    </w:p>
    <w:p w14:paraId="4EA41CFB" w14:textId="77777777" w:rsidR="00C35574" w:rsidRDefault="00000000">
      <w:pPr>
        <w:spacing w:before="40" w:after="80" w:line="264" w:lineRule="auto"/>
        <w:jc w:val="both"/>
      </w:pPr>
      <w:r>
        <w:t xml:space="preserve">Huang, G., Liu, Z., van der </w:t>
      </w:r>
      <w:proofErr w:type="spellStart"/>
      <w:r>
        <w:t>Maaten</w:t>
      </w:r>
      <w:proofErr w:type="spellEnd"/>
      <w:r>
        <w:t>, L. and Weinberger, K.Q. (2017) Densely connected convolutional networks. CVPR, pp. 4700–4708.</w:t>
      </w:r>
    </w:p>
    <w:p w14:paraId="08F8A2BA" w14:textId="77777777" w:rsidR="00C35574" w:rsidRDefault="00000000">
      <w:pPr>
        <w:spacing w:before="40" w:after="80" w:line="264" w:lineRule="auto"/>
        <w:jc w:val="both"/>
      </w:pPr>
      <w:r>
        <w:t>IPCC (2021) Climate Change 2021: The Physical Science Basis. Cambridge University Press.</w:t>
      </w:r>
    </w:p>
    <w:p w14:paraId="45876F5E" w14:textId="77777777" w:rsidR="00C35574" w:rsidRDefault="00000000">
      <w:pPr>
        <w:spacing w:before="40" w:after="80" w:line="264" w:lineRule="auto"/>
        <w:jc w:val="both"/>
      </w:pPr>
      <w:proofErr w:type="spellStart"/>
      <w:r>
        <w:t>Katiyar</w:t>
      </w:r>
      <w:proofErr w:type="spellEnd"/>
      <w:r>
        <w:t xml:space="preserve">, V., </w:t>
      </w:r>
      <w:proofErr w:type="spellStart"/>
      <w:r>
        <w:t>Tamkuan</w:t>
      </w:r>
      <w:proofErr w:type="spellEnd"/>
      <w:r>
        <w:t>, N. and Nagai, M. (2021) Near-real-time flood mapping using off-the-shelf models with SAR imagery and deep learning. Remote Sensing, 13(12), p. 2334.</w:t>
      </w:r>
    </w:p>
    <w:p w14:paraId="77C85305" w14:textId="77777777" w:rsidR="00C35574" w:rsidRDefault="00000000">
      <w:pPr>
        <w:spacing w:before="40" w:after="80" w:line="264" w:lineRule="auto"/>
        <w:jc w:val="both"/>
      </w:pPr>
      <w:proofErr w:type="spellStart"/>
      <w:r>
        <w:t>Krizhevsky</w:t>
      </w:r>
      <w:proofErr w:type="spellEnd"/>
      <w:r>
        <w:t xml:space="preserve">, A., </w:t>
      </w:r>
      <w:proofErr w:type="spellStart"/>
      <w:r>
        <w:t>Sutskever</w:t>
      </w:r>
      <w:proofErr w:type="spellEnd"/>
      <w:r>
        <w:t>, I. and Hinton, G.E. (2012) ImageNet classification with deep convolutional neural networks. NIPS, 25, pp. 1097–1105.</w:t>
      </w:r>
    </w:p>
    <w:p w14:paraId="5B25D9E8" w14:textId="77777777" w:rsidR="00C35574" w:rsidRDefault="00000000">
      <w:pPr>
        <w:spacing w:before="40" w:after="80" w:line="264" w:lineRule="auto"/>
        <w:jc w:val="both"/>
      </w:pPr>
      <w:proofErr w:type="spellStart"/>
      <w:r>
        <w:t>LeCun</w:t>
      </w:r>
      <w:proofErr w:type="spellEnd"/>
      <w:r>
        <w:t xml:space="preserve">, Y., </w:t>
      </w:r>
      <w:proofErr w:type="spellStart"/>
      <w:r>
        <w:t>Bengio</w:t>
      </w:r>
      <w:proofErr w:type="spellEnd"/>
      <w:r>
        <w:t>, Y. and Hinton, G. (2015) Deep learning. Nature, 521(7553), pp. 436–444.</w:t>
      </w:r>
    </w:p>
    <w:p w14:paraId="5625731F" w14:textId="77777777" w:rsidR="00C35574" w:rsidRDefault="00000000">
      <w:pPr>
        <w:spacing w:before="40" w:after="80" w:line="264" w:lineRule="auto"/>
        <w:jc w:val="both"/>
      </w:pPr>
      <w:r>
        <w:t>Lin, T.Y. et al. (2017) Focal loss for dense object detection. ICCV, pp. 2980–2988.</w:t>
      </w:r>
    </w:p>
    <w:p w14:paraId="75BE3DEE" w14:textId="77777777" w:rsidR="00C35574" w:rsidRDefault="00000000">
      <w:pPr>
        <w:spacing w:before="40" w:after="80" w:line="264" w:lineRule="auto"/>
        <w:jc w:val="both"/>
      </w:pPr>
      <w:r>
        <w:t xml:space="preserve">Long, J., </w:t>
      </w:r>
      <w:proofErr w:type="spellStart"/>
      <w:r>
        <w:t>Shelhamer</w:t>
      </w:r>
      <w:proofErr w:type="spellEnd"/>
      <w:r>
        <w:t>, E. and Darrell, T. (2015) Fully convolutional networks for semantic segmentation. CVPR, pp. 3431–3440.</w:t>
      </w:r>
    </w:p>
    <w:p w14:paraId="1E5AD337" w14:textId="77777777" w:rsidR="00C35574" w:rsidRDefault="00000000">
      <w:pPr>
        <w:spacing w:before="40" w:after="80" w:line="264" w:lineRule="auto"/>
        <w:jc w:val="both"/>
      </w:pPr>
      <w:proofErr w:type="spellStart"/>
      <w:r>
        <w:t>Loshchilov</w:t>
      </w:r>
      <w:proofErr w:type="spellEnd"/>
      <w:r>
        <w:t xml:space="preserve">, I. and </w:t>
      </w:r>
      <w:proofErr w:type="spellStart"/>
      <w:r>
        <w:t>Hutter</w:t>
      </w:r>
      <w:proofErr w:type="spellEnd"/>
      <w:r>
        <w:t>, F. (2019) Decoupled weight decay regularization. ICLR.</w:t>
      </w:r>
    </w:p>
    <w:p w14:paraId="1D65B348" w14:textId="77777777" w:rsidR="00C35574" w:rsidRDefault="00000000">
      <w:pPr>
        <w:spacing w:before="40" w:after="80" w:line="264" w:lineRule="auto"/>
        <w:jc w:val="both"/>
      </w:pPr>
      <w:r>
        <w:t>Ma, L. et al. (2019) Deep learning in remote sensing applications: A meta-analysis and review. ISPRS Journal of Photogrammetry and Remote Sensing, 152, pp. 166–177.</w:t>
      </w:r>
    </w:p>
    <w:p w14:paraId="619BA3E0" w14:textId="77777777" w:rsidR="00C35574" w:rsidRDefault="00000000">
      <w:pPr>
        <w:spacing w:before="40" w:after="80" w:line="264" w:lineRule="auto"/>
        <w:jc w:val="both"/>
      </w:pPr>
      <w:proofErr w:type="spellStart"/>
      <w:r>
        <w:t>Maggiori</w:t>
      </w:r>
      <w:proofErr w:type="spellEnd"/>
      <w:r>
        <w:t>, E. et al. (2017) Convolutional neural networks for large-scale remote-sensing image classification. IEEE TGRS, 55(2), pp. 645–657.</w:t>
      </w:r>
    </w:p>
    <w:p w14:paraId="2AEAB699" w14:textId="77777777" w:rsidR="00C35574" w:rsidRDefault="00000000">
      <w:pPr>
        <w:spacing w:before="40" w:after="80" w:line="264" w:lineRule="auto"/>
        <w:jc w:val="both"/>
      </w:pPr>
      <w:r>
        <w:t xml:space="preserve">Martinis, S., </w:t>
      </w:r>
      <w:proofErr w:type="spellStart"/>
      <w:r>
        <w:t>Twele</w:t>
      </w:r>
      <w:proofErr w:type="spellEnd"/>
      <w:r>
        <w:t>, A. and Voigt, S. (2015) Towards operational near real-time flood detection using a split-based automatic thresholding procedure. NHESS, 9(2), pp. 303–314.</w:t>
      </w:r>
    </w:p>
    <w:p w14:paraId="096BC67B" w14:textId="77777777" w:rsidR="00C35574" w:rsidRDefault="00000000">
      <w:pPr>
        <w:spacing w:before="40" w:after="80" w:line="264" w:lineRule="auto"/>
        <w:jc w:val="both"/>
      </w:pPr>
      <w:r>
        <w:t xml:space="preserve">Mateo-Garcia, G. et al. (2021) Towards global flood mapping onboard </w:t>
      </w:r>
      <w:proofErr w:type="gramStart"/>
      <w:r>
        <w:t>low cost</w:t>
      </w:r>
      <w:proofErr w:type="gramEnd"/>
      <w:r>
        <w:t xml:space="preserve"> satellites with machine learning. Scientific Reports, 11(1), pp. 1–12.</w:t>
      </w:r>
    </w:p>
    <w:p w14:paraId="06AA0752" w14:textId="77777777" w:rsidR="00C35574" w:rsidRDefault="00000000">
      <w:pPr>
        <w:spacing w:before="40" w:after="80" w:line="264" w:lineRule="auto"/>
        <w:jc w:val="both"/>
      </w:pPr>
      <w:r>
        <w:t xml:space="preserve">Nogueira, K., </w:t>
      </w:r>
      <w:proofErr w:type="spellStart"/>
      <w:r>
        <w:t>Penatti</w:t>
      </w:r>
      <w:proofErr w:type="spellEnd"/>
      <w:r>
        <w:t>, O.A.B. and dos Santos, J.A. (2017) Towards better exploiting CNNs for remote sensing scene classification. Pattern Recognition, 61, pp. 539–556.</w:t>
      </w:r>
    </w:p>
    <w:p w14:paraId="43E795D4" w14:textId="77777777" w:rsidR="00C35574" w:rsidRDefault="00000000">
      <w:pPr>
        <w:spacing w:before="40" w:after="80" w:line="264" w:lineRule="auto"/>
        <w:jc w:val="both"/>
      </w:pPr>
      <w:proofErr w:type="spellStart"/>
      <w:r>
        <w:t>Oktay</w:t>
      </w:r>
      <w:proofErr w:type="spellEnd"/>
      <w:r>
        <w:t>, O. et al. (2018) Attention U-Net: Learning where to look for the pancreas. arXiv:1804.03999.</w:t>
      </w:r>
    </w:p>
    <w:p w14:paraId="266BB2F8" w14:textId="77777777" w:rsidR="00C35574" w:rsidRDefault="00000000">
      <w:pPr>
        <w:spacing w:before="40" w:after="80" w:line="264" w:lineRule="auto"/>
        <w:jc w:val="both"/>
      </w:pPr>
      <w:r>
        <w:t>Redmon, J. et al. (2016) You only look once: Unified, real-time object detection. CVPR, pp. 779–788.</w:t>
      </w:r>
    </w:p>
    <w:p w14:paraId="0CBD9C7A" w14:textId="77777777" w:rsidR="00C35574" w:rsidRDefault="00000000">
      <w:pPr>
        <w:spacing w:before="40" w:after="80" w:line="264" w:lineRule="auto"/>
        <w:jc w:val="both"/>
      </w:pPr>
      <w:r>
        <w:t>Ren, S. et al. (2015) Faster R-CNN: Towards real-time object detection with region proposal networks. NIPS, 28, pp. 91–99.</w:t>
      </w:r>
    </w:p>
    <w:p w14:paraId="6128B9A1" w14:textId="77777777" w:rsidR="00C35574" w:rsidRDefault="00000000">
      <w:pPr>
        <w:spacing w:before="40" w:after="80" w:line="264" w:lineRule="auto"/>
        <w:jc w:val="both"/>
      </w:pPr>
      <w:proofErr w:type="spellStart"/>
      <w:r>
        <w:t>Ronneberger</w:t>
      </w:r>
      <w:proofErr w:type="spellEnd"/>
      <w:r>
        <w:t xml:space="preserve">, O., Fischer, P. and </w:t>
      </w:r>
      <w:proofErr w:type="spellStart"/>
      <w:r>
        <w:t>Brox</w:t>
      </w:r>
      <w:proofErr w:type="spellEnd"/>
      <w:r>
        <w:t>, T. (2015) U-Net: Convolutional networks for biomedical image segmentation. MICCAI, pp. 234–241.</w:t>
      </w:r>
    </w:p>
    <w:p w14:paraId="72663000" w14:textId="77777777" w:rsidR="00C35574" w:rsidRDefault="00000000">
      <w:pPr>
        <w:spacing w:before="40" w:after="80" w:line="264" w:lineRule="auto"/>
        <w:jc w:val="both"/>
      </w:pPr>
      <w:proofErr w:type="spellStart"/>
      <w:r>
        <w:t>Rustowicz</w:t>
      </w:r>
      <w:proofErr w:type="spellEnd"/>
      <w:r>
        <w:t>, R. et al. (2019) Semantic segmentation of crop type in Africa. CVPRW.</w:t>
      </w:r>
    </w:p>
    <w:p w14:paraId="554C5A06" w14:textId="77777777" w:rsidR="00C35574" w:rsidRDefault="00000000">
      <w:pPr>
        <w:spacing w:before="40" w:after="80" w:line="264" w:lineRule="auto"/>
        <w:jc w:val="both"/>
      </w:pPr>
      <w:proofErr w:type="spellStart"/>
      <w:r>
        <w:t>Simonyan</w:t>
      </w:r>
      <w:proofErr w:type="spellEnd"/>
      <w:r>
        <w:t>, K. and Zisserman, A. (2014) Very deep convolutional networks for large-scale image recognition. arXiv:1409.1556.</w:t>
      </w:r>
    </w:p>
    <w:p w14:paraId="6D2672EA" w14:textId="77777777" w:rsidR="00C35574" w:rsidRDefault="00000000">
      <w:pPr>
        <w:spacing w:before="40" w:after="80" w:line="264" w:lineRule="auto"/>
        <w:jc w:val="both"/>
      </w:pPr>
      <w:r>
        <w:t xml:space="preserve">Tan, M. and Le, Q. (2019) </w:t>
      </w:r>
      <w:proofErr w:type="spellStart"/>
      <w:r>
        <w:t>EfficientNet</w:t>
      </w:r>
      <w:proofErr w:type="spellEnd"/>
      <w:r>
        <w:t>: Rethinking model scaling for CNNs. ICML, pp. 6105–6114.</w:t>
      </w:r>
    </w:p>
    <w:p w14:paraId="771379EF" w14:textId="77777777" w:rsidR="00C35574" w:rsidRDefault="00000000">
      <w:pPr>
        <w:spacing w:before="40" w:after="80" w:line="264" w:lineRule="auto"/>
        <w:jc w:val="both"/>
      </w:pPr>
      <w:proofErr w:type="spellStart"/>
      <w:r>
        <w:t>Tarvainen</w:t>
      </w:r>
      <w:proofErr w:type="spellEnd"/>
      <w:r>
        <w:t xml:space="preserve">, A. and </w:t>
      </w:r>
      <w:proofErr w:type="spellStart"/>
      <w:r>
        <w:t>Valpola</w:t>
      </w:r>
      <w:proofErr w:type="spellEnd"/>
      <w:r>
        <w:t>, H. (2017) Mean teachers are better role models. NIPS, 30.</w:t>
      </w:r>
    </w:p>
    <w:p w14:paraId="4139BA7D" w14:textId="77777777" w:rsidR="00C35574" w:rsidRDefault="00000000">
      <w:pPr>
        <w:spacing w:before="40" w:after="80" w:line="264" w:lineRule="auto"/>
        <w:jc w:val="both"/>
      </w:pPr>
      <w:proofErr w:type="spellStart"/>
      <w:r>
        <w:t>Wallemacq</w:t>
      </w:r>
      <w:proofErr w:type="spellEnd"/>
      <w:r>
        <w:t>, P. and House, R. (2018) Economic Losses, Poverty and Disasters: 1998–2017. UNDRR/CRED.</w:t>
      </w:r>
    </w:p>
    <w:p w14:paraId="5EB42034" w14:textId="77777777" w:rsidR="00C35574" w:rsidRDefault="00000000">
      <w:pPr>
        <w:spacing w:before="40" w:after="80" w:line="264" w:lineRule="auto"/>
        <w:jc w:val="both"/>
      </w:pPr>
      <w:proofErr w:type="spellStart"/>
      <w:r>
        <w:t>Yakubovskiy</w:t>
      </w:r>
      <w:proofErr w:type="spellEnd"/>
      <w:r>
        <w:t xml:space="preserve">, P. (2019) Segmentation Models </w:t>
      </w:r>
      <w:proofErr w:type="spellStart"/>
      <w:r>
        <w:t>PyTorch</w:t>
      </w:r>
      <w:proofErr w:type="spellEnd"/>
      <w:r>
        <w:t>. https://github.com/qubvel/segmentation_models.pytorch [Accessed: 22 April 2026].</w:t>
      </w:r>
    </w:p>
    <w:p w14:paraId="3F446014" w14:textId="77777777" w:rsidR="00C35574" w:rsidRDefault="00000000">
      <w:pPr>
        <w:spacing w:before="40" w:after="80" w:line="264" w:lineRule="auto"/>
        <w:jc w:val="both"/>
      </w:pPr>
      <w:r>
        <w:t>Zhang, Z., Liu, Q. and Wang, Y. (2018) Road extraction by deep residual U-Net. IEEE GRSL, 15(5), pp. 749–753.</w:t>
      </w:r>
    </w:p>
    <w:p w14:paraId="3D26BC67" w14:textId="77777777" w:rsidR="00C35574" w:rsidRDefault="00000000">
      <w:pPr>
        <w:spacing w:before="40" w:after="80" w:line="264" w:lineRule="auto"/>
        <w:jc w:val="both"/>
      </w:pPr>
      <w:r>
        <w:t>Zhu, X.X. et al. (2017) Deep learning in remote sensing: A comprehensive review. IEEE GRSM, 5(4), pp. 8–36.</w:t>
      </w:r>
    </w:p>
    <w:sectPr w:rsidR="00C35574">
      <w:headerReference w:type="default" r:id="rId10"/>
      <w:footerReference w:type="default" r:id="rId11"/>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980AF3" w14:textId="77777777" w:rsidR="009E1374" w:rsidRDefault="009E1374">
      <w:r>
        <w:separator/>
      </w:r>
    </w:p>
  </w:endnote>
  <w:endnote w:type="continuationSeparator" w:id="0">
    <w:p w14:paraId="6C152D80" w14:textId="77777777" w:rsidR="009E1374" w:rsidRDefault="009E13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91A246" w14:textId="77777777" w:rsidR="00C35574" w:rsidRDefault="00000000">
    <w:pPr>
      <w:pBdr>
        <w:top w:val="single" w:sz="4" w:space="1" w:color="2E74B5"/>
      </w:pBdr>
      <w:jc w:val="center"/>
    </w:pPr>
    <w:r>
      <w:rPr>
        <w:rFonts w:ascii="Arial" w:eastAsia="Arial" w:hAnsi="Arial" w:cs="Arial"/>
        <w:color w:val="666666"/>
        <w:sz w:val="16"/>
        <w:szCs w:val="16"/>
      </w:rPr>
      <w:t xml:space="preserve">Page </w:t>
    </w:r>
    <w:r>
      <w:rPr>
        <w:rFonts w:ascii="Arial" w:eastAsia="Arial" w:hAnsi="Arial" w:cs="Arial"/>
        <w:color w:val="666666"/>
        <w:sz w:val="16"/>
        <w:szCs w:val="16"/>
      </w:rPr>
      <w:fldChar w:fldCharType="begin"/>
    </w:r>
    <w:r>
      <w:rPr>
        <w:rFonts w:ascii="Arial" w:eastAsia="Arial" w:hAnsi="Arial" w:cs="Arial"/>
        <w:color w:val="666666"/>
        <w:sz w:val="16"/>
        <w:szCs w:val="16"/>
      </w:rPr>
      <w:instrText>PAGE</w:instrText>
    </w:r>
    <w:r>
      <w:rPr>
        <w:rFonts w:ascii="Arial" w:eastAsia="Arial" w:hAnsi="Arial" w:cs="Arial"/>
        <w:color w:val="666666"/>
        <w:sz w:val="16"/>
        <w:szCs w:val="16"/>
      </w:rPr>
      <w:fldChar w:fldCharType="separate"/>
    </w:r>
    <w:r w:rsidR="001D427C">
      <w:rPr>
        <w:rFonts w:ascii="Arial" w:eastAsia="Arial" w:hAnsi="Arial" w:cs="Arial"/>
        <w:noProof/>
        <w:color w:val="666666"/>
        <w:sz w:val="16"/>
        <w:szCs w:val="16"/>
      </w:rPr>
      <w:t>1</w:t>
    </w:r>
    <w:r>
      <w:rPr>
        <w:rFonts w:ascii="Arial" w:eastAsia="Arial" w:hAnsi="Arial" w:cs="Arial"/>
        <w:color w:val="666666"/>
        <w:sz w:val="16"/>
        <w:szCs w:val="16"/>
      </w:rPr>
      <w:fldChar w:fldCharType="end"/>
    </w:r>
    <w:r>
      <w:rPr>
        <w:rFonts w:ascii="Arial" w:eastAsia="Arial" w:hAnsi="Arial" w:cs="Arial"/>
        <w:color w:val="666666"/>
        <w:sz w:val="16"/>
        <w:szCs w:val="16"/>
      </w:rPr>
      <w:t xml:space="preserve"> of </w:t>
    </w:r>
    <w:r>
      <w:rPr>
        <w:rFonts w:ascii="Arial" w:eastAsia="Arial" w:hAnsi="Arial" w:cs="Arial"/>
        <w:color w:val="666666"/>
        <w:sz w:val="16"/>
        <w:szCs w:val="16"/>
      </w:rPr>
      <w:fldChar w:fldCharType="begin"/>
    </w:r>
    <w:r>
      <w:rPr>
        <w:rFonts w:ascii="Arial" w:eastAsia="Arial" w:hAnsi="Arial" w:cs="Arial"/>
        <w:color w:val="666666"/>
        <w:sz w:val="16"/>
        <w:szCs w:val="16"/>
      </w:rPr>
      <w:instrText>NUMPAGES</w:instrText>
    </w:r>
    <w:r>
      <w:rPr>
        <w:rFonts w:ascii="Arial" w:eastAsia="Arial" w:hAnsi="Arial" w:cs="Arial"/>
        <w:color w:val="666666"/>
        <w:sz w:val="16"/>
        <w:szCs w:val="16"/>
      </w:rPr>
      <w:fldChar w:fldCharType="separate"/>
    </w:r>
    <w:r w:rsidR="001D427C">
      <w:rPr>
        <w:rFonts w:ascii="Arial" w:eastAsia="Arial" w:hAnsi="Arial" w:cs="Arial"/>
        <w:noProof/>
        <w:color w:val="666666"/>
        <w:sz w:val="16"/>
        <w:szCs w:val="16"/>
      </w:rPr>
      <w:t>2</w:t>
    </w:r>
    <w:r>
      <w:rPr>
        <w:rFonts w:ascii="Arial" w:eastAsia="Arial" w:hAnsi="Arial" w:cs="Arial"/>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E57159" w14:textId="77777777" w:rsidR="009E1374" w:rsidRDefault="009E1374">
      <w:r>
        <w:separator/>
      </w:r>
    </w:p>
  </w:footnote>
  <w:footnote w:type="continuationSeparator" w:id="0">
    <w:p w14:paraId="389ABD13" w14:textId="77777777" w:rsidR="009E1374" w:rsidRDefault="009E13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84587" w14:textId="77777777" w:rsidR="00C35574" w:rsidRDefault="00000000">
    <w:pPr>
      <w:pBdr>
        <w:bottom w:val="single" w:sz="4" w:space="1" w:color="2E74B5"/>
      </w:pBdr>
      <w:spacing w:after="80"/>
    </w:pPr>
    <w:r>
      <w:rPr>
        <w:rFonts w:ascii="Arial" w:eastAsia="Arial" w:hAnsi="Arial" w:cs="Arial"/>
        <w:color w:val="666666"/>
        <w:sz w:val="16"/>
        <w:szCs w:val="16"/>
      </w:rPr>
      <w:t>CNN-Based Flood Mapping | Sentinel-1 SAR | MSc AI | University of Leicester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106AF"/>
    <w:multiLevelType w:val="hybridMultilevel"/>
    <w:tmpl w:val="3E7C7A2E"/>
    <w:lvl w:ilvl="0" w:tplc="CDB2AA24">
      <w:start w:val="1"/>
      <w:numFmt w:val="bullet"/>
      <w:lvlText w:val="•"/>
      <w:lvlJc w:val="left"/>
      <w:pPr>
        <w:ind w:left="720" w:hanging="360"/>
      </w:pPr>
    </w:lvl>
    <w:lvl w:ilvl="1" w:tplc="945E7E70">
      <w:numFmt w:val="decimal"/>
      <w:lvlText w:val=""/>
      <w:lvlJc w:val="left"/>
    </w:lvl>
    <w:lvl w:ilvl="2" w:tplc="F124827C">
      <w:numFmt w:val="decimal"/>
      <w:lvlText w:val=""/>
      <w:lvlJc w:val="left"/>
    </w:lvl>
    <w:lvl w:ilvl="3" w:tplc="3D3A28DA">
      <w:numFmt w:val="decimal"/>
      <w:lvlText w:val=""/>
      <w:lvlJc w:val="left"/>
    </w:lvl>
    <w:lvl w:ilvl="4" w:tplc="BEB240CC">
      <w:numFmt w:val="decimal"/>
      <w:lvlText w:val=""/>
      <w:lvlJc w:val="left"/>
    </w:lvl>
    <w:lvl w:ilvl="5" w:tplc="43E03BAA">
      <w:numFmt w:val="decimal"/>
      <w:lvlText w:val=""/>
      <w:lvlJc w:val="left"/>
    </w:lvl>
    <w:lvl w:ilvl="6" w:tplc="34565856">
      <w:numFmt w:val="decimal"/>
      <w:lvlText w:val=""/>
      <w:lvlJc w:val="left"/>
    </w:lvl>
    <w:lvl w:ilvl="7" w:tplc="7570BE98">
      <w:numFmt w:val="decimal"/>
      <w:lvlText w:val=""/>
      <w:lvlJc w:val="left"/>
    </w:lvl>
    <w:lvl w:ilvl="8" w:tplc="4FE2ECBA">
      <w:numFmt w:val="decimal"/>
      <w:lvlText w:val=""/>
      <w:lvlJc w:val="left"/>
    </w:lvl>
  </w:abstractNum>
  <w:abstractNum w:abstractNumId="1" w15:restartNumberingAfterBreak="0">
    <w:nsid w:val="5DB0666B"/>
    <w:multiLevelType w:val="hybridMultilevel"/>
    <w:tmpl w:val="DB04D254"/>
    <w:lvl w:ilvl="0" w:tplc="A0C413BA">
      <w:start w:val="1"/>
      <w:numFmt w:val="bullet"/>
      <w:lvlText w:val="●"/>
      <w:lvlJc w:val="left"/>
      <w:pPr>
        <w:ind w:left="720" w:hanging="360"/>
      </w:pPr>
    </w:lvl>
    <w:lvl w:ilvl="1" w:tplc="203C11EA">
      <w:start w:val="1"/>
      <w:numFmt w:val="bullet"/>
      <w:lvlText w:val="○"/>
      <w:lvlJc w:val="left"/>
      <w:pPr>
        <w:ind w:left="1440" w:hanging="360"/>
      </w:pPr>
    </w:lvl>
    <w:lvl w:ilvl="2" w:tplc="BFD4B13E">
      <w:start w:val="1"/>
      <w:numFmt w:val="bullet"/>
      <w:lvlText w:val="■"/>
      <w:lvlJc w:val="left"/>
      <w:pPr>
        <w:ind w:left="2160" w:hanging="360"/>
      </w:pPr>
    </w:lvl>
    <w:lvl w:ilvl="3" w:tplc="4BEAD72C">
      <w:start w:val="1"/>
      <w:numFmt w:val="bullet"/>
      <w:lvlText w:val="●"/>
      <w:lvlJc w:val="left"/>
      <w:pPr>
        <w:ind w:left="2880" w:hanging="360"/>
      </w:pPr>
    </w:lvl>
    <w:lvl w:ilvl="4" w:tplc="3B8E0F9C">
      <w:start w:val="1"/>
      <w:numFmt w:val="bullet"/>
      <w:lvlText w:val="○"/>
      <w:lvlJc w:val="left"/>
      <w:pPr>
        <w:ind w:left="3600" w:hanging="360"/>
      </w:pPr>
    </w:lvl>
    <w:lvl w:ilvl="5" w:tplc="5442E9E2">
      <w:start w:val="1"/>
      <w:numFmt w:val="bullet"/>
      <w:lvlText w:val="■"/>
      <w:lvlJc w:val="left"/>
      <w:pPr>
        <w:ind w:left="4320" w:hanging="360"/>
      </w:pPr>
    </w:lvl>
    <w:lvl w:ilvl="6" w:tplc="10E8E1F4">
      <w:start w:val="1"/>
      <w:numFmt w:val="bullet"/>
      <w:lvlText w:val="●"/>
      <w:lvlJc w:val="left"/>
      <w:pPr>
        <w:ind w:left="5040" w:hanging="360"/>
      </w:pPr>
    </w:lvl>
    <w:lvl w:ilvl="7" w:tplc="04F2F7DE">
      <w:start w:val="1"/>
      <w:numFmt w:val="bullet"/>
      <w:lvlText w:val="●"/>
      <w:lvlJc w:val="left"/>
      <w:pPr>
        <w:ind w:left="5760" w:hanging="360"/>
      </w:pPr>
    </w:lvl>
    <w:lvl w:ilvl="8" w:tplc="9612D718">
      <w:start w:val="1"/>
      <w:numFmt w:val="bullet"/>
      <w:lvlText w:val="●"/>
      <w:lvlJc w:val="left"/>
      <w:pPr>
        <w:ind w:left="6480" w:hanging="360"/>
      </w:pPr>
    </w:lvl>
  </w:abstractNum>
  <w:num w:numId="1" w16cid:durableId="964968098">
    <w:abstractNumId w:val="1"/>
    <w:lvlOverride w:ilvl="0">
      <w:startOverride w:val="1"/>
    </w:lvlOverride>
  </w:num>
  <w:num w:numId="2" w16cid:durableId="20422470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574"/>
    <w:rsid w:val="001D427C"/>
    <w:rsid w:val="009E1374"/>
    <w:rsid w:val="00A65C49"/>
    <w:rsid w:val="00C35574"/>
    <w:rsid w:val="00FA29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B374E77"/>
  <w15:docId w15:val="{8F3EBC73-6BEE-DF47-998D-EA34BD957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00"/>
      <w:outlineLvl w:val="0"/>
    </w:pPr>
    <w:rPr>
      <w:rFonts w:ascii="Arial" w:eastAsia="Arial" w:hAnsi="Arial" w:cs="Arial"/>
      <w:b/>
      <w:bCs/>
      <w:color w:val="1F3864"/>
      <w:sz w:val="30"/>
      <w:szCs w:val="30"/>
    </w:rPr>
  </w:style>
  <w:style w:type="paragraph" w:styleId="Heading2">
    <w:name w:val="heading 2"/>
    <w:uiPriority w:val="9"/>
    <w:unhideWhenUsed/>
    <w:qFormat/>
    <w:pPr>
      <w:spacing w:before="200" w:after="60"/>
      <w:outlineLvl w:val="1"/>
    </w:pPr>
    <w:rPr>
      <w:rFonts w:ascii="Arial" w:eastAsia="Arial" w:hAnsi="Arial" w:cs="Arial"/>
      <w:b/>
      <w:bCs/>
      <w:color w:val="2E74B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3237</Words>
  <Characters>18456</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GAURAV M</cp:lastModifiedBy>
  <cp:revision>6</cp:revision>
  <dcterms:created xsi:type="dcterms:W3CDTF">2026-04-22T21:51:00Z</dcterms:created>
  <dcterms:modified xsi:type="dcterms:W3CDTF">2026-04-26T14:46:00Z</dcterms:modified>
</cp:coreProperties>
</file>