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Times New Roman" w:hAnsi="Times New Roman"/>
          <w:b/>
          <w:color w:val="000000"/>
          <w:sz w:val="28"/>
        </w:rPr>
        <w:t>RAG Assignment</w:t>
      </w:r>
    </w:p>
    <w:p>
      <w:pPr>
        <w:spacing w:before="20" w:after="40" w:line="260" w:lineRule="exact"/>
      </w:pPr>
      <w:r>
        <w:rPr>
          <w:rFonts w:ascii="Times New Roman" w:hAnsi="Times New Roman"/>
          <w:color w:val="000000"/>
          <w:sz w:val="22"/>
        </w:rPr>
        <w:t>Topic: Baseline Retrieval vs. Cross-Encoder Re-Ranking on the GDPR</w:t>
      </w:r>
    </w:p>
    <w:p>
      <w:pPr>
        <w:spacing w:before="20" w:after="40" w:line="260" w:lineRule="exact"/>
      </w:pPr>
      <w:r>
        <w:rPr>
          <w:rFonts w:ascii="Times New Roman" w:hAnsi="Times New Roman"/>
          <w:color w:val="000000"/>
          <w:sz w:val="22"/>
        </w:rPr>
        <w:t>Student Name: Gaurav Patel</w:t>
      </w:r>
    </w:p>
    <w:p>
      <w:pPr>
        <w:spacing w:before="20" w:after="40" w:line="260" w:lineRule="exact"/>
      </w:pPr>
      <w:r>
        <w:rPr>
          <w:rFonts w:ascii="Times New Roman" w:hAnsi="Times New Roman"/>
          <w:color w:val="000000"/>
          <w:sz w:val="22"/>
        </w:rPr>
        <w:t>Roll Number: 2025201065</w:t>
      </w:r>
    </w:p>
    <w:p>
      <w:pPr>
        <w:spacing w:before="20" w:after="40" w:line="260" w:lineRule="exact"/>
      </w:pPr>
      <w:r>
        <w:rPr>
          <w:rFonts w:ascii="Times New Roman" w:hAnsi="Times New Roman"/>
          <w:color w:val="000000"/>
          <w:sz w:val="22"/>
        </w:rPr>
        <w:t>Course: Large Multimodal Models and Applied NLP</w:t>
      </w:r>
    </w:p>
    <w:p>
      <w:pPr>
        <w:spacing w:before="20" w:after="40" w:line="260" w:lineRule="exact"/>
      </w:pPr>
      <w:r>
        <w:rPr>
          <w:rFonts w:ascii="Times New Roman" w:hAnsi="Times New Roman"/>
          <w:color w:val="000000"/>
          <w:sz w:val="22"/>
        </w:rPr>
        <w:t>Document Analysed: Regulation (EU) 2016/679 (GDPR, 88 pages, 405 chunks)</w:t>
      </w:r>
    </w:p>
    <w:p>
      <w:pPr>
        <w:spacing w:before="20" w:after="40" w:line="260" w:lineRule="exact"/>
      </w:pPr>
      <w:r>
        <w:rPr>
          <w:rFonts w:ascii="Times New Roman" w:hAnsi="Times New Roman"/>
          <w:color w:val="000000"/>
          <w:sz w:val="22"/>
        </w:rPr>
        <w:t>Models Used: bge-small-en-v1.5 (Bi-Encoder), ms-marco-MiniLM-L-6-v2 (Cross-Encoder), qwen/qwen3.8-27b (via Groq API)</w:t>
      </w:r>
    </w:p>
    <w:p>
      <w:pPr>
        <w:spacing w:before="20" w:after="40" w:line="260" w:lineRule="exact"/>
      </w:pPr>
      <w:r>
        <w:rPr>
          <w:rFonts w:ascii="Times New Roman" w:hAnsi="Times New Roman"/>
          <w:color w:val="000000"/>
          <w:sz w:val="22"/>
        </w:rPr>
        <w:t>Repository: https://github.com/GauravPatel369/LMA_A1</w:t>
      </w:r>
    </w:p>
    <w:p>
      <w:pPr>
        <w:spacing w:before="140" w:after="40"/>
      </w:pPr>
      <w:r>
        <w:rPr>
          <w:rFonts w:ascii="Times New Roman" w:hAnsi="Times New Roman"/>
          <w:b/>
          <w:color w:val="000000"/>
          <w:sz w:val="26"/>
        </w:rPr>
        <w:t>1. Architectural Comparison: Bi-Encoder vs. Cross-Encoder</w:t>
      </w:r>
    </w:p>
    <w:p>
      <w:pPr>
        <w:spacing w:before="20" w:after="40" w:line="260" w:lineRule="exact"/>
      </w:pPr>
      <w:r>
        <w:rPr>
          <w:rFonts w:ascii="Times New Roman" w:hAnsi="Times New Roman"/>
          <w:color w:val="000000"/>
          <w:sz w:val="22"/>
        </w:rPr>
        <w:t>A bi-encoder (bge-small-en-v1.5) embeds queries and documents independently into separate dense vectors. Pre-computing document vectors enables fast sub-millisecond similarity search in FAISS (0.07 ms in my runs), but vector compression loses subtle nuances like negations and specific qualifiers.</w:t>
      </w:r>
    </w:p>
    <w:p>
      <w:pPr>
        <w:spacing w:before="20" w:after="40" w:line="260" w:lineRule="exact"/>
      </w:pPr>
      <w:r>
        <w:rPr>
          <w:rFonts w:ascii="Times New Roman" w:hAnsi="Times New Roman"/>
          <w:color w:val="000000"/>
          <w:sz w:val="22"/>
        </w:rPr>
        <w:t>In contrast, a cross-encoder (ms-marco-MiniLM-L-6-v2) processes query-passage pairs jointly with full token-to-token cross-attention. While this accurately captures negations and legal exceptions, evaluating each pair requires a full forward pass (2.38 ms per pair), making it practical only for re-ranking a small candidate shortlist.</w:t>
      </w:r>
    </w:p>
    <w:p>
      <w:pPr>
        <w:spacing w:before="140" w:after="40"/>
      </w:pPr>
      <w:r>
        <w:rPr>
          <w:rFonts w:ascii="Times New Roman" w:hAnsi="Times New Roman"/>
          <w:b/>
          <w:color w:val="000000"/>
          <w:sz w:val="26"/>
        </w:rPr>
        <w:t>2. Dataset Processing and Experimental Setup</w:t>
      </w:r>
    </w:p>
    <w:p>
      <w:pPr>
        <w:spacing w:before="20" w:after="40" w:line="260" w:lineRule="exact"/>
      </w:pPr>
      <w:r>
        <w:rPr>
          <w:rFonts w:ascii="Times New Roman" w:hAnsi="Times New Roman"/>
          <w:color w:val="000000"/>
          <w:sz w:val="22"/>
        </w:rPr>
        <w:t>I evaluated both pipelines on Regulation (EU) 2016/679 (GDPR), which spans 88 pages with 173 recitals and 99 articles.</w:t>
      </w:r>
    </w:p>
    <w:p>
      <w:pPr>
        <w:spacing w:before="20" w:after="40" w:line="260" w:lineRule="exact"/>
      </w:pPr>
      <w:r>
        <w:rPr>
          <w:rFonts w:ascii="Times New Roman" w:hAnsi="Times New Roman"/>
          <w:color w:val="000000"/>
          <w:sz w:val="22"/>
        </w:rPr>
        <w:t>Using pypdf, I extracted text and stripped repeating running headers and footnote citations to avoid false keyword matches. I built a structure-aware chunker using a 220-word sliding window with a 40-word overlap anchored to recital and article boundaries, producing 405 indexed chunks. Pre-indexing self-tests in Section 5 of my notebook confirmed that all recitals and articles were parsed contiguously.</w:t>
      </w:r>
    </w:p>
    <w:p>
      <w:pPr>
        <w:spacing w:before="20" w:after="40" w:line="260" w:lineRule="exact"/>
      </w:pPr>
      <w:r>
        <w:rPr>
          <w:rFonts w:ascii="Times New Roman" w:hAnsi="Times New Roman"/>
          <w:color w:val="000000"/>
          <w:sz w:val="22"/>
        </w:rPr>
        <w:t>Both pipelines run over these identical 405 chunks:</w:t>
      </w:r>
    </w:p>
    <w:p>
      <w:pPr>
        <w:pStyle w:val="ListBullet"/>
        <w:spacing w:before="10" w:after="30" w:line="260" w:lineRule="exact"/>
      </w:pPr>
      <w:r>
        <w:rPr>
          <w:rFonts w:ascii="Times New Roman" w:hAnsi="Times New Roman"/>
          <w:color w:val="000000"/>
          <w:sz w:val="22"/>
        </w:rPr>
        <w:t>Pipeline 1 (Baseline Retrieval): The query is prefixed with the BGE instruction, encoded with bge-small-en-v1.5, and queried against FAISS to retrieve the top 10 candidates. The top 3 are sent to the generator.</w:t>
      </w:r>
    </w:p>
    <w:p>
      <w:pPr>
        <w:pStyle w:val="ListBullet"/>
        <w:spacing w:before="10" w:after="30" w:line="260" w:lineRule="exact"/>
      </w:pPr>
      <w:r>
        <w:rPr>
          <w:rFonts w:ascii="Times New Roman" w:hAnsi="Times New Roman"/>
          <w:color w:val="000000"/>
          <w:sz w:val="22"/>
        </w:rPr>
        <w:t>Pipeline 2 (Re-Ranked Retrieval): The same top 10 candidates are scored with ms-marco-MiniLM-L-6-v2, sorted descending, and the top 3 are sent to the generator.</w:t>
      </w:r>
    </w:p>
    <w:p>
      <w:pPr>
        <w:pStyle w:val="ListBullet"/>
        <w:spacing w:before="10" w:after="30" w:line="260" w:lineRule="exact"/>
      </w:pPr>
      <w:r>
        <w:rPr>
          <w:rFonts w:ascii="Times New Roman" w:hAnsi="Times New Roman"/>
          <w:color w:val="000000"/>
          <w:sz w:val="22"/>
        </w:rPr>
        <w:t>Generation: Both pipelines supply their top 3 chunks to an identical prompt using qwen/qwen3.8-27b on Groq at temperature 0, isolating retrieved context as the sole variable.</w:t>
      </w:r>
    </w:p>
    <w:p>
      <w:pPr>
        <w:spacing w:before="140" w:after="40"/>
      </w:pPr>
      <w:r>
        <w:rPr>
          <w:rFonts w:ascii="Times New Roman" w:hAnsi="Times New Roman"/>
          <w:b/>
          <w:color w:val="000000"/>
          <w:sz w:val="26"/>
        </w:rPr>
        <w:t>3. Rank Shifts and Answer Comparisons</w:t>
      </w:r>
    </w:p>
    <w:p>
      <w:pPr>
        <w:spacing w:before="20" w:after="40" w:line="260" w:lineRule="exact"/>
      </w:pPr>
      <w:r>
        <w:rPr>
          <w:rFonts w:ascii="Times New Roman" w:hAnsi="Times New Roman"/>
          <w:color w:val="000000"/>
          <w:sz w:val="22"/>
        </w:rPr>
        <w:t>Across 14 test queries (12 failure probes and 2 controls), Recall at 3 improved from 7/14 (50%) in the baseline to 9/14 (64.3%) after re-ranking, against a Stage 1 ceiling (Recall at 10) of 12/14 (85.7%).</w:t>
      </w:r>
    </w:p>
    <w:p>
      <w:pPr>
        <w:spacing w:before="100" w:after="40"/>
      </w:pPr>
      <w:r>
        <w:rPr>
          <w:rFonts w:ascii="Times New Roman" w:hAnsi="Times New Roman"/>
          <w:b/>
          <w:color w:val="000000"/>
          <w:sz w:val="24"/>
        </w:rPr>
        <w:t>Query Rank Shift Summary:</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2074"/>
        <w:gridCol w:w="2074"/>
        <w:gridCol w:w="2074"/>
        <w:gridCol w:w="2074"/>
        <w:gridCol w:w="2074"/>
      </w:tblGrid>
      <w:tr>
        <w:tc>
          <w:tcPr>
            <w:tcW w:type="dxa" w:w="2074"/>
          </w:tcPr>
          <w:p>
            <w:pPr>
              <w:spacing w:before="30" w:after="30" w:line="240" w:lineRule="exact"/>
            </w:pPr>
            <w:r>
              <w:rPr>
                <w:rFonts w:ascii="Times New Roman" w:hAnsi="Times New Roman"/>
                <w:b/>
                <w:color w:val="000000"/>
                <w:sz w:val="21"/>
              </w:rPr>
              <w:t>Query</w:t>
            </w:r>
          </w:p>
        </w:tc>
        <w:tc>
          <w:tcPr>
            <w:tcW w:type="dxa" w:w="2074"/>
          </w:tcPr>
          <w:p>
            <w:pPr>
              <w:spacing w:before="30" w:after="30" w:line="240" w:lineRule="exact"/>
            </w:pPr>
            <w:r>
              <w:rPr>
                <w:rFonts w:ascii="Times New Roman" w:hAnsi="Times New Roman"/>
                <w:b/>
                <w:color w:val="000000"/>
                <w:sz w:val="21"/>
              </w:rPr>
              <w:t>Target Provision</w:t>
            </w:r>
          </w:p>
        </w:tc>
        <w:tc>
          <w:tcPr>
            <w:tcW w:type="dxa" w:w="2074"/>
          </w:tcPr>
          <w:p>
            <w:pPr>
              <w:spacing w:before="30" w:after="30" w:line="240" w:lineRule="exact"/>
            </w:pPr>
            <w:r>
              <w:rPr>
                <w:rFonts w:ascii="Times New Roman" w:hAnsi="Times New Roman"/>
                <w:b/>
                <w:color w:val="000000"/>
                <w:sz w:val="21"/>
              </w:rPr>
              <w:t>Baseline Rank</w:t>
            </w:r>
          </w:p>
        </w:tc>
        <w:tc>
          <w:tcPr>
            <w:tcW w:type="dxa" w:w="2074"/>
          </w:tcPr>
          <w:p>
            <w:pPr>
              <w:spacing w:before="30" w:after="30" w:line="240" w:lineRule="exact"/>
            </w:pPr>
            <w:r>
              <w:rPr>
                <w:rFonts w:ascii="Times New Roman" w:hAnsi="Times New Roman"/>
                <w:b/>
                <w:color w:val="000000"/>
                <w:sz w:val="21"/>
              </w:rPr>
              <w:t>Re-Ranked Rank</w:t>
            </w:r>
          </w:p>
        </w:tc>
        <w:tc>
          <w:tcPr>
            <w:tcW w:type="dxa" w:w="2074"/>
          </w:tcPr>
          <w:p>
            <w:pPr>
              <w:spacing w:before="30" w:after="30" w:line="240" w:lineRule="exact"/>
            </w:pPr>
            <w:r>
              <w:rPr>
                <w:rFonts w:ascii="Times New Roman" w:hAnsi="Times New Roman"/>
                <w:b/>
                <w:color w:val="000000"/>
                <w:sz w:val="21"/>
              </w:rPr>
              <w:t>Net Result</w:t>
            </w:r>
          </w:p>
        </w:tc>
      </w:tr>
      <w:tr>
        <w:tc>
          <w:tcPr>
            <w:tcW w:type="dxa" w:w="2074"/>
          </w:tcPr>
          <w:p>
            <w:pPr>
              <w:spacing w:before="30" w:after="30" w:line="240" w:lineRule="exact"/>
            </w:pPr>
            <w:r>
              <w:rPr>
                <w:rFonts w:ascii="Times New Roman" w:hAnsi="Times New Roman"/>
                <w:color w:val="000000"/>
                <w:sz w:val="21"/>
              </w:rPr>
              <w:t>Q1 Automated loan refusal (negation/jargon)</w:t>
            </w:r>
          </w:p>
        </w:tc>
        <w:tc>
          <w:tcPr>
            <w:tcW w:type="dxa" w:w="2074"/>
          </w:tcPr>
          <w:p>
            <w:pPr>
              <w:spacing w:before="30" w:after="30" w:line="240" w:lineRule="exact"/>
            </w:pPr>
            <w:r>
              <w:rPr>
                <w:rFonts w:ascii="Times New Roman" w:hAnsi="Times New Roman"/>
                <w:color w:val="000000"/>
                <w:sz w:val="21"/>
              </w:rPr>
              <w:t>Recital 71</w:t>
            </w:r>
          </w:p>
        </w:tc>
        <w:tc>
          <w:tcPr>
            <w:tcW w:type="dxa" w:w="2074"/>
          </w:tcPr>
          <w:p>
            <w:pPr>
              <w:spacing w:before="30" w:after="30" w:line="240" w:lineRule="exact"/>
            </w:pPr>
            <w:r>
              <w:rPr>
                <w:rFonts w:ascii="Times New Roman" w:hAnsi="Times New Roman"/>
                <w:color w:val="000000"/>
                <w:sz w:val="21"/>
              </w:rPr>
              <w:t>Rank 4</w:t>
            </w:r>
          </w:p>
        </w:tc>
        <w:tc>
          <w:tcPr>
            <w:tcW w:type="dxa" w:w="2074"/>
          </w:tcPr>
          <w:p>
            <w:pPr>
              <w:spacing w:before="30" w:after="30" w:line="240" w:lineRule="exact"/>
            </w:pPr>
            <w:r>
              <w:rPr>
                <w:rFonts w:ascii="Times New Roman" w:hAnsi="Times New Roman"/>
                <w:color w:val="000000"/>
                <w:sz w:val="21"/>
              </w:rPr>
              <w:t>Rank 1</w:t>
            </w:r>
          </w:p>
        </w:tc>
        <w:tc>
          <w:tcPr>
            <w:tcW w:type="dxa" w:w="2074"/>
          </w:tcPr>
          <w:p>
            <w:pPr>
              <w:spacing w:before="30" w:after="30" w:line="240" w:lineRule="exact"/>
            </w:pPr>
            <w:r>
              <w:rPr>
                <w:rFonts w:ascii="Times New Roman" w:hAnsi="Times New Roman"/>
                <w:color w:val="000000"/>
                <w:sz w:val="21"/>
              </w:rPr>
              <w:t>Rescued into top 3</w:t>
            </w:r>
          </w:p>
        </w:tc>
      </w:tr>
      <w:tr>
        <w:tc>
          <w:tcPr>
            <w:tcW w:type="dxa" w:w="2074"/>
          </w:tcPr>
          <w:p>
            <w:pPr>
              <w:spacing w:before="30" w:after="30" w:line="240" w:lineRule="exact"/>
            </w:pPr>
            <w:r>
              <w:rPr>
                <w:rFonts w:ascii="Times New Roman" w:hAnsi="Times New Roman"/>
                <w:color w:val="000000"/>
                <w:sz w:val="21"/>
              </w:rPr>
              <w:t>Q2 Tell individuals about breach (keyword trap)</w:t>
            </w:r>
          </w:p>
        </w:tc>
        <w:tc>
          <w:tcPr>
            <w:tcW w:type="dxa" w:w="2074"/>
          </w:tcPr>
          <w:p>
            <w:pPr>
              <w:spacing w:before="30" w:after="30" w:line="240" w:lineRule="exact"/>
            </w:pPr>
            <w:r>
              <w:rPr>
                <w:rFonts w:ascii="Times New Roman" w:hAnsi="Times New Roman"/>
                <w:color w:val="000000"/>
                <w:sz w:val="21"/>
              </w:rPr>
              <w:t>Article 34</w:t>
            </w:r>
          </w:p>
        </w:tc>
        <w:tc>
          <w:tcPr>
            <w:tcW w:type="dxa" w:w="2074"/>
          </w:tcPr>
          <w:p>
            <w:pPr>
              <w:spacing w:before="30" w:after="30" w:line="240" w:lineRule="exact"/>
            </w:pPr>
            <w:r>
              <w:rPr>
                <w:rFonts w:ascii="Times New Roman" w:hAnsi="Times New Roman"/>
                <w:color w:val="000000"/>
                <w:sz w:val="21"/>
              </w:rPr>
              <w:t>Rank 5</w:t>
            </w:r>
          </w:p>
        </w:tc>
        <w:tc>
          <w:tcPr>
            <w:tcW w:type="dxa" w:w="2074"/>
          </w:tcPr>
          <w:p>
            <w:pPr>
              <w:spacing w:before="30" w:after="30" w:line="240" w:lineRule="exact"/>
            </w:pPr>
            <w:r>
              <w:rPr>
                <w:rFonts w:ascii="Times New Roman" w:hAnsi="Times New Roman"/>
                <w:color w:val="000000"/>
                <w:sz w:val="21"/>
              </w:rPr>
              <w:t>Rank 2</w:t>
            </w:r>
          </w:p>
        </w:tc>
        <w:tc>
          <w:tcPr>
            <w:tcW w:type="dxa" w:w="2074"/>
          </w:tcPr>
          <w:p>
            <w:pPr>
              <w:spacing w:before="30" w:after="30" w:line="240" w:lineRule="exact"/>
            </w:pPr>
            <w:r>
              <w:rPr>
                <w:rFonts w:ascii="Times New Roman" w:hAnsi="Times New Roman"/>
                <w:color w:val="000000"/>
                <w:sz w:val="21"/>
              </w:rPr>
              <w:t>Rescued into top 3</w:t>
            </w:r>
          </w:p>
        </w:tc>
      </w:tr>
      <w:tr>
        <w:tc>
          <w:tcPr>
            <w:tcW w:type="dxa" w:w="2074"/>
          </w:tcPr>
          <w:p>
            <w:pPr>
              <w:spacing w:before="30" w:after="30" w:line="240" w:lineRule="exact"/>
            </w:pPr>
            <w:r>
              <w:rPr>
                <w:rFonts w:ascii="Times New Roman" w:hAnsi="Times New Roman"/>
                <w:color w:val="000000"/>
                <w:sz w:val="21"/>
              </w:rPr>
              <w:t>Q3 Two companies decide data use jointly</w:t>
            </w:r>
          </w:p>
        </w:tc>
        <w:tc>
          <w:tcPr>
            <w:tcW w:type="dxa" w:w="2074"/>
          </w:tcPr>
          <w:p>
            <w:pPr>
              <w:spacing w:before="30" w:after="30" w:line="240" w:lineRule="exact"/>
            </w:pPr>
            <w:r>
              <w:rPr>
                <w:rFonts w:ascii="Times New Roman" w:hAnsi="Times New Roman"/>
                <w:color w:val="000000"/>
                <w:sz w:val="21"/>
              </w:rPr>
              <w:t>Article 26</w:t>
            </w:r>
          </w:p>
        </w:tc>
        <w:tc>
          <w:tcPr>
            <w:tcW w:type="dxa" w:w="2074"/>
          </w:tcPr>
          <w:p>
            <w:pPr>
              <w:spacing w:before="30" w:after="30" w:line="240" w:lineRule="exact"/>
            </w:pPr>
            <w:r>
              <w:rPr>
                <w:rFonts w:ascii="Times New Roman" w:hAnsi="Times New Roman"/>
                <w:color w:val="000000"/>
                <w:sz w:val="21"/>
              </w:rPr>
              <w:t>Rank 8</w:t>
            </w:r>
          </w:p>
        </w:tc>
        <w:tc>
          <w:tcPr>
            <w:tcW w:type="dxa" w:w="2074"/>
          </w:tcPr>
          <w:p>
            <w:pPr>
              <w:spacing w:before="30" w:after="30" w:line="240" w:lineRule="exact"/>
            </w:pPr>
            <w:r>
              <w:rPr>
                <w:rFonts w:ascii="Times New Roman" w:hAnsi="Times New Roman"/>
                <w:color w:val="000000"/>
                <w:sz w:val="21"/>
              </w:rPr>
              <w:t>Rank 1</w:t>
            </w:r>
          </w:p>
        </w:tc>
        <w:tc>
          <w:tcPr>
            <w:tcW w:type="dxa" w:w="2074"/>
          </w:tcPr>
          <w:p>
            <w:pPr>
              <w:spacing w:before="30" w:after="30" w:line="240" w:lineRule="exact"/>
            </w:pPr>
            <w:r>
              <w:rPr>
                <w:rFonts w:ascii="Times New Roman" w:hAnsi="Times New Roman"/>
                <w:color w:val="000000"/>
                <w:sz w:val="21"/>
              </w:rPr>
              <w:t>Rescued into top 3</w:t>
            </w:r>
          </w:p>
        </w:tc>
      </w:tr>
      <w:tr>
        <w:tc>
          <w:tcPr>
            <w:tcW w:type="dxa" w:w="2074"/>
          </w:tcPr>
          <w:p>
            <w:pPr>
              <w:spacing w:before="30" w:after="30" w:line="240" w:lineRule="exact"/>
            </w:pPr>
            <w:r>
              <w:rPr>
                <w:rFonts w:ascii="Times New Roman" w:hAnsi="Times New Roman"/>
                <w:color w:val="000000"/>
                <w:sz w:val="21"/>
              </w:rPr>
              <w:t>Q4 Privacy built into design</w:t>
            </w:r>
          </w:p>
        </w:tc>
        <w:tc>
          <w:tcPr>
            <w:tcW w:type="dxa" w:w="2074"/>
          </w:tcPr>
          <w:p>
            <w:pPr>
              <w:spacing w:before="30" w:after="30" w:line="240" w:lineRule="exact"/>
            </w:pPr>
            <w:r>
              <w:rPr>
                <w:rFonts w:ascii="Times New Roman" w:hAnsi="Times New Roman"/>
                <w:color w:val="000000"/>
                <w:sz w:val="21"/>
              </w:rPr>
              <w:t>Article 25</w:t>
            </w:r>
          </w:p>
        </w:tc>
        <w:tc>
          <w:tcPr>
            <w:tcW w:type="dxa" w:w="2074"/>
          </w:tcPr>
          <w:p>
            <w:pPr>
              <w:spacing w:before="30" w:after="30" w:line="240" w:lineRule="exact"/>
            </w:pPr>
            <w:r>
              <w:rPr>
                <w:rFonts w:ascii="Times New Roman" w:hAnsi="Times New Roman"/>
                <w:color w:val="000000"/>
                <w:sz w:val="21"/>
              </w:rPr>
              <w:t>Rank 4</w:t>
            </w:r>
          </w:p>
        </w:tc>
        <w:tc>
          <w:tcPr>
            <w:tcW w:type="dxa" w:w="2074"/>
          </w:tcPr>
          <w:p>
            <w:pPr>
              <w:spacing w:before="30" w:after="30" w:line="240" w:lineRule="exact"/>
            </w:pPr>
            <w:r>
              <w:rPr>
                <w:rFonts w:ascii="Times New Roman" w:hAnsi="Times New Roman"/>
                <w:color w:val="000000"/>
                <w:sz w:val="21"/>
              </w:rPr>
              <w:t>Rank 7</w:t>
            </w:r>
          </w:p>
        </w:tc>
        <w:tc>
          <w:tcPr>
            <w:tcW w:type="dxa" w:w="2074"/>
          </w:tcPr>
          <w:p>
            <w:pPr>
              <w:spacing w:before="30" w:after="30" w:line="240" w:lineRule="exact"/>
            </w:pPr>
            <w:r>
              <w:rPr>
                <w:rFonts w:ascii="Times New Roman" w:hAnsi="Times New Roman"/>
                <w:color w:val="000000"/>
                <w:sz w:val="21"/>
              </w:rPr>
              <w:t>Remained outside top 3</w:t>
            </w:r>
          </w:p>
        </w:tc>
      </w:tr>
      <w:tr>
        <w:tc>
          <w:tcPr>
            <w:tcW w:type="dxa" w:w="2074"/>
          </w:tcPr>
          <w:p>
            <w:pPr>
              <w:spacing w:before="30" w:after="30" w:line="240" w:lineRule="exact"/>
            </w:pPr>
            <w:r>
              <w:rPr>
                <w:rFonts w:ascii="Times New Roman" w:hAnsi="Times New Roman"/>
                <w:color w:val="000000"/>
                <w:sz w:val="21"/>
              </w:rPr>
              <w:t>Q5 Contract terms with data processor</w:t>
            </w:r>
          </w:p>
        </w:tc>
        <w:tc>
          <w:tcPr>
            <w:tcW w:type="dxa" w:w="2074"/>
          </w:tcPr>
          <w:p>
            <w:pPr>
              <w:spacing w:before="30" w:after="30" w:line="240" w:lineRule="exact"/>
            </w:pPr>
            <w:r>
              <w:rPr>
                <w:rFonts w:ascii="Times New Roman" w:hAnsi="Times New Roman"/>
                <w:color w:val="000000"/>
                <w:sz w:val="21"/>
              </w:rPr>
              <w:t>Article 28</w:t>
            </w:r>
          </w:p>
        </w:tc>
        <w:tc>
          <w:tcPr>
            <w:tcW w:type="dxa" w:w="2074"/>
          </w:tcPr>
          <w:p>
            <w:pPr>
              <w:spacing w:before="30" w:after="30" w:line="240" w:lineRule="exact"/>
            </w:pPr>
            <w:r>
              <w:rPr>
                <w:rFonts w:ascii="Times New Roman" w:hAnsi="Times New Roman"/>
                <w:color w:val="000000"/>
                <w:sz w:val="21"/>
              </w:rPr>
              <w:t>Rank 6</w:t>
            </w:r>
          </w:p>
        </w:tc>
        <w:tc>
          <w:tcPr>
            <w:tcW w:type="dxa" w:w="2074"/>
          </w:tcPr>
          <w:p>
            <w:pPr>
              <w:spacing w:before="30" w:after="30" w:line="240" w:lineRule="exact"/>
            </w:pPr>
            <w:r>
              <w:rPr>
                <w:rFonts w:ascii="Times New Roman" w:hAnsi="Times New Roman"/>
                <w:color w:val="000000"/>
                <w:sz w:val="21"/>
              </w:rPr>
              <w:t>Rank 7</w:t>
            </w:r>
          </w:p>
        </w:tc>
        <w:tc>
          <w:tcPr>
            <w:tcW w:type="dxa" w:w="2074"/>
          </w:tcPr>
          <w:p>
            <w:pPr>
              <w:spacing w:before="30" w:after="30" w:line="240" w:lineRule="exact"/>
            </w:pPr>
            <w:r>
              <w:rPr>
                <w:rFonts w:ascii="Times New Roman" w:hAnsi="Times New Roman"/>
                <w:color w:val="000000"/>
                <w:sz w:val="21"/>
              </w:rPr>
              <w:t>Remained outside top 3</w:t>
            </w:r>
          </w:p>
        </w:tc>
      </w:tr>
      <w:tr>
        <w:tc>
          <w:tcPr>
            <w:tcW w:type="dxa" w:w="2074"/>
          </w:tcPr>
          <w:p>
            <w:pPr>
              <w:spacing w:before="30" w:after="30" w:line="240" w:lineRule="exact"/>
            </w:pPr>
            <w:r>
              <w:rPr>
                <w:rFonts w:ascii="Times New Roman" w:hAnsi="Times New Roman"/>
                <w:color w:val="000000"/>
                <w:sz w:val="21"/>
              </w:rPr>
              <w:t>Q6 Duration allowed to keep records</w:t>
            </w:r>
          </w:p>
        </w:tc>
        <w:tc>
          <w:tcPr>
            <w:tcW w:type="dxa" w:w="2074"/>
          </w:tcPr>
          <w:p>
            <w:pPr>
              <w:spacing w:before="30" w:after="30" w:line="240" w:lineRule="exact"/>
            </w:pPr>
            <w:r>
              <w:rPr>
                <w:rFonts w:ascii="Times New Roman" w:hAnsi="Times New Roman"/>
                <w:color w:val="000000"/>
                <w:sz w:val="21"/>
              </w:rPr>
              <w:t>Article 5(1)(e)</w:t>
            </w:r>
          </w:p>
        </w:tc>
        <w:tc>
          <w:tcPr>
            <w:tcW w:type="dxa" w:w="2074"/>
          </w:tcPr>
          <w:p>
            <w:pPr>
              <w:spacing w:before="30" w:after="30" w:line="240" w:lineRule="exact"/>
            </w:pPr>
            <w:r>
              <w:rPr>
                <w:rFonts w:ascii="Times New Roman" w:hAnsi="Times New Roman"/>
                <w:color w:val="000000"/>
                <w:sz w:val="21"/>
              </w:rPr>
              <w:t>Rank 1</w:t>
            </w:r>
          </w:p>
        </w:tc>
        <w:tc>
          <w:tcPr>
            <w:tcW w:type="dxa" w:w="2074"/>
          </w:tcPr>
          <w:p>
            <w:pPr>
              <w:spacing w:before="30" w:after="30" w:line="240" w:lineRule="exact"/>
            </w:pPr>
            <w:r>
              <w:rPr>
                <w:rFonts w:ascii="Times New Roman" w:hAnsi="Times New Roman"/>
                <w:color w:val="000000"/>
                <w:sz w:val="21"/>
              </w:rPr>
              <w:t>Rank 4</w:t>
            </w:r>
          </w:p>
        </w:tc>
        <w:tc>
          <w:tcPr>
            <w:tcW w:type="dxa" w:w="2074"/>
          </w:tcPr>
          <w:p>
            <w:pPr>
              <w:spacing w:before="30" w:after="30" w:line="240" w:lineRule="exact"/>
            </w:pPr>
            <w:r>
              <w:rPr>
                <w:rFonts w:ascii="Times New Roman" w:hAnsi="Times New Roman"/>
                <w:color w:val="000000"/>
                <w:sz w:val="21"/>
              </w:rPr>
              <w:t>Regressed out of top 3</w:t>
            </w:r>
          </w:p>
        </w:tc>
      </w:tr>
      <w:tr>
        <w:tc>
          <w:tcPr>
            <w:tcW w:type="dxa" w:w="2074"/>
          </w:tcPr>
          <w:p>
            <w:pPr>
              <w:spacing w:before="30" w:after="30" w:line="240" w:lineRule="exact"/>
            </w:pPr>
            <w:r>
              <w:rPr>
                <w:rFonts w:ascii="Times New Roman" w:hAnsi="Times New Roman"/>
                <w:color w:val="000000"/>
                <w:sz w:val="21"/>
              </w:rPr>
              <w:t>Q7 Technical measures against database theft</w:t>
            </w:r>
          </w:p>
        </w:tc>
        <w:tc>
          <w:tcPr>
            <w:tcW w:type="dxa" w:w="2074"/>
          </w:tcPr>
          <w:p>
            <w:pPr>
              <w:spacing w:before="30" w:after="30" w:line="240" w:lineRule="exact"/>
            </w:pPr>
            <w:r>
              <w:rPr>
                <w:rFonts w:ascii="Times New Roman" w:hAnsi="Times New Roman"/>
                <w:color w:val="000000"/>
                <w:sz w:val="21"/>
              </w:rPr>
              <w:t>Article 32</w:t>
            </w:r>
          </w:p>
        </w:tc>
        <w:tc>
          <w:tcPr>
            <w:tcW w:type="dxa" w:w="2074"/>
          </w:tcPr>
          <w:p>
            <w:pPr>
              <w:spacing w:before="30" w:after="30" w:line="240" w:lineRule="exact"/>
            </w:pPr>
            <w:r>
              <w:rPr>
                <w:rFonts w:ascii="Times New Roman" w:hAnsi="Times New Roman"/>
                <w:color w:val="000000"/>
                <w:sz w:val="21"/>
              </w:rPr>
              <w:t>Not in top 10</w:t>
            </w:r>
          </w:p>
        </w:tc>
        <w:tc>
          <w:tcPr>
            <w:tcW w:type="dxa" w:w="2074"/>
          </w:tcPr>
          <w:p>
            <w:pPr>
              <w:spacing w:before="30" w:after="30" w:line="240" w:lineRule="exact"/>
            </w:pPr>
            <w:r>
              <w:rPr>
                <w:rFonts w:ascii="Times New Roman" w:hAnsi="Times New Roman"/>
                <w:color w:val="000000"/>
                <w:sz w:val="21"/>
              </w:rPr>
              <w:t>Not in top 10</w:t>
            </w:r>
          </w:p>
        </w:tc>
        <w:tc>
          <w:tcPr>
            <w:tcW w:type="dxa" w:w="2074"/>
          </w:tcPr>
          <w:p>
            <w:pPr>
              <w:spacing w:before="30" w:after="30" w:line="240" w:lineRule="exact"/>
            </w:pPr>
            <w:r>
              <w:rPr>
                <w:rFonts w:ascii="Times New Roman" w:hAnsi="Times New Roman"/>
                <w:color w:val="000000"/>
                <w:sz w:val="21"/>
              </w:rPr>
              <w:t>Missed by Stage 1</w:t>
            </w:r>
          </w:p>
        </w:tc>
      </w:tr>
      <w:tr>
        <w:tc>
          <w:tcPr>
            <w:tcW w:type="dxa" w:w="2074"/>
          </w:tcPr>
          <w:p>
            <w:pPr>
              <w:spacing w:before="30" w:after="30" w:line="240" w:lineRule="exact"/>
            </w:pPr>
            <w:r>
              <w:rPr>
                <w:rFonts w:ascii="Times New Roman" w:hAnsi="Times New Roman"/>
                <w:color w:val="000000"/>
                <w:sz w:val="21"/>
              </w:rPr>
              <w:t>Q8 Foreign court demanding European data</w:t>
            </w:r>
          </w:p>
        </w:tc>
        <w:tc>
          <w:tcPr>
            <w:tcW w:type="dxa" w:w="2074"/>
          </w:tcPr>
          <w:p>
            <w:pPr>
              <w:spacing w:before="30" w:after="30" w:line="240" w:lineRule="exact"/>
            </w:pPr>
            <w:r>
              <w:rPr>
                <w:rFonts w:ascii="Times New Roman" w:hAnsi="Times New Roman"/>
                <w:color w:val="000000"/>
                <w:sz w:val="21"/>
              </w:rPr>
              <w:t>Article 48</w:t>
            </w:r>
          </w:p>
        </w:tc>
        <w:tc>
          <w:tcPr>
            <w:tcW w:type="dxa" w:w="2074"/>
          </w:tcPr>
          <w:p>
            <w:pPr>
              <w:spacing w:before="30" w:after="30" w:line="240" w:lineRule="exact"/>
            </w:pPr>
            <w:r>
              <w:rPr>
                <w:rFonts w:ascii="Times New Roman" w:hAnsi="Times New Roman"/>
                <w:color w:val="000000"/>
                <w:sz w:val="21"/>
              </w:rPr>
              <w:t>Not in top 10</w:t>
            </w:r>
          </w:p>
        </w:tc>
        <w:tc>
          <w:tcPr>
            <w:tcW w:type="dxa" w:w="2074"/>
          </w:tcPr>
          <w:p>
            <w:pPr>
              <w:spacing w:before="30" w:after="30" w:line="240" w:lineRule="exact"/>
            </w:pPr>
            <w:r>
              <w:rPr>
                <w:rFonts w:ascii="Times New Roman" w:hAnsi="Times New Roman"/>
                <w:color w:val="000000"/>
                <w:sz w:val="21"/>
              </w:rPr>
              <w:t>Not in top 10</w:t>
            </w:r>
          </w:p>
        </w:tc>
        <w:tc>
          <w:tcPr>
            <w:tcW w:type="dxa" w:w="2074"/>
          </w:tcPr>
          <w:p>
            <w:pPr>
              <w:spacing w:before="30" w:after="30" w:line="240" w:lineRule="exact"/>
            </w:pPr>
            <w:r>
              <w:rPr>
                <w:rFonts w:ascii="Times New Roman" w:hAnsi="Times New Roman"/>
                <w:color w:val="000000"/>
                <w:sz w:val="21"/>
              </w:rPr>
              <w:t>Missed by Stage 1</w:t>
            </w:r>
          </w:p>
        </w:tc>
      </w:tr>
      <w:tr>
        <w:tc>
          <w:tcPr>
            <w:tcW w:type="dxa" w:w="2074"/>
          </w:tcPr>
          <w:p>
            <w:pPr>
              <w:spacing w:before="30" w:after="30" w:line="240" w:lineRule="exact"/>
            </w:pPr>
            <w:r>
              <w:rPr>
                <w:rFonts w:ascii="Times New Roman" w:hAnsi="Times New Roman"/>
                <w:color w:val="000000"/>
                <w:sz w:val="21"/>
              </w:rPr>
              <w:t>C1 Maximum administrative fine (Control)</w:t>
            </w:r>
          </w:p>
        </w:tc>
        <w:tc>
          <w:tcPr>
            <w:tcW w:type="dxa" w:w="2074"/>
          </w:tcPr>
          <w:p>
            <w:pPr>
              <w:spacing w:before="30" w:after="30" w:line="240" w:lineRule="exact"/>
            </w:pPr>
            <w:r>
              <w:rPr>
                <w:rFonts w:ascii="Times New Roman" w:hAnsi="Times New Roman"/>
                <w:color w:val="000000"/>
                <w:sz w:val="21"/>
              </w:rPr>
              <w:t>Article 83</w:t>
            </w:r>
          </w:p>
        </w:tc>
        <w:tc>
          <w:tcPr>
            <w:tcW w:type="dxa" w:w="2074"/>
          </w:tcPr>
          <w:p>
            <w:pPr>
              <w:spacing w:before="30" w:after="30" w:line="240" w:lineRule="exact"/>
            </w:pPr>
            <w:r>
              <w:rPr>
                <w:rFonts w:ascii="Times New Roman" w:hAnsi="Times New Roman"/>
                <w:color w:val="000000"/>
                <w:sz w:val="21"/>
              </w:rPr>
              <w:t>Rank 1</w:t>
            </w:r>
          </w:p>
        </w:tc>
        <w:tc>
          <w:tcPr>
            <w:tcW w:type="dxa" w:w="2074"/>
          </w:tcPr>
          <w:p>
            <w:pPr>
              <w:spacing w:before="30" w:after="30" w:line="240" w:lineRule="exact"/>
            </w:pPr>
            <w:r>
              <w:rPr>
                <w:rFonts w:ascii="Times New Roman" w:hAnsi="Times New Roman"/>
                <w:color w:val="000000"/>
                <w:sz w:val="21"/>
              </w:rPr>
              <w:t>Rank 1</w:t>
            </w:r>
          </w:p>
        </w:tc>
        <w:tc>
          <w:tcPr>
            <w:tcW w:type="dxa" w:w="2074"/>
          </w:tcPr>
          <w:p>
            <w:pPr>
              <w:spacing w:before="30" w:after="30" w:line="240" w:lineRule="exact"/>
            </w:pPr>
            <w:r>
              <w:rPr>
                <w:rFonts w:ascii="Times New Roman" w:hAnsi="Times New Roman"/>
                <w:color w:val="000000"/>
                <w:sz w:val="21"/>
              </w:rPr>
              <w:t>Retained at Rank 1</w:t>
            </w:r>
          </w:p>
        </w:tc>
      </w:tr>
      <w:tr>
        <w:tc>
          <w:tcPr>
            <w:tcW w:type="dxa" w:w="2074"/>
          </w:tcPr>
          <w:p>
            <w:pPr>
              <w:spacing w:before="30" w:after="30" w:line="240" w:lineRule="exact"/>
            </w:pPr>
            <w:r>
              <w:rPr>
                <w:rFonts w:ascii="Times New Roman" w:hAnsi="Times New Roman"/>
                <w:color w:val="000000"/>
                <w:sz w:val="21"/>
              </w:rPr>
              <w:t>C2 Definition of personal data (Control)</w:t>
            </w:r>
          </w:p>
        </w:tc>
        <w:tc>
          <w:tcPr>
            <w:tcW w:type="dxa" w:w="2074"/>
          </w:tcPr>
          <w:p>
            <w:pPr>
              <w:spacing w:before="30" w:after="30" w:line="240" w:lineRule="exact"/>
            </w:pPr>
            <w:r>
              <w:rPr>
                <w:rFonts w:ascii="Times New Roman" w:hAnsi="Times New Roman"/>
                <w:color w:val="000000"/>
                <w:sz w:val="21"/>
              </w:rPr>
              <w:t>Article 4</w:t>
            </w:r>
          </w:p>
        </w:tc>
        <w:tc>
          <w:tcPr>
            <w:tcW w:type="dxa" w:w="2074"/>
          </w:tcPr>
          <w:p>
            <w:pPr>
              <w:spacing w:before="30" w:after="30" w:line="240" w:lineRule="exact"/>
            </w:pPr>
            <w:r>
              <w:rPr>
                <w:rFonts w:ascii="Times New Roman" w:hAnsi="Times New Roman"/>
                <w:color w:val="000000"/>
                <w:sz w:val="21"/>
              </w:rPr>
              <w:t>Rank 1</w:t>
            </w:r>
          </w:p>
        </w:tc>
        <w:tc>
          <w:tcPr>
            <w:tcW w:type="dxa" w:w="2074"/>
          </w:tcPr>
          <w:p>
            <w:pPr>
              <w:spacing w:before="30" w:after="30" w:line="240" w:lineRule="exact"/>
            </w:pPr>
            <w:r>
              <w:rPr>
                <w:rFonts w:ascii="Times New Roman" w:hAnsi="Times New Roman"/>
                <w:color w:val="000000"/>
                <w:sz w:val="21"/>
              </w:rPr>
              <w:t>Rank 1</w:t>
            </w:r>
          </w:p>
        </w:tc>
        <w:tc>
          <w:tcPr>
            <w:tcW w:type="dxa" w:w="2074"/>
          </w:tcPr>
          <w:p>
            <w:pPr>
              <w:spacing w:before="30" w:after="30" w:line="240" w:lineRule="exact"/>
            </w:pPr>
            <w:r>
              <w:rPr>
                <w:rFonts w:ascii="Times New Roman" w:hAnsi="Times New Roman"/>
                <w:color w:val="000000"/>
                <w:sz w:val="21"/>
              </w:rPr>
              <w:t>Retained at Rank 1</w:t>
            </w:r>
          </w:p>
        </w:tc>
      </w:tr>
    </w:tbl>
    <w:p>
      <w:pPr>
        <w:spacing w:before="20" w:after="40" w:line="260" w:lineRule="exact"/>
      </w:pPr>
      <w:r>
        <w:rPr>
          <w:rFonts w:ascii="Times New Roman" w:hAnsi="Times New Roman"/>
          <w:color w:val="000000"/>
          <w:sz w:val="22"/>
        </w:rPr>
        <w:t>Re-ranking rescued 3 out of the 5 queries that had headroom between ranks 4 and 10 (Q1, Q2, and Q3).</w:t>
      </w:r>
    </w:p>
    <w:p>
      <w:pPr>
        <w:spacing w:before="100" w:after="40"/>
      </w:pPr>
      <w:r>
        <w:rPr>
          <w:rFonts w:ascii="Times New Roman" w:hAnsi="Times New Roman"/>
          <w:b/>
          <w:color w:val="000000"/>
          <w:sz w:val="24"/>
        </w:rPr>
        <w:t>Case Q1: Negation and Jargon Gap (Recital 71, Rank 4 to Rank 1)</w:t>
      </w:r>
    </w:p>
    <w:p>
      <w:pPr>
        <w:spacing w:before="20" w:after="40" w:line="260" w:lineRule="exact"/>
      </w:pPr>
      <w:r>
        <w:rPr>
          <w:rFonts w:ascii="Times New Roman" w:hAnsi="Times New Roman"/>
          <w:color w:val="000000"/>
          <w:sz w:val="22"/>
        </w:rPr>
        <w:t>When asking about automated loan refusal without human intervention, the baseline missed the relevant passage because the query used conversational phrasing ("bank loan", "algorithm") while the text uses formal legal terminology ("credit application", "automated processing"). Because Recital 71 sat at rank 4, Answer 1 stated there was insufficient information. The cross-encoder promoted Recital 71 to rank 1 via joint attention, allowing Answer 2 to accurately state the general prohibition and its three statutory exceptions.</w:t>
      </w:r>
    </w:p>
    <w:p>
      <w:pPr>
        <w:spacing w:before="100" w:after="40"/>
      </w:pPr>
      <w:r>
        <w:rPr>
          <w:rFonts w:ascii="Times New Roman" w:hAnsi="Times New Roman"/>
          <w:b/>
          <w:color w:val="000000"/>
          <w:sz w:val="24"/>
        </w:rPr>
        <w:t>Case Q2: Keyword Trap and Missing Exceptions (Article 34, Rank 5 to Rank 2)</w:t>
      </w:r>
    </w:p>
    <w:p>
      <w:pPr>
        <w:spacing w:before="20" w:after="40" w:line="260" w:lineRule="exact"/>
      </w:pPr>
      <w:r>
        <w:rPr>
          <w:rFonts w:ascii="Times New Roman" w:hAnsi="Times New Roman"/>
          <w:color w:val="000000"/>
          <w:sz w:val="22"/>
        </w:rPr>
        <w:t>On Query 2 regarding when individuals must be informed of a data breach, the bi-encoder was distracted by the keyword "breach" and retrieved Article 33 (notifying supervisory authorities) and generic recitals. Answer 1 cited non-binding Recital 86 and omitted the operative rule. The cross-encoder promoted Article 34 from rank 5 to rank 2. Answer 2 correctly identified Article 34(1) and detailed the three statutory exemptions under Article 34(3), including prior encryption.</w:t>
      </w:r>
    </w:p>
    <w:p>
      <w:pPr>
        <w:spacing w:before="100" w:after="40"/>
      </w:pPr>
      <w:r>
        <w:rPr>
          <w:rFonts w:ascii="Times New Roman" w:hAnsi="Times New Roman"/>
          <w:b/>
          <w:color w:val="000000"/>
          <w:sz w:val="24"/>
        </w:rPr>
        <w:t>Case Q3: Buried Clause (Article 26, Rank 8 to Rank 1)</w:t>
      </w:r>
    </w:p>
    <w:p>
      <w:pPr>
        <w:spacing w:before="20" w:after="40" w:line="260" w:lineRule="exact"/>
      </w:pPr>
      <w:r>
        <w:rPr>
          <w:rFonts w:ascii="Times New Roman" w:hAnsi="Times New Roman"/>
          <w:color w:val="000000"/>
          <w:sz w:val="22"/>
        </w:rPr>
        <w:t>For Query 3 on joint data responsibility, the baseline retrieved high-level recitals, leaving Answer 1 vague. The cross-encoder elevated Article 26 from rank 8 to rank 1. Answer 2 supplied the binding statutory obligation: joint controllers must enter into a transparent arrangement determining who responds to data subject access requests under Articles 13 and 14.</w:t>
      </w:r>
    </w:p>
    <w:p>
      <w:pPr>
        <w:spacing w:before="100" w:after="40"/>
      </w:pPr>
      <w:r>
        <w:rPr>
          <w:rFonts w:ascii="Times New Roman" w:hAnsi="Times New Roman"/>
          <w:b/>
          <w:color w:val="000000"/>
          <w:sz w:val="24"/>
        </w:rPr>
        <w:t>Case Q6: The Regression Case (Article 5, Rank 1 to Rank 4)</w:t>
      </w:r>
    </w:p>
    <w:p>
      <w:pPr>
        <w:spacing w:before="20" w:after="40" w:line="260" w:lineRule="exact"/>
      </w:pPr>
      <w:r>
        <w:rPr>
          <w:rFonts w:ascii="Times New Roman" w:hAnsi="Times New Roman"/>
          <w:color w:val="000000"/>
          <w:sz w:val="22"/>
        </w:rPr>
        <w:t>In Query 6 on record retention limits, re-ranking degraded performance. Baseline retrieval placed Article 5(1)(e) at rank 1, producing an accurate summary of storage limitation. The cross-encoder demoted Article 5 to rank 4 in favour of Recitals 137 and 39, which repeated descriptive phrases about time limits. Answer 2 lost the primary statutory citation. This shows that cross-encoders can sometimes favour descriptive phrasing in recitals over concise operative articles.</w:t>
      </w:r>
    </w:p>
    <w:p>
      <w:pPr>
        <w:spacing w:before="100" w:after="40"/>
      </w:pPr>
      <w:r>
        <w:rPr>
          <w:rFonts w:ascii="Times New Roman" w:hAnsi="Times New Roman"/>
          <w:b/>
          <w:color w:val="000000"/>
          <w:sz w:val="24"/>
        </w:rPr>
        <w:t>The Recall Ceiling on Queries 7 and 8</w:t>
      </w:r>
    </w:p>
    <w:p>
      <w:pPr>
        <w:spacing w:before="20" w:after="40" w:line="260" w:lineRule="exact"/>
      </w:pPr>
      <w:r>
        <w:rPr>
          <w:rFonts w:ascii="Times New Roman" w:hAnsi="Times New Roman"/>
          <w:color w:val="000000"/>
          <w:sz w:val="22"/>
        </w:rPr>
        <w:t>For Query 7 (Article 32) and Query 8 (Article 48), the target provisions were absent from the top 10 candidates retrieved by the bi-encoder. Because a cross-encoder only reorders candidates provided by Stage 1, omissions at the initial retrieval stage cannot be recovered.</w:t>
      </w:r>
    </w:p>
    <w:p>
      <w:pPr>
        <w:spacing w:before="140" w:after="40"/>
      </w:pPr>
      <w:r>
        <w:rPr>
          <w:rFonts w:ascii="Times New Roman" w:hAnsi="Times New Roman"/>
          <w:b/>
          <w:color w:val="000000"/>
          <w:sz w:val="26"/>
        </w:rPr>
        <w:t>4. Latency Profiling</w:t>
      </w:r>
    </w:p>
    <w:p>
      <w:pPr>
        <w:spacing w:before="20" w:after="40" w:line="260" w:lineRule="exact"/>
      </w:pPr>
      <w:r>
        <w:rPr>
          <w:rFonts w:ascii="Times New Roman" w:hAnsi="Times New Roman"/>
          <w:color w:val="000000"/>
          <w:sz w:val="22"/>
        </w:rPr>
        <w:t>I measured execution latencies across 10 evaluation runs on a standard CPU runtime, separating local retrieval timings from the remote Groq API generation call.</w:t>
      </w:r>
    </w:p>
    <w:p>
      <w:pPr>
        <w:spacing w:before="100" w:after="40"/>
      </w:pPr>
      <w:r>
        <w:rPr>
          <w:rFonts w:ascii="Times New Roman" w:hAnsi="Times New Roman"/>
          <w:b/>
          <w:color w:val="000000"/>
          <w:sz w:val="24"/>
        </w:rPr>
        <w:t>Stage Latency Summary:</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5184"/>
        <w:gridCol w:w="5184"/>
      </w:tblGrid>
      <w:tr>
        <w:tc>
          <w:tcPr>
            <w:tcW w:type="dxa" w:w="5184"/>
          </w:tcPr>
          <w:p>
            <w:pPr>
              <w:spacing w:before="30" w:after="30" w:line="240" w:lineRule="exact"/>
            </w:pPr>
            <w:r>
              <w:rPr>
                <w:rFonts w:ascii="Times New Roman" w:hAnsi="Times New Roman"/>
                <w:b/>
                <w:color w:val="000000"/>
                <w:sz w:val="21"/>
              </w:rPr>
              <w:t>Stage</w:t>
            </w:r>
          </w:p>
        </w:tc>
        <w:tc>
          <w:tcPr>
            <w:tcW w:type="dxa" w:w="5184"/>
          </w:tcPr>
          <w:p>
            <w:pPr>
              <w:spacing w:before="30" w:after="30" w:line="240" w:lineRule="exact"/>
            </w:pPr>
            <w:r>
              <w:rPr>
                <w:rFonts w:ascii="Times New Roman" w:hAnsi="Times New Roman"/>
                <w:b/>
                <w:color w:val="000000"/>
                <w:sz w:val="21"/>
              </w:rPr>
              <w:t>Median Latency</w:t>
            </w:r>
          </w:p>
        </w:tc>
      </w:tr>
      <w:tr>
        <w:tc>
          <w:tcPr>
            <w:tcW w:type="dxa" w:w="5184"/>
          </w:tcPr>
          <w:p>
            <w:pPr>
              <w:spacing w:before="30" w:after="30" w:line="240" w:lineRule="exact"/>
            </w:pPr>
            <w:r>
              <w:rPr>
                <w:rFonts w:ascii="Times New Roman" w:hAnsi="Times New Roman"/>
                <w:color w:val="000000"/>
                <w:sz w:val="21"/>
              </w:rPr>
              <w:t>Stage 1: Query embedding (bge-small-en-v1.5)</w:t>
            </w:r>
          </w:p>
        </w:tc>
        <w:tc>
          <w:tcPr>
            <w:tcW w:type="dxa" w:w="5184"/>
          </w:tcPr>
          <w:p>
            <w:pPr>
              <w:spacing w:before="30" w:after="30" w:line="240" w:lineRule="exact"/>
            </w:pPr>
            <w:r>
              <w:rPr>
                <w:rFonts w:ascii="Times New Roman" w:hAnsi="Times New Roman"/>
                <w:color w:val="000000"/>
                <w:sz w:val="21"/>
              </w:rPr>
              <w:t>11.60 ms</w:t>
            </w:r>
          </w:p>
        </w:tc>
      </w:tr>
      <w:tr>
        <w:tc>
          <w:tcPr>
            <w:tcW w:type="dxa" w:w="5184"/>
          </w:tcPr>
          <w:p>
            <w:pPr>
              <w:spacing w:before="30" w:after="30" w:line="240" w:lineRule="exact"/>
            </w:pPr>
            <w:r>
              <w:rPr>
                <w:rFonts w:ascii="Times New Roman" w:hAnsi="Times New Roman"/>
                <w:color w:val="000000"/>
                <w:sz w:val="21"/>
              </w:rPr>
              <w:t>Stage 1: FAISS vector search (top 10 over 405 chunks)</w:t>
            </w:r>
          </w:p>
        </w:tc>
        <w:tc>
          <w:tcPr>
            <w:tcW w:type="dxa" w:w="5184"/>
          </w:tcPr>
          <w:p>
            <w:pPr>
              <w:spacing w:before="30" w:after="30" w:line="240" w:lineRule="exact"/>
            </w:pPr>
            <w:r>
              <w:rPr>
                <w:rFonts w:ascii="Times New Roman" w:hAnsi="Times New Roman"/>
                <w:color w:val="000000"/>
                <w:sz w:val="21"/>
              </w:rPr>
              <w:t>0.07 ms</w:t>
            </w:r>
          </w:p>
        </w:tc>
      </w:tr>
      <w:tr>
        <w:tc>
          <w:tcPr>
            <w:tcW w:type="dxa" w:w="5184"/>
          </w:tcPr>
          <w:p>
            <w:pPr>
              <w:spacing w:before="30" w:after="30" w:line="240" w:lineRule="exact"/>
            </w:pPr>
            <w:r>
              <w:rPr>
                <w:rFonts w:ascii="Times New Roman" w:hAnsi="Times New Roman"/>
                <w:color w:val="000000"/>
                <w:sz w:val="21"/>
              </w:rPr>
              <w:t>Pipeline 1 Total (Baseline Retrieval)</w:t>
            </w:r>
          </w:p>
        </w:tc>
        <w:tc>
          <w:tcPr>
            <w:tcW w:type="dxa" w:w="5184"/>
          </w:tcPr>
          <w:p>
            <w:pPr>
              <w:spacing w:before="30" w:after="30" w:line="240" w:lineRule="exact"/>
            </w:pPr>
            <w:r>
              <w:rPr>
                <w:rFonts w:ascii="Times New Roman" w:hAnsi="Times New Roman"/>
                <w:color w:val="000000"/>
                <w:sz w:val="21"/>
              </w:rPr>
              <w:t>11.67 ms</w:t>
            </w:r>
          </w:p>
        </w:tc>
      </w:tr>
      <w:tr>
        <w:tc>
          <w:tcPr>
            <w:tcW w:type="dxa" w:w="5184"/>
          </w:tcPr>
          <w:p>
            <w:pPr>
              <w:spacing w:before="30" w:after="30" w:line="240" w:lineRule="exact"/>
            </w:pPr>
            <w:r>
              <w:rPr>
                <w:rFonts w:ascii="Times New Roman" w:hAnsi="Times New Roman"/>
                <w:color w:val="000000"/>
                <w:sz w:val="21"/>
              </w:rPr>
              <w:t>Stage 2: Cross-encoder re-ranking (10 candidate pairs)</w:t>
            </w:r>
          </w:p>
        </w:tc>
        <w:tc>
          <w:tcPr>
            <w:tcW w:type="dxa" w:w="5184"/>
          </w:tcPr>
          <w:p>
            <w:pPr>
              <w:spacing w:before="30" w:after="30" w:line="240" w:lineRule="exact"/>
            </w:pPr>
            <w:r>
              <w:rPr>
                <w:rFonts w:ascii="Times New Roman" w:hAnsi="Times New Roman"/>
                <w:color w:val="000000"/>
                <w:sz w:val="21"/>
              </w:rPr>
              <w:t>23.77 ms</w:t>
            </w:r>
          </w:p>
        </w:tc>
      </w:tr>
      <w:tr>
        <w:tc>
          <w:tcPr>
            <w:tcW w:type="dxa" w:w="5184"/>
          </w:tcPr>
          <w:p>
            <w:pPr>
              <w:spacing w:before="30" w:after="30" w:line="240" w:lineRule="exact"/>
            </w:pPr>
            <w:r>
              <w:rPr>
                <w:rFonts w:ascii="Times New Roman" w:hAnsi="Times New Roman"/>
                <w:color w:val="000000"/>
                <w:sz w:val="21"/>
              </w:rPr>
              <w:t>(Average cost per candidate pair)</w:t>
            </w:r>
          </w:p>
        </w:tc>
        <w:tc>
          <w:tcPr>
            <w:tcW w:type="dxa" w:w="5184"/>
          </w:tcPr>
          <w:p>
            <w:pPr>
              <w:spacing w:before="30" w:after="30" w:line="240" w:lineRule="exact"/>
            </w:pPr>
            <w:r>
              <w:rPr>
                <w:rFonts w:ascii="Times New Roman" w:hAnsi="Times New Roman"/>
                <w:color w:val="000000"/>
                <w:sz w:val="21"/>
              </w:rPr>
              <w:t>2.38 ms / pair</w:t>
            </w:r>
          </w:p>
        </w:tc>
      </w:tr>
      <w:tr>
        <w:tc>
          <w:tcPr>
            <w:tcW w:type="dxa" w:w="5184"/>
          </w:tcPr>
          <w:p>
            <w:pPr>
              <w:spacing w:before="30" w:after="30" w:line="240" w:lineRule="exact"/>
            </w:pPr>
            <w:r>
              <w:rPr>
                <w:rFonts w:ascii="Times New Roman" w:hAnsi="Times New Roman"/>
                <w:color w:val="000000"/>
                <w:sz w:val="21"/>
              </w:rPr>
              <w:t>Pipeline 2 Total (Two-Stage Retrieval)</w:t>
            </w:r>
          </w:p>
        </w:tc>
        <w:tc>
          <w:tcPr>
            <w:tcW w:type="dxa" w:w="5184"/>
          </w:tcPr>
          <w:p>
            <w:pPr>
              <w:spacing w:before="30" w:after="30" w:line="240" w:lineRule="exact"/>
            </w:pPr>
            <w:r>
              <w:rPr>
                <w:rFonts w:ascii="Times New Roman" w:hAnsi="Times New Roman"/>
                <w:color w:val="000000"/>
                <w:sz w:val="21"/>
              </w:rPr>
              <w:t>35.44 ms</w:t>
            </w:r>
          </w:p>
        </w:tc>
      </w:tr>
      <w:tr>
        <w:tc>
          <w:tcPr>
            <w:tcW w:type="dxa" w:w="5184"/>
          </w:tcPr>
          <w:p>
            <w:pPr>
              <w:spacing w:before="30" w:after="30" w:line="240" w:lineRule="exact"/>
            </w:pPr>
            <w:r>
              <w:rPr>
                <w:rFonts w:ascii="Times New Roman" w:hAnsi="Times New Roman"/>
                <w:color w:val="000000"/>
                <w:sz w:val="21"/>
              </w:rPr>
              <w:t>Generation: LLM Answer 1 (Groq API)</w:t>
            </w:r>
          </w:p>
        </w:tc>
        <w:tc>
          <w:tcPr>
            <w:tcW w:type="dxa" w:w="5184"/>
          </w:tcPr>
          <w:p>
            <w:pPr>
              <w:spacing w:before="30" w:after="30" w:line="240" w:lineRule="exact"/>
            </w:pPr>
            <w:r>
              <w:rPr>
                <w:rFonts w:ascii="Times New Roman" w:hAnsi="Times New Roman"/>
                <w:color w:val="000000"/>
                <w:sz w:val="21"/>
              </w:rPr>
              <w:t>452.62 ms</w:t>
            </w:r>
          </w:p>
        </w:tc>
      </w:tr>
      <w:tr>
        <w:tc>
          <w:tcPr>
            <w:tcW w:type="dxa" w:w="5184"/>
          </w:tcPr>
          <w:p>
            <w:pPr>
              <w:spacing w:before="30" w:after="30" w:line="240" w:lineRule="exact"/>
            </w:pPr>
            <w:r>
              <w:rPr>
                <w:rFonts w:ascii="Times New Roman" w:hAnsi="Times New Roman"/>
                <w:color w:val="000000"/>
                <w:sz w:val="21"/>
              </w:rPr>
              <w:t>Generation: LLM Answer 2 (Groq API)</w:t>
            </w:r>
          </w:p>
        </w:tc>
        <w:tc>
          <w:tcPr>
            <w:tcW w:type="dxa" w:w="5184"/>
          </w:tcPr>
          <w:p>
            <w:pPr>
              <w:spacing w:before="30" w:after="30" w:line="240" w:lineRule="exact"/>
            </w:pPr>
            <w:r>
              <w:rPr>
                <w:rFonts w:ascii="Times New Roman" w:hAnsi="Times New Roman"/>
                <w:color w:val="000000"/>
                <w:sz w:val="21"/>
              </w:rPr>
              <w:t>640.72 ms</w:t>
            </w:r>
          </w:p>
        </w:tc>
      </w:tr>
    </w:tbl>
    <w:p>
      <w:pPr>
        <w:spacing w:before="20" w:after="40" w:line="260" w:lineRule="exact"/>
      </w:pPr>
      <w:r>
        <w:rPr>
          <w:rFonts w:ascii="Times New Roman" w:hAnsi="Times New Roman"/>
          <w:color w:val="000000"/>
          <w:sz w:val="22"/>
        </w:rPr>
        <w:t>Re-ranking increased retrieval latency from 11.67 ms to 35.44 ms. However, this extra 24 ms represents only about 5% of total turnaround time, which is dominated by LLM generation (~500 ms). Adding 24 ms to raise recall from 50% to 64.3% and surface key statutory exceptions is an effective engineering trade-off.</w:t>
      </w:r>
    </w:p>
    <w:p>
      <w:pPr>
        <w:spacing w:before="140" w:after="40"/>
      </w:pPr>
      <w:r>
        <w:rPr>
          <w:rFonts w:ascii="Times New Roman" w:hAnsi="Times New Roman"/>
          <w:b/>
          <w:color w:val="000000"/>
          <w:sz w:val="26"/>
        </w:rPr>
        <w:t>5. Scaling: Why Not Cross-Encode the Entire Corpus?</w:t>
      </w:r>
    </w:p>
    <w:p>
      <w:pPr>
        <w:spacing w:before="20" w:after="40" w:line="260" w:lineRule="exact"/>
      </w:pPr>
      <w:r>
        <w:rPr>
          <w:rFonts w:ascii="Times New Roman" w:hAnsi="Times New Roman"/>
          <w:color w:val="000000"/>
          <w:sz w:val="22"/>
        </w:rPr>
        <w:t>Skipping the bi-encoder to cross-encode an entire corpus is unviable due to computational scaling:</w:t>
      </w:r>
    </w:p>
    <w:p>
      <w:pPr>
        <w:pStyle w:val="ListBullet"/>
        <w:spacing w:before="10" w:after="30" w:line="260" w:lineRule="exact"/>
      </w:pPr>
      <w:r>
        <w:rPr>
          <w:rFonts w:ascii="Times New Roman" w:hAnsi="Times New Roman"/>
          <w:color w:val="000000"/>
          <w:sz w:val="22"/>
        </w:rPr>
        <w:t>Bi-encoder indexing is pre-computed: Embedding all 405 chunks took 1.85 seconds once. At query time, only the user query is encoded (11.6 ms), and vector search scales sub-linearly.</w:t>
      </w:r>
    </w:p>
    <w:p>
      <w:pPr>
        <w:pStyle w:val="ListBullet"/>
        <w:spacing w:before="10" w:after="30" w:line="260" w:lineRule="exact"/>
      </w:pPr>
      <w:r>
        <w:rPr>
          <w:rFonts w:ascii="Times New Roman" w:hAnsi="Times New Roman"/>
          <w:color w:val="000000"/>
          <w:sz w:val="22"/>
        </w:rPr>
        <w:t>Cross-encoders require joint inputs: Because the query and passage must be processed together, no document vectors exist in advance. Every search requires N full transformer passes, scaling linearly with corpus size.</w:t>
      </w:r>
    </w:p>
    <w:p>
      <w:pPr>
        <w:spacing w:before="20" w:after="40" w:line="260" w:lineRule="exact"/>
      </w:pPr>
      <w:r>
        <w:rPr>
          <w:rFonts w:ascii="Times New Roman" w:hAnsi="Times New Roman"/>
          <w:color w:val="000000"/>
          <w:sz w:val="22"/>
        </w:rPr>
        <w:t>In Section 14 of my notebook, scoring a query across all 405 chunks took 0.634 seconds (~1.56 ms per pair), already 27 times slower than re-ranking top 10 candidates (0.024 seconds). Extrapolating this cost illustrates the scaling bottleneck:</w:t>
      </w:r>
    </w:p>
    <w:p>
      <w:pPr>
        <w:pStyle w:val="ListBullet"/>
        <w:spacing w:before="10" w:after="30" w:line="260" w:lineRule="exact"/>
      </w:pPr>
      <w:r>
        <w:rPr>
          <w:rFonts w:ascii="Times New Roman" w:hAnsi="Times New Roman"/>
          <w:color w:val="000000"/>
          <w:sz w:val="22"/>
        </w:rPr>
        <w:t>10,000 chunks: 15.6 seconds per query.</w:t>
      </w:r>
    </w:p>
    <w:p>
      <w:pPr>
        <w:pStyle w:val="ListBullet"/>
        <w:spacing w:before="10" w:after="30" w:line="260" w:lineRule="exact"/>
      </w:pPr>
      <w:r>
        <w:rPr>
          <w:rFonts w:ascii="Times New Roman" w:hAnsi="Times New Roman"/>
          <w:color w:val="000000"/>
          <w:sz w:val="22"/>
        </w:rPr>
        <w:t>100,000 chunks: 2.6 minutes per query.</w:t>
      </w:r>
    </w:p>
    <w:p>
      <w:pPr>
        <w:pStyle w:val="ListBullet"/>
        <w:spacing w:before="10" w:after="30" w:line="260" w:lineRule="exact"/>
      </w:pPr>
      <w:r>
        <w:rPr>
          <w:rFonts w:ascii="Times New Roman" w:hAnsi="Times New Roman"/>
          <w:color w:val="000000"/>
          <w:sz w:val="22"/>
        </w:rPr>
        <w:t>1,000,000 chunks: 26 minutes per query.</w:t>
      </w:r>
    </w:p>
    <w:p>
      <w:pPr>
        <w:spacing w:before="20" w:after="40" w:line="260" w:lineRule="exact"/>
      </w:pPr>
      <w:r>
        <w:rPr>
          <w:rFonts w:ascii="Times New Roman" w:hAnsi="Times New Roman"/>
          <w:color w:val="000000"/>
          <w:sz w:val="22"/>
        </w:rPr>
        <w:t>Two-stage retrieval resolves this by using fast bi-encoder vector search to filter thousands of chunks down to 10 candidates, reserving cross-attention compute exclusively for the shortlist.</w:t>
      </w:r>
    </w:p>
    <w:p>
      <w:pPr>
        <w:spacing w:before="140" w:after="40"/>
      </w:pPr>
      <w:r>
        <w:rPr>
          <w:rFonts w:ascii="Times New Roman" w:hAnsi="Times New Roman"/>
          <w:b/>
          <w:color w:val="000000"/>
          <w:sz w:val="26"/>
        </w:rPr>
        <w:t>6. Closing Observations</w:t>
      </w:r>
    </w:p>
    <w:p>
      <w:pPr>
        <w:spacing w:before="20" w:after="40" w:line="260" w:lineRule="exact"/>
      </w:pPr>
      <w:r>
        <w:rPr>
          <w:rFonts w:ascii="Times New Roman" w:hAnsi="Times New Roman"/>
          <w:color w:val="000000"/>
          <w:sz w:val="22"/>
        </w:rPr>
        <w:t>Three main takeaways emerge from this study:</w:t>
      </w:r>
    </w:p>
    <w:p>
      <w:pPr>
        <w:spacing w:before="140" w:after="40"/>
      </w:pPr>
      <w:r>
        <w:rPr>
          <w:rFonts w:ascii="Times New Roman" w:hAnsi="Times New Roman"/>
          <w:b/>
          <w:color w:val="000000"/>
          <w:sz w:val="26"/>
        </w:rPr>
        <w:t>1. Re-ranking is particularly effective for queries involving negations, legal jargon, and buried clauses, lifting recall from 50% to 64.3% and binding citations from 50% to 71.4%.</w:t>
      </w:r>
    </w:p>
    <w:p>
      <w:pPr>
        <w:spacing w:before="140" w:after="40"/>
      </w:pPr>
      <w:r>
        <w:rPr>
          <w:rFonts w:ascii="Times New Roman" w:hAnsi="Times New Roman"/>
          <w:b/>
          <w:color w:val="000000"/>
          <w:sz w:val="26"/>
        </w:rPr>
        <w:t>2. Initial candidate pools should be widened (e.g. top 30 to 50) and hybridised with BM25 keyword matching to prevent Stage 1 recall ceilings as observed in Q7 and Q8.</w:t>
      </w:r>
    </w:p>
    <w:p>
      <w:pPr>
        <w:spacing w:before="140" w:after="40"/>
      </w:pPr>
      <w:r>
        <w:rPr>
          <w:rFonts w:ascii="Times New Roman" w:hAnsi="Times New Roman"/>
          <w:b/>
          <w:color w:val="000000"/>
          <w:sz w:val="26"/>
        </w:rPr>
        <w:t>3. System designers must monitor for regressions like Q6, where descriptive recitals outscore concise statutory rules. Lexical matching or article boosters can help preserve binding provisions.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