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charts/chart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2E4EA" w14:textId="77777777" w:rsidR="00B71C39" w:rsidRDefault="00B71C39" w:rsidP="00A5557B">
      <w:pPr>
        <w:ind w:right="146"/>
        <w:jc w:val="both"/>
        <w:rPr>
          <w:rFonts w:ascii="Times New Roman" w:hAnsi="Times New Roman" w:cs="Times New Roman"/>
          <w:b/>
          <w:sz w:val="24"/>
          <w:szCs w:val="24"/>
        </w:rPr>
      </w:pPr>
    </w:p>
    <w:tbl>
      <w:tblPr>
        <w:tblStyle w:val="TableGrid"/>
        <w:tblpPr w:leftFromText="180" w:rightFromText="180" w:horzAnchor="margin" w:tblpXSpec="center" w:tblpY="405"/>
        <w:tblW w:w="9378" w:type="dxa"/>
        <w:tblLook w:val="04A0" w:firstRow="1" w:lastRow="0" w:firstColumn="1" w:lastColumn="0" w:noHBand="0" w:noVBand="1"/>
      </w:tblPr>
      <w:tblGrid>
        <w:gridCol w:w="4928"/>
        <w:gridCol w:w="4450"/>
      </w:tblGrid>
      <w:tr w:rsidR="00217AE4" w:rsidRPr="00B7691F" w14:paraId="4D631CAD" w14:textId="77777777" w:rsidTr="000E4CAC">
        <w:tc>
          <w:tcPr>
            <w:tcW w:w="4928" w:type="dxa"/>
            <w:shd w:val="clear" w:color="auto" w:fill="365F91" w:themeFill="accent1" w:themeFillShade="BF"/>
            <w:vAlign w:val="center"/>
          </w:tcPr>
          <w:p w14:paraId="2EC4A1C7" w14:textId="77777777" w:rsidR="00217AE4" w:rsidRPr="00877875" w:rsidRDefault="00A001E9" w:rsidP="00A5557B">
            <w:pPr>
              <w:ind w:right="146"/>
              <w:jc w:val="both"/>
              <w:rPr>
                <w:rFonts w:cs="Times New Roman"/>
                <w:b/>
                <w:color w:val="FFFFFF" w:themeColor="background1"/>
                <w:sz w:val="24"/>
                <w:szCs w:val="24"/>
              </w:rPr>
            </w:pPr>
            <w:r>
              <w:rPr>
                <w:rFonts w:cs="Times New Roman"/>
                <w:b/>
                <w:color w:val="FFFFFF" w:themeColor="background1"/>
                <w:sz w:val="24"/>
                <w:szCs w:val="24"/>
              </w:rPr>
              <w:t>Run number – 29</w:t>
            </w:r>
            <w:r w:rsidR="00217AE4" w:rsidRPr="00877875">
              <w:rPr>
                <w:rFonts w:cs="Times New Roman"/>
                <w:b/>
                <w:color w:val="FFFFFF" w:themeColor="background1"/>
                <w:sz w:val="24"/>
                <w:szCs w:val="24"/>
              </w:rPr>
              <w:t>–</w:t>
            </w:r>
            <w:r w:rsidR="00217AE4" w:rsidRPr="00914F45">
              <w:rPr>
                <w:rFonts w:cs="Arial"/>
                <w:b/>
                <w:color w:val="FFFFFF" w:themeColor="background1"/>
                <w:sz w:val="24"/>
                <w:szCs w:val="24"/>
              </w:rPr>
              <w:t>HER2/neu</w:t>
            </w:r>
            <w:r w:rsidR="00217AE4" w:rsidRPr="00877875">
              <w:rPr>
                <w:rFonts w:cs="Times New Roman"/>
                <w:b/>
                <w:color w:val="FFFFFF" w:themeColor="background1"/>
                <w:sz w:val="24"/>
                <w:szCs w:val="24"/>
              </w:rPr>
              <w:t xml:space="preserve"> test</w:t>
            </w:r>
          </w:p>
        </w:tc>
        <w:tc>
          <w:tcPr>
            <w:tcW w:w="4450" w:type="dxa"/>
            <w:shd w:val="clear" w:color="auto" w:fill="365F91" w:themeFill="accent1" w:themeFillShade="BF"/>
            <w:vAlign w:val="center"/>
          </w:tcPr>
          <w:p w14:paraId="487F0EAF" w14:textId="77777777" w:rsidR="00217AE4" w:rsidRPr="00877875" w:rsidRDefault="00217AE4" w:rsidP="00A5557B">
            <w:pPr>
              <w:ind w:right="146"/>
              <w:jc w:val="both"/>
              <w:rPr>
                <w:rFonts w:cs="Times New Roman"/>
                <w:b/>
                <w:color w:val="FFFFFF" w:themeColor="background1"/>
                <w:sz w:val="24"/>
                <w:szCs w:val="24"/>
              </w:rPr>
            </w:pPr>
            <w:r w:rsidRPr="00877875">
              <w:rPr>
                <w:rFonts w:cs="Times New Roman"/>
                <w:b/>
                <w:color w:val="FFFFFF" w:themeColor="background1"/>
                <w:sz w:val="24"/>
                <w:szCs w:val="24"/>
              </w:rPr>
              <w:t>Module - IHC EQAS</w:t>
            </w:r>
          </w:p>
        </w:tc>
      </w:tr>
      <w:tr w:rsidR="00217AE4" w:rsidRPr="00B7691F" w14:paraId="3B289847" w14:textId="77777777" w:rsidTr="000E4CAC">
        <w:tc>
          <w:tcPr>
            <w:tcW w:w="4928" w:type="dxa"/>
            <w:shd w:val="clear" w:color="auto" w:fill="FFFFFF" w:themeFill="background1"/>
            <w:vAlign w:val="center"/>
          </w:tcPr>
          <w:p w14:paraId="6E4FEF2A" w14:textId="77777777" w:rsidR="00217AE4" w:rsidRPr="00360DD4" w:rsidRDefault="00217AE4" w:rsidP="00A001E9">
            <w:pPr>
              <w:ind w:right="146"/>
              <w:jc w:val="both"/>
              <w:rPr>
                <w:rFonts w:cs="Times New Roman"/>
                <w:sz w:val="24"/>
                <w:szCs w:val="24"/>
              </w:rPr>
            </w:pPr>
            <w:r w:rsidRPr="00360DD4">
              <w:rPr>
                <w:rFonts w:cs="Times New Roman"/>
                <w:b/>
                <w:sz w:val="24"/>
                <w:szCs w:val="24"/>
              </w:rPr>
              <w:t xml:space="preserve">Date of run dispatch – </w:t>
            </w:r>
            <w:r w:rsidR="00A001E9">
              <w:rPr>
                <w:rFonts w:cs="Times New Roman"/>
                <w:b/>
                <w:sz w:val="24"/>
                <w:szCs w:val="24"/>
              </w:rPr>
              <w:t>15</w:t>
            </w:r>
            <w:r w:rsidR="00360DD4" w:rsidRPr="00360DD4">
              <w:rPr>
                <w:rFonts w:cs="Times New Roman"/>
                <w:b/>
                <w:sz w:val="24"/>
                <w:szCs w:val="24"/>
                <w:vertAlign w:val="superscript"/>
              </w:rPr>
              <w:t>th</w:t>
            </w:r>
            <w:r w:rsidR="00A001E9">
              <w:rPr>
                <w:rFonts w:cs="Times New Roman"/>
                <w:b/>
                <w:sz w:val="24"/>
                <w:szCs w:val="24"/>
              </w:rPr>
              <w:t>February</w:t>
            </w:r>
            <w:r w:rsidR="0023154E">
              <w:rPr>
                <w:rFonts w:cs="Times New Roman"/>
                <w:b/>
                <w:sz w:val="24"/>
                <w:szCs w:val="24"/>
              </w:rPr>
              <w:t xml:space="preserve"> 202</w:t>
            </w:r>
            <w:r w:rsidR="00A001E9">
              <w:rPr>
                <w:rFonts w:cs="Times New Roman"/>
                <w:b/>
                <w:sz w:val="24"/>
                <w:szCs w:val="24"/>
              </w:rPr>
              <w:t>5</w:t>
            </w:r>
          </w:p>
        </w:tc>
        <w:tc>
          <w:tcPr>
            <w:tcW w:w="4450" w:type="dxa"/>
            <w:shd w:val="clear" w:color="auto" w:fill="FFFFFF" w:themeFill="background1"/>
            <w:vAlign w:val="center"/>
          </w:tcPr>
          <w:p w14:paraId="0B9701B1" w14:textId="77777777" w:rsidR="00217AE4" w:rsidRPr="00360DD4" w:rsidRDefault="00217AE4" w:rsidP="00A001E9">
            <w:pPr>
              <w:spacing w:line="276" w:lineRule="auto"/>
              <w:ind w:right="146"/>
              <w:jc w:val="both"/>
              <w:rPr>
                <w:rFonts w:cs="Times New Roman"/>
                <w:b/>
                <w:sz w:val="24"/>
                <w:szCs w:val="24"/>
              </w:rPr>
            </w:pPr>
            <w:r w:rsidRPr="00360DD4">
              <w:rPr>
                <w:rFonts w:cs="Times New Roman"/>
                <w:b/>
                <w:sz w:val="24"/>
                <w:szCs w:val="24"/>
              </w:rPr>
              <w:t xml:space="preserve">Date of run closure – </w:t>
            </w:r>
            <w:r w:rsidR="00A001E9">
              <w:rPr>
                <w:rFonts w:cs="Times New Roman"/>
                <w:b/>
                <w:sz w:val="24"/>
                <w:szCs w:val="24"/>
              </w:rPr>
              <w:t>21</w:t>
            </w:r>
            <w:r w:rsidR="00A001E9" w:rsidRPr="00A001E9">
              <w:rPr>
                <w:rFonts w:cs="Times New Roman"/>
                <w:b/>
                <w:sz w:val="24"/>
                <w:szCs w:val="24"/>
                <w:vertAlign w:val="superscript"/>
              </w:rPr>
              <w:t>st</w:t>
            </w:r>
            <w:r w:rsidR="00A001E9">
              <w:rPr>
                <w:rFonts w:cs="Times New Roman"/>
                <w:b/>
                <w:sz w:val="24"/>
                <w:szCs w:val="24"/>
              </w:rPr>
              <w:t xml:space="preserve"> April 2025</w:t>
            </w:r>
          </w:p>
        </w:tc>
      </w:tr>
      <w:tr w:rsidR="00217AE4" w:rsidRPr="00B7691F" w14:paraId="2A124B8B" w14:textId="77777777" w:rsidTr="000E4CAC">
        <w:tc>
          <w:tcPr>
            <w:tcW w:w="4928" w:type="dxa"/>
            <w:shd w:val="clear" w:color="auto" w:fill="FFFFFF" w:themeFill="background1"/>
          </w:tcPr>
          <w:p w14:paraId="1F669F61" w14:textId="77777777" w:rsidR="00217AE4" w:rsidRPr="00360DD4" w:rsidRDefault="00217AE4" w:rsidP="00A001E9">
            <w:pPr>
              <w:ind w:right="146"/>
              <w:jc w:val="both"/>
              <w:rPr>
                <w:rFonts w:cs="Times New Roman"/>
                <w:b/>
                <w:sz w:val="24"/>
                <w:szCs w:val="24"/>
              </w:rPr>
            </w:pPr>
            <w:r w:rsidRPr="00360DD4">
              <w:rPr>
                <w:rFonts w:cs="Times New Roman"/>
                <w:b/>
                <w:sz w:val="24"/>
                <w:szCs w:val="24"/>
              </w:rPr>
              <w:t xml:space="preserve">Date run reports uploaded – </w:t>
            </w:r>
            <w:r w:rsidR="00CA45C9">
              <w:rPr>
                <w:rFonts w:cs="Times New Roman"/>
                <w:b/>
                <w:sz w:val="24"/>
                <w:szCs w:val="24"/>
              </w:rPr>
              <w:t>15</w:t>
            </w:r>
            <w:r w:rsidR="00CA45C9" w:rsidRPr="00CA45C9">
              <w:rPr>
                <w:rFonts w:cs="Times New Roman"/>
                <w:b/>
                <w:sz w:val="24"/>
                <w:szCs w:val="24"/>
                <w:vertAlign w:val="superscript"/>
              </w:rPr>
              <w:t>th</w:t>
            </w:r>
            <w:r w:rsidR="00CA45C9">
              <w:rPr>
                <w:rFonts w:cs="Times New Roman"/>
                <w:b/>
                <w:sz w:val="24"/>
                <w:szCs w:val="24"/>
              </w:rPr>
              <w:t xml:space="preserve"> May 2025</w:t>
            </w:r>
          </w:p>
        </w:tc>
        <w:tc>
          <w:tcPr>
            <w:tcW w:w="4450" w:type="dxa"/>
            <w:shd w:val="clear" w:color="auto" w:fill="FFFFFF" w:themeFill="background1"/>
            <w:vAlign w:val="center"/>
          </w:tcPr>
          <w:p w14:paraId="3EFD1FEF" w14:textId="77777777" w:rsidR="00217AE4" w:rsidRPr="00360DD4" w:rsidRDefault="00330951" w:rsidP="00A5557B">
            <w:pPr>
              <w:spacing w:line="276" w:lineRule="auto"/>
              <w:ind w:right="146"/>
              <w:jc w:val="both"/>
              <w:rPr>
                <w:rFonts w:cs="Times New Roman"/>
                <w:b/>
                <w:sz w:val="24"/>
                <w:szCs w:val="24"/>
              </w:rPr>
            </w:pPr>
            <w:r w:rsidRPr="00360DD4">
              <w:rPr>
                <w:rFonts w:cs="Times New Roman"/>
                <w:b/>
                <w:sz w:val="24"/>
                <w:szCs w:val="24"/>
              </w:rPr>
              <w:t>Center Number:</w:t>
            </w:r>
            <w:r w:rsidR="0008474C">
              <w:rPr>
                <w:rFonts w:cs="Times New Roman"/>
                <w:b/>
                <w:sz w:val="24"/>
                <w:szCs w:val="24"/>
              </w:rPr>
              <w:t xml:space="preserve"> 01</w:t>
            </w:r>
          </w:p>
          <w:p w14:paraId="0FBEE98C" w14:textId="77777777" w:rsidR="00217AE4" w:rsidRPr="0008474C" w:rsidRDefault="00330951" w:rsidP="00A5557B">
            <w:pPr>
              <w:pStyle w:val="NoSpacing"/>
              <w:ind w:right="146"/>
              <w:rPr>
                <w:rFonts w:cstheme="minorHAnsi"/>
                <w:b/>
                <w:sz w:val="24"/>
                <w:szCs w:val="24"/>
              </w:rPr>
            </w:pPr>
            <w:r w:rsidRPr="0008474C">
              <w:rPr>
                <w:rFonts w:cstheme="minorHAnsi"/>
                <w:b/>
                <w:sz w:val="24"/>
                <w:szCs w:val="24"/>
              </w:rPr>
              <w:t xml:space="preserve">Center Name: </w:t>
            </w:r>
            <w:r w:rsidR="0008474C" w:rsidRPr="0008474C">
              <w:rPr>
                <w:rFonts w:cstheme="minorHAnsi"/>
                <w:b/>
                <w:sz w:val="24"/>
                <w:szCs w:val="24"/>
              </w:rPr>
              <w:t xml:space="preserve"> Tata Medical Centre, Kolkata</w:t>
            </w:r>
          </w:p>
        </w:tc>
      </w:tr>
    </w:tbl>
    <w:p w14:paraId="1AE8E95E" w14:textId="77777777" w:rsidR="0098373C" w:rsidRPr="00EA3733" w:rsidRDefault="0098373C" w:rsidP="00A5557B">
      <w:pPr>
        <w:tabs>
          <w:tab w:val="left" w:pos="2190"/>
        </w:tabs>
        <w:spacing w:line="360" w:lineRule="auto"/>
        <w:ind w:right="146"/>
        <w:jc w:val="center"/>
        <w:rPr>
          <w:rFonts w:cs="Arial"/>
          <w:b/>
          <w:color w:val="1F497D" w:themeColor="text2"/>
          <w:sz w:val="28"/>
          <w:szCs w:val="24"/>
          <w:u w:val="single"/>
        </w:rPr>
      </w:pPr>
      <w:r w:rsidRPr="00EA3733">
        <w:rPr>
          <w:rFonts w:cs="Arial"/>
          <w:b/>
          <w:color w:val="1F497D" w:themeColor="text2"/>
          <w:sz w:val="28"/>
          <w:szCs w:val="24"/>
          <w:u w:val="single"/>
        </w:rPr>
        <w:t xml:space="preserve">Immunohistochemistry module </w:t>
      </w:r>
      <w:r>
        <w:rPr>
          <w:rFonts w:cs="Arial"/>
          <w:b/>
          <w:color w:val="1F497D" w:themeColor="text2"/>
          <w:sz w:val="28"/>
          <w:szCs w:val="24"/>
          <w:u w:val="single"/>
        </w:rPr>
        <w:t xml:space="preserve">- </w:t>
      </w:r>
      <w:r w:rsidRPr="00EA3733">
        <w:rPr>
          <w:rFonts w:cs="Arial"/>
          <w:b/>
          <w:color w:val="1F497D" w:themeColor="text2"/>
          <w:sz w:val="28"/>
          <w:szCs w:val="24"/>
          <w:u w:val="single"/>
        </w:rPr>
        <w:t>Her2</w:t>
      </w:r>
      <w:r w:rsidR="00AB7E5D">
        <w:rPr>
          <w:rFonts w:cs="Arial"/>
          <w:b/>
          <w:color w:val="1F497D" w:themeColor="text2"/>
          <w:sz w:val="28"/>
          <w:szCs w:val="24"/>
          <w:u w:val="single"/>
        </w:rPr>
        <w:t xml:space="preserve">neu </w:t>
      </w:r>
      <w:r w:rsidR="00A001E9">
        <w:rPr>
          <w:rFonts w:cs="Arial"/>
          <w:b/>
          <w:color w:val="1F497D" w:themeColor="text2"/>
          <w:sz w:val="28"/>
          <w:szCs w:val="24"/>
          <w:u w:val="single"/>
        </w:rPr>
        <w:t>Run 29</w:t>
      </w:r>
    </w:p>
    <w:p w14:paraId="744D74C4" w14:textId="77777777" w:rsidR="00FA6FFE" w:rsidRDefault="00C72FBF" w:rsidP="00DD1768">
      <w:pPr>
        <w:spacing w:line="360" w:lineRule="auto"/>
        <w:ind w:right="146"/>
        <w:jc w:val="both"/>
        <w:rPr>
          <w:rFonts w:cstheme="minorHAnsi"/>
          <w:sz w:val="24"/>
          <w:szCs w:val="24"/>
        </w:rPr>
      </w:pPr>
      <w:r>
        <w:rPr>
          <w:rFonts w:cstheme="minorHAnsi"/>
          <w:color w:val="000000" w:themeColor="text1"/>
          <w:sz w:val="24"/>
          <w:szCs w:val="24"/>
        </w:rPr>
        <w:t xml:space="preserve">HER2 targeted therapy has been the poster child of success in breast cancer treatment. </w:t>
      </w:r>
      <w:r w:rsidR="00141238" w:rsidRPr="005542F5">
        <w:rPr>
          <w:rFonts w:cstheme="minorHAnsi"/>
          <w:color w:val="000000" w:themeColor="text1"/>
          <w:sz w:val="24"/>
          <w:szCs w:val="24"/>
        </w:rPr>
        <w:t xml:space="preserve">The standard adjuvant treatment </w:t>
      </w:r>
      <w:r>
        <w:rPr>
          <w:rFonts w:cstheme="minorHAnsi"/>
          <w:color w:val="000000" w:themeColor="text1"/>
          <w:sz w:val="24"/>
          <w:szCs w:val="24"/>
        </w:rPr>
        <w:t>for ERBB2 (HER2 or HER2</w:t>
      </w:r>
      <w:r w:rsidR="00D8043C" w:rsidRPr="005542F5">
        <w:rPr>
          <w:rFonts w:cstheme="minorHAnsi"/>
          <w:color w:val="000000" w:themeColor="text1"/>
          <w:sz w:val="24"/>
          <w:szCs w:val="24"/>
        </w:rPr>
        <w:t xml:space="preserve">) </w:t>
      </w:r>
      <w:r w:rsidR="00141238" w:rsidRPr="005542F5">
        <w:rPr>
          <w:rFonts w:cstheme="minorHAnsi"/>
          <w:color w:val="000000" w:themeColor="text1"/>
          <w:sz w:val="24"/>
          <w:szCs w:val="24"/>
        </w:rPr>
        <w:t>positive breast cancer includes chemotherapy and 1 year of trastuzumab, that targets the ERBB2 receptor.</w:t>
      </w:r>
      <w:r>
        <w:rPr>
          <w:rFonts w:cstheme="minorHAnsi"/>
          <w:sz w:val="24"/>
          <w:szCs w:val="24"/>
        </w:rPr>
        <w:t xml:space="preserve"> Presently in </w:t>
      </w:r>
      <w:r w:rsidR="00141238" w:rsidRPr="005542F5">
        <w:rPr>
          <w:rFonts w:cstheme="minorHAnsi"/>
          <w:sz w:val="24"/>
          <w:szCs w:val="24"/>
        </w:rPr>
        <w:t xml:space="preserve">clinically high-risk, early-stage HER2-positive disease with trastuzumab and pertuzumab and chemotherapy combination in the neoadjuvant setting, and </w:t>
      </w:r>
      <w:r w:rsidR="00F33195" w:rsidRPr="005542F5">
        <w:rPr>
          <w:rFonts w:cstheme="minorHAnsi"/>
          <w:sz w:val="24"/>
          <w:szCs w:val="24"/>
        </w:rPr>
        <w:t xml:space="preserve">if residual disease is found </w:t>
      </w:r>
      <w:r w:rsidR="00D8043C" w:rsidRPr="005542F5">
        <w:rPr>
          <w:rFonts w:cstheme="minorHAnsi"/>
          <w:sz w:val="24"/>
          <w:szCs w:val="24"/>
        </w:rPr>
        <w:t xml:space="preserve">post </w:t>
      </w:r>
      <w:r>
        <w:rPr>
          <w:rFonts w:cstheme="minorHAnsi"/>
          <w:sz w:val="24"/>
          <w:szCs w:val="24"/>
        </w:rPr>
        <w:t>neoadjuvant therapy</w:t>
      </w:r>
      <w:r w:rsidR="00141238" w:rsidRPr="005542F5">
        <w:rPr>
          <w:rFonts w:cstheme="minorHAnsi"/>
          <w:sz w:val="24"/>
          <w:szCs w:val="24"/>
        </w:rPr>
        <w:t xml:space="preserve">, </w:t>
      </w:r>
      <w:r w:rsidR="003B105C" w:rsidRPr="005542F5">
        <w:rPr>
          <w:rFonts w:cstheme="minorHAnsi"/>
          <w:sz w:val="24"/>
          <w:szCs w:val="24"/>
        </w:rPr>
        <w:t>administration of</w:t>
      </w:r>
      <w:r w:rsidR="00141238" w:rsidRPr="005542F5">
        <w:rPr>
          <w:rFonts w:cstheme="minorHAnsi"/>
          <w:sz w:val="24"/>
          <w:szCs w:val="24"/>
        </w:rPr>
        <w:t xml:space="preserve"> adjuvant TDM1 treatment for 1 year</w:t>
      </w:r>
      <w:r w:rsidR="003B105C" w:rsidRPr="005542F5">
        <w:rPr>
          <w:rFonts w:cstheme="minorHAnsi"/>
          <w:sz w:val="24"/>
          <w:szCs w:val="24"/>
        </w:rPr>
        <w:t xml:space="preserve"> is advocated</w:t>
      </w:r>
      <w:r w:rsidR="00141238" w:rsidRPr="005542F5">
        <w:rPr>
          <w:rFonts w:cstheme="minorHAnsi"/>
          <w:sz w:val="24"/>
          <w:szCs w:val="24"/>
        </w:rPr>
        <w:t xml:space="preserve">. </w:t>
      </w:r>
      <w:r>
        <w:rPr>
          <w:rFonts w:cstheme="minorHAnsi"/>
          <w:sz w:val="24"/>
          <w:szCs w:val="24"/>
        </w:rPr>
        <w:t xml:space="preserve"> Hence impact of an inaccurate HER2 biomarker result is far reaching. </w:t>
      </w:r>
    </w:p>
    <w:p w14:paraId="5A857731" w14:textId="77777777" w:rsidR="00141238" w:rsidRPr="005542F5" w:rsidRDefault="00141238" w:rsidP="00DD1768">
      <w:pPr>
        <w:spacing w:line="360" w:lineRule="auto"/>
        <w:ind w:right="146"/>
        <w:jc w:val="both"/>
        <w:rPr>
          <w:rFonts w:cstheme="minorHAnsi"/>
          <w:sz w:val="24"/>
          <w:szCs w:val="24"/>
        </w:rPr>
      </w:pPr>
      <w:r w:rsidRPr="005542F5">
        <w:rPr>
          <w:rFonts w:cstheme="minorHAnsi"/>
          <w:color w:val="000000"/>
          <w:sz w:val="24"/>
          <w:szCs w:val="24"/>
        </w:rPr>
        <w:t>T</w:t>
      </w:r>
      <w:r w:rsidR="00155BB3">
        <w:rPr>
          <w:rFonts w:cstheme="minorHAnsi"/>
          <w:color w:val="000000"/>
          <w:sz w:val="24"/>
          <w:szCs w:val="24"/>
        </w:rPr>
        <w:t>he identification of low HER2</w:t>
      </w:r>
      <w:r w:rsidRPr="005542F5">
        <w:rPr>
          <w:rFonts w:cstheme="minorHAnsi"/>
          <w:color w:val="000000"/>
          <w:sz w:val="24"/>
          <w:szCs w:val="24"/>
        </w:rPr>
        <w:t xml:space="preserve"> in breast cancer is a new development in</w:t>
      </w:r>
      <w:r w:rsidR="00C216EB" w:rsidRPr="005542F5">
        <w:rPr>
          <w:rFonts w:cstheme="minorHAnsi"/>
          <w:color w:val="000000"/>
          <w:sz w:val="24"/>
          <w:szCs w:val="24"/>
        </w:rPr>
        <w:t xml:space="preserve"> the </w:t>
      </w:r>
      <w:r w:rsidRPr="005542F5">
        <w:rPr>
          <w:rFonts w:cstheme="minorHAnsi"/>
          <w:color w:val="000000"/>
          <w:sz w:val="24"/>
          <w:szCs w:val="24"/>
        </w:rPr>
        <w:t>field of HER2 testing. This is defined by immunohistochemistry as incomplete membrane staining that is faint/barely perceptible and in &gt;10% of tumor cells (IHC 1+</w:t>
      </w:r>
      <w:r w:rsidR="00D8043C" w:rsidRPr="005542F5">
        <w:rPr>
          <w:rFonts w:cstheme="minorHAnsi"/>
          <w:color w:val="000000"/>
          <w:sz w:val="24"/>
          <w:szCs w:val="24"/>
        </w:rPr>
        <w:t>)</w:t>
      </w:r>
      <w:r w:rsidR="00D8043C" w:rsidRPr="005542F5">
        <w:rPr>
          <w:rFonts w:cstheme="minorHAnsi"/>
          <w:sz w:val="24"/>
          <w:szCs w:val="24"/>
        </w:rPr>
        <w:t xml:space="preserve"> or</w:t>
      </w:r>
      <w:r w:rsidR="00511A5F" w:rsidRPr="005542F5">
        <w:rPr>
          <w:rFonts w:cstheme="minorHAnsi"/>
          <w:sz w:val="24"/>
          <w:szCs w:val="24"/>
        </w:rPr>
        <w:t xml:space="preserve"> as equivocal (</w:t>
      </w:r>
      <w:r w:rsidRPr="005542F5">
        <w:rPr>
          <w:rFonts w:cstheme="minorHAnsi"/>
          <w:sz w:val="24"/>
          <w:szCs w:val="24"/>
        </w:rPr>
        <w:t>IHC 2+) cases that are non-amplified by FISH. Patients with HER2-low metastatic breast cancer treated with the</w:t>
      </w:r>
      <w:r w:rsidR="00ED36D1" w:rsidRPr="005542F5">
        <w:rPr>
          <w:rFonts w:cstheme="minorHAnsi"/>
          <w:sz w:val="24"/>
          <w:szCs w:val="24"/>
        </w:rPr>
        <w:t xml:space="preserve"> HER2-targeted drug trastuzumab </w:t>
      </w:r>
      <w:r w:rsidRPr="005542F5">
        <w:rPr>
          <w:rFonts w:cstheme="minorHAnsi"/>
          <w:sz w:val="24"/>
          <w:szCs w:val="24"/>
        </w:rPr>
        <w:t xml:space="preserve">deruxtecan (Enhertu) lived 6 months longer than </w:t>
      </w:r>
      <w:r w:rsidR="00D8043C" w:rsidRPr="005542F5">
        <w:rPr>
          <w:rFonts w:cstheme="minorHAnsi"/>
          <w:sz w:val="24"/>
          <w:szCs w:val="24"/>
        </w:rPr>
        <w:t>standard treatment.</w:t>
      </w:r>
      <w:r w:rsidRPr="005542F5">
        <w:rPr>
          <w:rFonts w:cstheme="minorHAnsi"/>
          <w:sz w:val="24"/>
          <w:szCs w:val="24"/>
        </w:rPr>
        <w:t xml:space="preserve"> The drug is </w:t>
      </w:r>
      <w:r w:rsidR="00C216EB" w:rsidRPr="005542F5">
        <w:rPr>
          <w:rFonts w:cstheme="minorHAnsi"/>
          <w:sz w:val="24"/>
          <w:szCs w:val="24"/>
        </w:rPr>
        <w:t>a</w:t>
      </w:r>
      <w:r w:rsidRPr="005542F5">
        <w:rPr>
          <w:rFonts w:cstheme="minorHAnsi"/>
          <w:sz w:val="24"/>
          <w:szCs w:val="24"/>
        </w:rPr>
        <w:t xml:space="preserve"> conjugate of a cytotoxic drug with trastuzumab. It just needs HER2 levels above normal </w:t>
      </w:r>
      <w:r w:rsidR="00D8043C" w:rsidRPr="005542F5">
        <w:rPr>
          <w:rFonts w:cstheme="minorHAnsi"/>
          <w:sz w:val="24"/>
          <w:szCs w:val="24"/>
        </w:rPr>
        <w:t>to</w:t>
      </w:r>
      <w:r w:rsidR="00C216EB" w:rsidRPr="005542F5">
        <w:rPr>
          <w:rFonts w:cstheme="minorHAnsi"/>
          <w:sz w:val="24"/>
          <w:szCs w:val="24"/>
        </w:rPr>
        <w:t xml:space="preserve"> enter the tumor cell and release the </w:t>
      </w:r>
      <w:r w:rsidR="00D8043C" w:rsidRPr="005542F5">
        <w:rPr>
          <w:rFonts w:cstheme="minorHAnsi"/>
          <w:sz w:val="24"/>
          <w:szCs w:val="24"/>
        </w:rPr>
        <w:t>cytotoxic</w:t>
      </w:r>
      <w:r w:rsidR="00C216EB" w:rsidRPr="005542F5">
        <w:rPr>
          <w:rFonts w:cstheme="minorHAnsi"/>
          <w:sz w:val="24"/>
          <w:szCs w:val="24"/>
        </w:rPr>
        <w:t xml:space="preserve"> drug within it. </w:t>
      </w:r>
      <w:r w:rsidRPr="005542F5">
        <w:rPr>
          <w:rFonts w:cstheme="minorHAnsi"/>
          <w:sz w:val="24"/>
          <w:szCs w:val="24"/>
        </w:rPr>
        <w:t>Thus,</w:t>
      </w:r>
      <w:r w:rsidR="00F33195" w:rsidRPr="005542F5">
        <w:rPr>
          <w:rFonts w:cstheme="minorHAnsi"/>
          <w:sz w:val="24"/>
          <w:szCs w:val="24"/>
        </w:rPr>
        <w:t xml:space="preserve"> a</w:t>
      </w:r>
      <w:r w:rsidRPr="005542F5">
        <w:rPr>
          <w:rFonts w:cstheme="minorHAnsi"/>
          <w:sz w:val="24"/>
          <w:szCs w:val="24"/>
        </w:rPr>
        <w:t xml:space="preserve"> new era </w:t>
      </w:r>
      <w:r w:rsidR="00C216EB" w:rsidRPr="005542F5">
        <w:rPr>
          <w:rFonts w:cstheme="minorHAnsi"/>
          <w:sz w:val="24"/>
          <w:szCs w:val="24"/>
        </w:rPr>
        <w:t>distinguish</w:t>
      </w:r>
      <w:r w:rsidR="00F33195" w:rsidRPr="005542F5">
        <w:rPr>
          <w:rFonts w:cstheme="minorHAnsi"/>
          <w:sz w:val="24"/>
          <w:szCs w:val="24"/>
        </w:rPr>
        <w:t>ing</w:t>
      </w:r>
      <w:r w:rsidR="00C216EB" w:rsidRPr="005542F5">
        <w:rPr>
          <w:rFonts w:cstheme="minorHAnsi"/>
          <w:sz w:val="24"/>
          <w:szCs w:val="24"/>
        </w:rPr>
        <w:t xml:space="preserve"> between score 0 and</w:t>
      </w:r>
      <w:r w:rsidR="003915B5">
        <w:rPr>
          <w:rFonts w:cstheme="minorHAnsi"/>
          <w:sz w:val="24"/>
          <w:szCs w:val="24"/>
        </w:rPr>
        <w:t xml:space="preserve"> score 1+ Her2</w:t>
      </w:r>
      <w:r w:rsidR="00155BB3">
        <w:rPr>
          <w:rFonts w:cstheme="minorHAnsi"/>
          <w:sz w:val="24"/>
          <w:szCs w:val="24"/>
        </w:rPr>
        <w:t xml:space="preserve">is important however the protocol advocated for low HER2 is a locked protocol possible only on Ventana ultra / benchmark platforms. </w:t>
      </w:r>
      <w:r w:rsidR="003A6035">
        <w:rPr>
          <w:rFonts w:cstheme="minorHAnsi"/>
          <w:sz w:val="24"/>
          <w:szCs w:val="24"/>
        </w:rPr>
        <w:t xml:space="preserve">Our personal </w:t>
      </w:r>
      <w:r w:rsidR="00FB5538">
        <w:rPr>
          <w:rFonts w:cstheme="minorHAnsi"/>
          <w:sz w:val="24"/>
          <w:szCs w:val="24"/>
        </w:rPr>
        <w:t xml:space="preserve">stand has been that </w:t>
      </w:r>
      <w:r w:rsidR="008676FA">
        <w:rPr>
          <w:rFonts w:cstheme="minorHAnsi"/>
          <w:sz w:val="24"/>
          <w:szCs w:val="24"/>
        </w:rPr>
        <w:t>when we tested parallel samples with low HER2 and traditional protocol in</w:t>
      </w:r>
      <w:r w:rsidR="00FB5538">
        <w:rPr>
          <w:rFonts w:cstheme="minorHAnsi"/>
          <w:sz w:val="24"/>
          <w:szCs w:val="24"/>
        </w:rPr>
        <w:t xml:space="preserve"> low HER2 protocol </w:t>
      </w:r>
      <w:r w:rsidR="008676FA">
        <w:rPr>
          <w:rFonts w:cstheme="minorHAnsi"/>
          <w:sz w:val="24"/>
          <w:szCs w:val="24"/>
        </w:rPr>
        <w:t>a</w:t>
      </w:r>
      <w:r w:rsidR="00FB5538">
        <w:rPr>
          <w:rFonts w:cstheme="minorHAnsi"/>
          <w:sz w:val="24"/>
          <w:szCs w:val="24"/>
        </w:rPr>
        <w:t xml:space="preserve"> small percentage </w:t>
      </w:r>
      <w:r w:rsidR="008676FA">
        <w:rPr>
          <w:rFonts w:cstheme="minorHAnsi"/>
          <w:sz w:val="24"/>
          <w:szCs w:val="24"/>
        </w:rPr>
        <w:t>of</w:t>
      </w:r>
      <w:r w:rsidR="00FB5538">
        <w:rPr>
          <w:rFonts w:cstheme="minorHAnsi"/>
          <w:sz w:val="24"/>
          <w:szCs w:val="24"/>
        </w:rPr>
        <w:t xml:space="preserve"> Score 3+ cases </w:t>
      </w:r>
      <w:r w:rsidR="008676FA">
        <w:rPr>
          <w:rFonts w:cstheme="minorHAnsi"/>
          <w:sz w:val="24"/>
          <w:szCs w:val="24"/>
        </w:rPr>
        <w:t xml:space="preserve">was labeled as equivocal (score 2+) </w:t>
      </w:r>
      <w:r w:rsidR="00FB5538">
        <w:rPr>
          <w:rFonts w:cstheme="minorHAnsi"/>
          <w:sz w:val="24"/>
          <w:szCs w:val="24"/>
        </w:rPr>
        <w:t xml:space="preserve">and </w:t>
      </w:r>
      <w:r w:rsidR="008676FA">
        <w:rPr>
          <w:rFonts w:cstheme="minorHAnsi"/>
          <w:sz w:val="24"/>
          <w:szCs w:val="24"/>
        </w:rPr>
        <w:t xml:space="preserve">hence </w:t>
      </w:r>
      <w:r w:rsidR="00FB5538">
        <w:rPr>
          <w:rFonts w:cstheme="minorHAnsi"/>
          <w:sz w:val="24"/>
          <w:szCs w:val="24"/>
        </w:rPr>
        <w:t>we have to wait for m</w:t>
      </w:r>
      <w:r w:rsidR="008676FA">
        <w:rPr>
          <w:rFonts w:cstheme="minorHAnsi"/>
          <w:sz w:val="24"/>
          <w:szCs w:val="24"/>
        </w:rPr>
        <w:t xml:space="preserve">ore mature pre-analytical data on low HER2 for Indian continent. </w:t>
      </w:r>
    </w:p>
    <w:p w14:paraId="4D3A7388" w14:textId="77777777" w:rsidR="00FA43A6" w:rsidRPr="00D96436" w:rsidRDefault="0098373C" w:rsidP="00A5557B">
      <w:pPr>
        <w:tabs>
          <w:tab w:val="left" w:pos="2190"/>
        </w:tabs>
        <w:spacing w:line="360" w:lineRule="auto"/>
        <w:ind w:right="146"/>
        <w:jc w:val="both"/>
        <w:rPr>
          <w:rFonts w:cstheme="minorHAnsi"/>
          <w:color w:val="000000"/>
          <w:sz w:val="24"/>
          <w:szCs w:val="24"/>
        </w:rPr>
      </w:pPr>
      <w:r w:rsidRPr="005542F5">
        <w:rPr>
          <w:rFonts w:cstheme="minorHAnsi"/>
          <w:sz w:val="24"/>
          <w:szCs w:val="24"/>
        </w:rPr>
        <w:t xml:space="preserve">The </w:t>
      </w:r>
      <w:r w:rsidRPr="005542F5">
        <w:rPr>
          <w:rFonts w:cstheme="minorHAnsi"/>
          <w:color w:val="000000"/>
          <w:sz w:val="24"/>
          <w:szCs w:val="24"/>
          <w:shd w:val="clear" w:color="auto" w:fill="FFFFFF"/>
        </w:rPr>
        <w:t>American Society of Clinical Oncology (ASCO)/College of American Pathologists (CAP) </w:t>
      </w:r>
      <w:r w:rsidR="009F5F5F" w:rsidRPr="005542F5">
        <w:rPr>
          <w:rFonts w:cstheme="minorHAnsi"/>
          <w:sz w:val="24"/>
          <w:szCs w:val="24"/>
        </w:rPr>
        <w:t xml:space="preserve">has </w:t>
      </w:r>
      <w:r w:rsidR="00C216EB" w:rsidRPr="005542F5">
        <w:rPr>
          <w:rFonts w:cstheme="minorHAnsi"/>
          <w:sz w:val="24"/>
          <w:szCs w:val="24"/>
        </w:rPr>
        <w:t xml:space="preserve">updated that a laboratory should </w:t>
      </w:r>
      <w:r w:rsidRPr="005542F5">
        <w:rPr>
          <w:rFonts w:cstheme="minorHAnsi"/>
          <w:iCs/>
          <w:sz w:val="24"/>
          <w:szCs w:val="24"/>
        </w:rPr>
        <w:t>have at least two tests for H</w:t>
      </w:r>
      <w:r w:rsidR="00771B7C">
        <w:rPr>
          <w:rFonts w:cstheme="minorHAnsi"/>
          <w:iCs/>
          <w:sz w:val="24"/>
          <w:szCs w:val="24"/>
        </w:rPr>
        <w:t>ER</w:t>
      </w:r>
      <w:r w:rsidRPr="005542F5">
        <w:rPr>
          <w:rFonts w:cstheme="minorHAnsi"/>
          <w:iCs/>
          <w:sz w:val="24"/>
          <w:szCs w:val="24"/>
        </w:rPr>
        <w:t>2 assessment in the laboratory</w:t>
      </w:r>
      <w:r w:rsidR="00F33195" w:rsidRPr="005542F5">
        <w:rPr>
          <w:rFonts w:cstheme="minorHAnsi"/>
          <w:iCs/>
          <w:sz w:val="24"/>
          <w:szCs w:val="24"/>
        </w:rPr>
        <w:t xml:space="preserve">, for instance, </w:t>
      </w:r>
      <w:r w:rsidRPr="005542F5">
        <w:rPr>
          <w:rFonts w:cstheme="minorHAnsi"/>
          <w:iCs/>
          <w:sz w:val="24"/>
          <w:szCs w:val="24"/>
        </w:rPr>
        <w:t xml:space="preserve">both immunohistochemistry (IHC) and FISH or two validated antibodies for IHC testing to clarify any ambiguous result. </w:t>
      </w:r>
      <w:r w:rsidR="00B5110E" w:rsidRPr="005542F5">
        <w:rPr>
          <w:rFonts w:cstheme="minorHAnsi"/>
          <w:iCs/>
          <w:sz w:val="24"/>
          <w:szCs w:val="24"/>
        </w:rPr>
        <w:t xml:space="preserve">Home brew assays should be </w:t>
      </w:r>
      <w:r w:rsidR="00B5110E" w:rsidRPr="005542F5">
        <w:rPr>
          <w:rFonts w:cstheme="minorHAnsi"/>
          <w:iCs/>
          <w:sz w:val="24"/>
          <w:szCs w:val="24"/>
        </w:rPr>
        <w:lastRenderedPageBreak/>
        <w:t xml:space="preserve">stringently validated before use in clinical practice. </w:t>
      </w:r>
      <w:r w:rsidRPr="005542F5">
        <w:rPr>
          <w:rFonts w:cstheme="minorHAnsi"/>
          <w:iCs/>
          <w:sz w:val="24"/>
          <w:szCs w:val="24"/>
        </w:rPr>
        <w:t xml:space="preserve">Increasing reports of tumor heterogeneity are </w:t>
      </w:r>
      <w:r w:rsidR="00B5110E" w:rsidRPr="005542F5">
        <w:rPr>
          <w:rFonts w:cstheme="minorHAnsi"/>
          <w:iCs/>
          <w:sz w:val="24"/>
          <w:szCs w:val="24"/>
        </w:rPr>
        <w:t>reported</w:t>
      </w:r>
      <w:r w:rsidRPr="005542F5">
        <w:rPr>
          <w:rFonts w:cstheme="minorHAnsi"/>
          <w:iCs/>
          <w:sz w:val="24"/>
          <w:szCs w:val="24"/>
        </w:rPr>
        <w:t xml:space="preserve"> and </w:t>
      </w:r>
      <w:r w:rsidR="002459FA" w:rsidRPr="005542F5">
        <w:rPr>
          <w:rFonts w:cstheme="minorHAnsi"/>
          <w:iCs/>
          <w:sz w:val="24"/>
          <w:szCs w:val="24"/>
        </w:rPr>
        <w:t xml:space="preserve">generous testing or re-testing on excision specimens is recommended to translate benefit </w:t>
      </w:r>
      <w:r w:rsidR="00C216EB" w:rsidRPr="005542F5">
        <w:rPr>
          <w:rFonts w:cstheme="minorHAnsi"/>
          <w:iCs/>
          <w:sz w:val="24"/>
          <w:szCs w:val="24"/>
        </w:rPr>
        <w:t>of a positive report to patients</w:t>
      </w:r>
      <w:r w:rsidR="00B5110E" w:rsidRPr="005542F5">
        <w:rPr>
          <w:rFonts w:cstheme="minorHAnsi"/>
          <w:iCs/>
          <w:sz w:val="24"/>
          <w:szCs w:val="24"/>
        </w:rPr>
        <w:t>.</w:t>
      </w:r>
    </w:p>
    <w:p w14:paraId="566F155A" w14:textId="77777777" w:rsidR="0098373C" w:rsidRDefault="0098373C" w:rsidP="00A5557B">
      <w:pPr>
        <w:tabs>
          <w:tab w:val="left" w:pos="2190"/>
        </w:tabs>
        <w:spacing w:line="360" w:lineRule="auto"/>
        <w:ind w:right="146"/>
        <w:jc w:val="both"/>
        <w:rPr>
          <w:rFonts w:cs="Arial"/>
          <w:b/>
          <w:sz w:val="24"/>
          <w:szCs w:val="24"/>
        </w:rPr>
      </w:pPr>
      <w:r>
        <w:rPr>
          <w:rFonts w:cs="Arial"/>
          <w:b/>
          <w:sz w:val="24"/>
          <w:szCs w:val="24"/>
        </w:rPr>
        <w:t>Table</w:t>
      </w:r>
      <w:r w:rsidRPr="00EA3733">
        <w:rPr>
          <w:rFonts w:cs="Arial"/>
          <w:b/>
          <w:sz w:val="24"/>
          <w:szCs w:val="24"/>
        </w:rPr>
        <w:t xml:space="preserve"> 1: Interpretation guidelines for HER2 IHC for breast cancer</w:t>
      </w:r>
    </w:p>
    <w:tbl>
      <w:tblPr>
        <w:tblW w:w="9113" w:type="dxa"/>
        <w:tblCellMar>
          <w:left w:w="0" w:type="dxa"/>
          <w:right w:w="0" w:type="dxa"/>
        </w:tblCellMar>
        <w:tblLook w:val="0600" w:firstRow="0" w:lastRow="0" w:firstColumn="0" w:lastColumn="0" w:noHBand="1" w:noVBand="1"/>
      </w:tblPr>
      <w:tblGrid>
        <w:gridCol w:w="2363"/>
        <w:gridCol w:w="6750"/>
      </w:tblGrid>
      <w:tr w:rsidR="0098373C" w:rsidRPr="000E4BD6" w14:paraId="570A6289" w14:textId="77777777" w:rsidTr="00BA1388">
        <w:trPr>
          <w:trHeight w:val="220"/>
        </w:trPr>
        <w:tc>
          <w:tcPr>
            <w:tcW w:w="2363" w:type="dxa"/>
            <w:tcBorders>
              <w:top w:val="single" w:sz="4" w:space="0" w:color="auto"/>
              <w:left w:val="single" w:sz="4" w:space="0" w:color="auto"/>
              <w:bottom w:val="single" w:sz="8" w:space="0" w:color="000000"/>
              <w:right w:val="single" w:sz="8" w:space="0" w:color="FFFFFF"/>
            </w:tcBorders>
            <w:shd w:val="clear" w:color="auto" w:fill="365F91" w:themeFill="accent1" w:themeFillShade="BF"/>
            <w:tcMar>
              <w:top w:w="113" w:type="dxa"/>
              <w:left w:w="113" w:type="dxa"/>
              <w:bottom w:w="113" w:type="dxa"/>
              <w:right w:w="113" w:type="dxa"/>
            </w:tcMar>
            <w:hideMark/>
          </w:tcPr>
          <w:p w14:paraId="7E92FB94" w14:textId="77777777" w:rsidR="0098373C" w:rsidRPr="000E4BD6" w:rsidRDefault="0098373C" w:rsidP="00A5557B">
            <w:pPr>
              <w:tabs>
                <w:tab w:val="left" w:pos="2190"/>
              </w:tabs>
              <w:ind w:right="146"/>
              <w:jc w:val="both"/>
              <w:rPr>
                <w:rFonts w:cs="Arial"/>
                <w:b/>
                <w:color w:val="FFFFFF" w:themeColor="background1"/>
                <w:sz w:val="24"/>
                <w:szCs w:val="24"/>
              </w:rPr>
            </w:pPr>
            <w:r w:rsidRPr="000E4BD6">
              <w:rPr>
                <w:rFonts w:cs="Arial"/>
                <w:b/>
                <w:bCs/>
                <w:color w:val="FFFFFF" w:themeColor="background1"/>
                <w:sz w:val="24"/>
                <w:szCs w:val="24"/>
              </w:rPr>
              <w:t>Score</w:t>
            </w:r>
          </w:p>
        </w:tc>
        <w:tc>
          <w:tcPr>
            <w:tcW w:w="6750" w:type="dxa"/>
            <w:tcBorders>
              <w:top w:val="single" w:sz="4" w:space="0" w:color="auto"/>
              <w:left w:val="single" w:sz="8" w:space="0" w:color="FFFFFF"/>
              <w:bottom w:val="single" w:sz="4" w:space="0" w:color="auto"/>
              <w:right w:val="single" w:sz="4" w:space="0" w:color="auto"/>
            </w:tcBorders>
            <w:shd w:val="clear" w:color="auto" w:fill="365F91" w:themeFill="accent1" w:themeFillShade="BF"/>
            <w:tcMar>
              <w:top w:w="113" w:type="dxa"/>
              <w:left w:w="113" w:type="dxa"/>
              <w:bottom w:w="113" w:type="dxa"/>
              <w:right w:w="113" w:type="dxa"/>
            </w:tcMar>
            <w:hideMark/>
          </w:tcPr>
          <w:p w14:paraId="67CA4D75" w14:textId="77777777" w:rsidR="0098373C" w:rsidRPr="000E4BD6" w:rsidRDefault="0098373C" w:rsidP="00A5557B">
            <w:pPr>
              <w:tabs>
                <w:tab w:val="left" w:pos="2190"/>
              </w:tabs>
              <w:ind w:right="146"/>
              <w:jc w:val="both"/>
              <w:rPr>
                <w:rFonts w:cs="Arial"/>
                <w:b/>
                <w:color w:val="FFFFFF" w:themeColor="background1"/>
                <w:sz w:val="24"/>
                <w:szCs w:val="24"/>
              </w:rPr>
            </w:pPr>
            <w:r w:rsidRPr="000E4BD6">
              <w:rPr>
                <w:rFonts w:cs="Arial"/>
                <w:b/>
                <w:bCs/>
                <w:color w:val="FFFFFF" w:themeColor="background1"/>
                <w:sz w:val="24"/>
                <w:szCs w:val="24"/>
              </w:rPr>
              <w:t>Staining pattern</w:t>
            </w:r>
          </w:p>
        </w:tc>
      </w:tr>
      <w:tr w:rsidR="0098373C" w:rsidRPr="000E4BD6" w14:paraId="46E3D7C9" w14:textId="77777777" w:rsidTr="00AE1D5F">
        <w:trPr>
          <w:trHeight w:val="677"/>
        </w:trPr>
        <w:tc>
          <w:tcPr>
            <w:tcW w:w="2363" w:type="dxa"/>
            <w:tcBorders>
              <w:top w:val="single" w:sz="8" w:space="0" w:color="000000"/>
              <w:left w:val="single" w:sz="4" w:space="0" w:color="auto"/>
              <w:bottom w:val="single" w:sz="8" w:space="0" w:color="000000"/>
              <w:right w:val="single" w:sz="8" w:space="0" w:color="000000"/>
            </w:tcBorders>
            <w:tcMar>
              <w:top w:w="113" w:type="dxa"/>
              <w:left w:w="113" w:type="dxa"/>
              <w:bottom w:w="113" w:type="dxa"/>
              <w:right w:w="113" w:type="dxa"/>
            </w:tcMar>
            <w:vAlign w:val="center"/>
            <w:hideMark/>
          </w:tcPr>
          <w:p w14:paraId="4473043A" w14:textId="77777777" w:rsidR="0098373C" w:rsidRPr="000E4BD6" w:rsidRDefault="0098373C" w:rsidP="00A5557B">
            <w:pPr>
              <w:tabs>
                <w:tab w:val="left" w:pos="2190"/>
              </w:tabs>
              <w:ind w:right="146"/>
              <w:jc w:val="both"/>
              <w:rPr>
                <w:rFonts w:cs="Arial"/>
                <w:b/>
                <w:sz w:val="24"/>
                <w:szCs w:val="24"/>
              </w:rPr>
            </w:pPr>
            <w:r w:rsidRPr="000E4BD6">
              <w:rPr>
                <w:rFonts w:cs="Arial"/>
                <w:b/>
                <w:bCs/>
                <w:sz w:val="24"/>
                <w:szCs w:val="24"/>
              </w:rPr>
              <w:t>IHC 0(negative)</w:t>
            </w:r>
          </w:p>
        </w:tc>
        <w:tc>
          <w:tcPr>
            <w:tcW w:w="6750" w:type="dxa"/>
            <w:tcBorders>
              <w:top w:val="single" w:sz="4" w:space="0" w:color="auto"/>
              <w:left w:val="single" w:sz="8" w:space="0" w:color="000000"/>
              <w:bottom w:val="single" w:sz="8" w:space="0" w:color="000000"/>
              <w:right w:val="single" w:sz="4" w:space="0" w:color="auto"/>
            </w:tcBorders>
            <w:tcMar>
              <w:top w:w="113" w:type="dxa"/>
              <w:left w:w="113" w:type="dxa"/>
              <w:bottom w:w="113" w:type="dxa"/>
              <w:right w:w="113" w:type="dxa"/>
            </w:tcMar>
            <w:vAlign w:val="center"/>
            <w:hideMark/>
          </w:tcPr>
          <w:p w14:paraId="0B75F27A" w14:textId="77777777" w:rsidR="0098373C" w:rsidRPr="000E4BD6" w:rsidRDefault="0098373C" w:rsidP="00A5557B">
            <w:pPr>
              <w:tabs>
                <w:tab w:val="left" w:pos="2190"/>
              </w:tabs>
              <w:ind w:right="146"/>
              <w:jc w:val="both"/>
              <w:rPr>
                <w:rFonts w:cs="Arial"/>
                <w:b/>
                <w:sz w:val="24"/>
                <w:szCs w:val="24"/>
              </w:rPr>
            </w:pPr>
            <w:r w:rsidRPr="000E4BD6">
              <w:rPr>
                <w:rFonts w:cs="Arial"/>
                <w:b/>
                <w:sz w:val="24"/>
                <w:szCs w:val="24"/>
              </w:rPr>
              <w:t>No re</w:t>
            </w:r>
            <w:r w:rsidR="006E61B7">
              <w:rPr>
                <w:rFonts w:cs="Arial"/>
                <w:b/>
                <w:sz w:val="24"/>
                <w:szCs w:val="24"/>
              </w:rPr>
              <w:t>activity or membrane staining &lt;</w:t>
            </w:r>
            <w:r w:rsidRPr="000E4BD6">
              <w:rPr>
                <w:rFonts w:cs="Arial"/>
                <w:b/>
                <w:sz w:val="24"/>
                <w:szCs w:val="24"/>
              </w:rPr>
              <w:t xml:space="preserve">10% of invasive </w:t>
            </w:r>
            <w:r w:rsidR="00AD2B20" w:rsidRPr="000E4BD6">
              <w:rPr>
                <w:rFonts w:cs="Arial"/>
                <w:b/>
                <w:sz w:val="24"/>
                <w:szCs w:val="24"/>
              </w:rPr>
              <w:t>tumor</w:t>
            </w:r>
            <w:r w:rsidRPr="000E4BD6">
              <w:rPr>
                <w:rFonts w:cs="Arial"/>
                <w:b/>
                <w:sz w:val="24"/>
                <w:szCs w:val="24"/>
              </w:rPr>
              <w:t xml:space="preserve"> cells</w:t>
            </w:r>
          </w:p>
        </w:tc>
      </w:tr>
      <w:tr w:rsidR="0098373C" w:rsidRPr="000E4BD6" w14:paraId="19DAAC3F" w14:textId="77777777" w:rsidTr="00BA1388">
        <w:trPr>
          <w:trHeight w:val="560"/>
        </w:trPr>
        <w:tc>
          <w:tcPr>
            <w:tcW w:w="2363"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hideMark/>
          </w:tcPr>
          <w:p w14:paraId="2DDA0CF7" w14:textId="77777777" w:rsidR="0098373C" w:rsidRPr="000E4BD6" w:rsidRDefault="0098373C" w:rsidP="00A5557B">
            <w:pPr>
              <w:tabs>
                <w:tab w:val="left" w:pos="2190"/>
              </w:tabs>
              <w:ind w:right="146"/>
              <w:jc w:val="both"/>
              <w:rPr>
                <w:rFonts w:cs="Arial"/>
                <w:b/>
                <w:sz w:val="24"/>
                <w:szCs w:val="24"/>
              </w:rPr>
            </w:pPr>
            <w:r w:rsidRPr="000E4BD6">
              <w:rPr>
                <w:rFonts w:cs="Arial"/>
                <w:b/>
                <w:bCs/>
                <w:sz w:val="24"/>
                <w:szCs w:val="24"/>
              </w:rPr>
              <w:t>IHC 1+(negative)</w:t>
            </w:r>
          </w:p>
        </w:tc>
        <w:tc>
          <w:tcPr>
            <w:tcW w:w="6750"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hideMark/>
          </w:tcPr>
          <w:p w14:paraId="21303C7E" w14:textId="77777777" w:rsidR="006E61B7" w:rsidRDefault="0098373C" w:rsidP="00771B7C">
            <w:pPr>
              <w:tabs>
                <w:tab w:val="left" w:pos="2190"/>
              </w:tabs>
              <w:ind w:right="146"/>
              <w:jc w:val="both"/>
              <w:rPr>
                <w:rFonts w:cs="Arial"/>
                <w:b/>
                <w:sz w:val="24"/>
                <w:szCs w:val="24"/>
                <w:lang w:val="en-GB"/>
              </w:rPr>
            </w:pPr>
            <w:r w:rsidRPr="000E4BD6">
              <w:rPr>
                <w:rFonts w:cs="Arial"/>
                <w:b/>
                <w:sz w:val="24"/>
                <w:szCs w:val="24"/>
                <w:lang w:val="en-GB"/>
              </w:rPr>
              <w:t xml:space="preserve">Faint/barely perceptible </w:t>
            </w:r>
            <w:r w:rsidR="00771B7C">
              <w:rPr>
                <w:rFonts w:cs="Arial"/>
                <w:b/>
                <w:sz w:val="24"/>
                <w:szCs w:val="24"/>
                <w:lang w:val="en-GB"/>
              </w:rPr>
              <w:t xml:space="preserve">INCOMPLETE </w:t>
            </w:r>
            <w:r w:rsidRPr="000E4BD6">
              <w:rPr>
                <w:rFonts w:cs="Arial"/>
                <w:b/>
                <w:sz w:val="24"/>
                <w:szCs w:val="24"/>
                <w:lang w:val="en-GB"/>
              </w:rPr>
              <w:t>membrane sta</w:t>
            </w:r>
            <w:r w:rsidR="00771B7C">
              <w:rPr>
                <w:rFonts w:cs="Arial"/>
                <w:b/>
                <w:sz w:val="24"/>
                <w:szCs w:val="24"/>
                <w:lang w:val="en-GB"/>
              </w:rPr>
              <w:t xml:space="preserve">ining in </w:t>
            </w:r>
          </w:p>
          <w:p w14:paraId="528D82AB" w14:textId="77777777" w:rsidR="0098373C" w:rsidRPr="000E4BD6" w:rsidRDefault="006E61B7" w:rsidP="00771B7C">
            <w:pPr>
              <w:tabs>
                <w:tab w:val="left" w:pos="2190"/>
              </w:tabs>
              <w:ind w:right="146"/>
              <w:jc w:val="both"/>
              <w:rPr>
                <w:rFonts w:cs="Arial"/>
                <w:b/>
                <w:sz w:val="24"/>
                <w:szCs w:val="24"/>
              </w:rPr>
            </w:pPr>
            <w:r>
              <w:rPr>
                <w:rFonts w:cs="Arial"/>
                <w:b/>
                <w:sz w:val="24"/>
                <w:szCs w:val="24"/>
                <w:lang w:val="en-GB"/>
              </w:rPr>
              <w:t>&gt;</w:t>
            </w:r>
            <w:r w:rsidR="00771B7C">
              <w:rPr>
                <w:rFonts w:cs="Arial"/>
                <w:b/>
                <w:sz w:val="24"/>
                <w:szCs w:val="24"/>
                <w:lang w:val="en-GB"/>
              </w:rPr>
              <w:t>10% of tumour cells</w:t>
            </w:r>
          </w:p>
        </w:tc>
      </w:tr>
      <w:tr w:rsidR="0098373C" w:rsidRPr="000E4BD6" w14:paraId="3C18AAAC" w14:textId="77777777" w:rsidTr="00BA1388">
        <w:trPr>
          <w:trHeight w:val="677"/>
        </w:trPr>
        <w:tc>
          <w:tcPr>
            <w:tcW w:w="2363"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hideMark/>
          </w:tcPr>
          <w:p w14:paraId="750EA35B" w14:textId="77777777" w:rsidR="0098373C" w:rsidRPr="000E4BD6" w:rsidRDefault="0098373C" w:rsidP="00A5557B">
            <w:pPr>
              <w:tabs>
                <w:tab w:val="left" w:pos="2190"/>
              </w:tabs>
              <w:ind w:right="146"/>
              <w:jc w:val="both"/>
              <w:rPr>
                <w:rFonts w:cs="Arial"/>
                <w:b/>
                <w:sz w:val="24"/>
                <w:szCs w:val="24"/>
              </w:rPr>
            </w:pPr>
            <w:r w:rsidRPr="000E4BD6">
              <w:rPr>
                <w:rFonts w:cs="Arial"/>
                <w:b/>
                <w:bCs/>
                <w:sz w:val="24"/>
                <w:szCs w:val="24"/>
              </w:rPr>
              <w:t>IHC 2+(equivocal)</w:t>
            </w:r>
          </w:p>
        </w:tc>
        <w:tc>
          <w:tcPr>
            <w:tcW w:w="6750"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hideMark/>
          </w:tcPr>
          <w:p w14:paraId="4D9DDC49" w14:textId="77777777" w:rsidR="0098373C" w:rsidRPr="000E4BD6" w:rsidRDefault="0098373C" w:rsidP="00771B7C">
            <w:pPr>
              <w:tabs>
                <w:tab w:val="left" w:pos="2190"/>
              </w:tabs>
              <w:ind w:right="146"/>
              <w:jc w:val="both"/>
              <w:rPr>
                <w:rFonts w:cs="Arial"/>
                <w:b/>
                <w:sz w:val="24"/>
                <w:szCs w:val="24"/>
              </w:rPr>
            </w:pPr>
            <w:r w:rsidRPr="000E4BD6">
              <w:rPr>
                <w:rFonts w:cs="Arial"/>
                <w:b/>
                <w:sz w:val="24"/>
                <w:szCs w:val="24"/>
                <w:lang w:val="en-GB"/>
              </w:rPr>
              <w:t xml:space="preserve">Weak-to-moderate </w:t>
            </w:r>
            <w:r w:rsidR="00771B7C">
              <w:rPr>
                <w:rFonts w:cs="Arial"/>
                <w:b/>
                <w:sz w:val="24"/>
                <w:szCs w:val="24"/>
                <w:lang w:val="en-GB"/>
              </w:rPr>
              <w:t>COMPLETE</w:t>
            </w:r>
            <w:r w:rsidRPr="000E4BD6">
              <w:rPr>
                <w:rFonts w:cs="Arial"/>
                <w:b/>
                <w:sz w:val="24"/>
                <w:szCs w:val="24"/>
                <w:lang w:val="en-GB"/>
              </w:rPr>
              <w:t xml:space="preserve"> membrane staining in &gt;10% of invasive tumour cells</w:t>
            </w:r>
          </w:p>
        </w:tc>
      </w:tr>
      <w:tr w:rsidR="0098373C" w:rsidRPr="000E4BD6" w14:paraId="6C73CBC3" w14:textId="77777777" w:rsidTr="00BA1388">
        <w:trPr>
          <w:trHeight w:val="560"/>
        </w:trPr>
        <w:tc>
          <w:tcPr>
            <w:tcW w:w="2363"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hideMark/>
          </w:tcPr>
          <w:p w14:paraId="19584D45" w14:textId="77777777" w:rsidR="0098373C" w:rsidRPr="000E4BD6" w:rsidRDefault="0098373C" w:rsidP="00A5557B">
            <w:pPr>
              <w:tabs>
                <w:tab w:val="left" w:pos="2190"/>
              </w:tabs>
              <w:ind w:right="146"/>
              <w:jc w:val="both"/>
              <w:rPr>
                <w:rFonts w:cs="Arial"/>
                <w:b/>
                <w:sz w:val="24"/>
                <w:szCs w:val="24"/>
              </w:rPr>
            </w:pPr>
            <w:r w:rsidRPr="000E4BD6">
              <w:rPr>
                <w:rFonts w:cs="Arial"/>
                <w:b/>
                <w:bCs/>
                <w:sz w:val="24"/>
                <w:szCs w:val="24"/>
              </w:rPr>
              <w:t>IHC 3+(positive)</w:t>
            </w:r>
          </w:p>
        </w:tc>
        <w:tc>
          <w:tcPr>
            <w:tcW w:w="6750"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hideMark/>
          </w:tcPr>
          <w:p w14:paraId="6B99202A" w14:textId="77777777" w:rsidR="0098373C" w:rsidRPr="000E4BD6" w:rsidRDefault="0098373C" w:rsidP="00771B7C">
            <w:pPr>
              <w:tabs>
                <w:tab w:val="left" w:pos="2190"/>
              </w:tabs>
              <w:ind w:right="146"/>
              <w:jc w:val="both"/>
              <w:rPr>
                <w:rFonts w:cs="Arial"/>
                <w:b/>
                <w:sz w:val="24"/>
                <w:szCs w:val="24"/>
              </w:rPr>
            </w:pPr>
            <w:r w:rsidRPr="000E4BD6">
              <w:rPr>
                <w:rFonts w:cs="Arial"/>
                <w:b/>
                <w:sz w:val="24"/>
                <w:szCs w:val="24"/>
                <w:lang w:val="en-GB"/>
              </w:rPr>
              <w:t xml:space="preserve">Strong </w:t>
            </w:r>
            <w:r w:rsidR="00771B7C">
              <w:rPr>
                <w:rFonts w:cs="Arial"/>
                <w:b/>
                <w:sz w:val="24"/>
                <w:szCs w:val="24"/>
                <w:lang w:val="en-GB"/>
              </w:rPr>
              <w:t>COMPLETE</w:t>
            </w:r>
            <w:r w:rsidR="003F43F7">
              <w:rPr>
                <w:rFonts w:cs="Arial"/>
                <w:b/>
                <w:sz w:val="24"/>
                <w:szCs w:val="24"/>
                <w:lang w:val="en-GB"/>
              </w:rPr>
              <w:t xml:space="preserve"> </w:t>
            </w:r>
            <w:r w:rsidR="006E61B7">
              <w:rPr>
                <w:rFonts w:cs="Arial"/>
                <w:b/>
                <w:sz w:val="24"/>
                <w:szCs w:val="24"/>
                <w:lang w:val="en-GB"/>
              </w:rPr>
              <w:t>membrane staining in &gt;</w:t>
            </w:r>
            <w:r w:rsidRPr="000E4BD6">
              <w:rPr>
                <w:rFonts w:cs="Arial"/>
                <w:b/>
                <w:sz w:val="24"/>
                <w:szCs w:val="24"/>
                <w:lang w:val="en-GB"/>
              </w:rPr>
              <w:t>10%</w:t>
            </w:r>
            <w:r w:rsidR="006E61B7">
              <w:rPr>
                <w:rFonts w:cs="Arial"/>
                <w:b/>
                <w:sz w:val="24"/>
                <w:szCs w:val="24"/>
                <w:lang w:val="en-GB"/>
              </w:rPr>
              <w:t xml:space="preserve"> </w:t>
            </w:r>
            <w:r w:rsidRPr="000E4BD6">
              <w:rPr>
                <w:rFonts w:cs="Arial"/>
                <w:b/>
                <w:sz w:val="24"/>
                <w:szCs w:val="24"/>
                <w:lang w:val="en-GB"/>
              </w:rPr>
              <w:t>of invasive tumour cells</w:t>
            </w:r>
          </w:p>
        </w:tc>
      </w:tr>
    </w:tbl>
    <w:p w14:paraId="315CF63F" w14:textId="77777777" w:rsidR="0098373C" w:rsidRDefault="00B5110E" w:rsidP="00A001E9">
      <w:pPr>
        <w:pStyle w:val="Heading1"/>
        <w:ind w:right="146"/>
      </w:pPr>
      <w:r>
        <w:t xml:space="preserve">Details of </w:t>
      </w:r>
      <w:r w:rsidR="0098373C" w:rsidRPr="00BA4897">
        <w:t>Her2neu IHC</w:t>
      </w:r>
      <w:r w:rsidR="00A001E9">
        <w:t xml:space="preserve"> – Run 29</w:t>
      </w:r>
    </w:p>
    <w:p w14:paraId="565F92D8" w14:textId="77777777" w:rsidR="006E61B7" w:rsidRPr="006E61B7" w:rsidRDefault="006E61B7" w:rsidP="006E61B7"/>
    <w:p w14:paraId="2B915F02" w14:textId="77777777" w:rsidR="002459FA" w:rsidRDefault="00165F58" w:rsidP="00A5557B">
      <w:pPr>
        <w:tabs>
          <w:tab w:val="left" w:pos="2190"/>
        </w:tabs>
        <w:spacing w:line="360" w:lineRule="auto"/>
        <w:ind w:right="146"/>
        <w:jc w:val="both"/>
        <w:rPr>
          <w:rFonts w:cs="Arial"/>
          <w:sz w:val="24"/>
          <w:szCs w:val="24"/>
        </w:rPr>
      </w:pPr>
      <w:r>
        <w:rPr>
          <w:rFonts w:cs="Arial"/>
          <w:sz w:val="24"/>
          <w:szCs w:val="24"/>
        </w:rPr>
        <w:t>The circulated</w:t>
      </w:r>
      <w:r w:rsidR="0098373C" w:rsidRPr="00EA3733">
        <w:rPr>
          <w:rFonts w:cs="Arial"/>
          <w:sz w:val="24"/>
          <w:szCs w:val="24"/>
        </w:rPr>
        <w:t xml:space="preserve"> Tissue Microarray (TMA) </w:t>
      </w:r>
      <w:r>
        <w:rPr>
          <w:rFonts w:cs="Arial"/>
          <w:sz w:val="24"/>
          <w:szCs w:val="24"/>
        </w:rPr>
        <w:t xml:space="preserve">comprised of 12 cores containing </w:t>
      </w:r>
      <w:r w:rsidR="0098373C" w:rsidRPr="00EA3733">
        <w:rPr>
          <w:rFonts w:cs="Arial"/>
          <w:sz w:val="24"/>
          <w:szCs w:val="24"/>
        </w:rPr>
        <w:t xml:space="preserve">10 </w:t>
      </w:r>
      <w:r w:rsidR="00AE1E4F">
        <w:rPr>
          <w:rFonts w:cs="Arial"/>
          <w:sz w:val="24"/>
          <w:szCs w:val="24"/>
        </w:rPr>
        <w:t xml:space="preserve">invasive breast </w:t>
      </w:r>
      <w:r w:rsidR="0098373C" w:rsidRPr="00EA3733">
        <w:rPr>
          <w:rFonts w:cs="Arial"/>
          <w:sz w:val="24"/>
          <w:szCs w:val="24"/>
        </w:rPr>
        <w:t xml:space="preserve">carcinoma </w:t>
      </w:r>
      <w:r w:rsidR="00AE1E4F">
        <w:rPr>
          <w:rFonts w:cs="Arial"/>
          <w:sz w:val="24"/>
          <w:szCs w:val="24"/>
        </w:rPr>
        <w:t>samples with</w:t>
      </w:r>
      <w:r w:rsidR="0098373C" w:rsidRPr="00EA3733">
        <w:rPr>
          <w:rFonts w:cs="Arial"/>
          <w:sz w:val="24"/>
          <w:szCs w:val="24"/>
        </w:rPr>
        <w:t xml:space="preserve"> one blank and one lymph node core as a negative control. </w:t>
      </w:r>
      <w:r w:rsidR="0098373C">
        <w:rPr>
          <w:rFonts w:cs="Arial"/>
          <w:sz w:val="24"/>
          <w:szCs w:val="24"/>
        </w:rPr>
        <w:t xml:space="preserve">The cores covered a spectrum of </w:t>
      </w:r>
      <w:r w:rsidR="002459FA">
        <w:rPr>
          <w:rFonts w:cs="Arial"/>
          <w:sz w:val="24"/>
          <w:szCs w:val="24"/>
        </w:rPr>
        <w:t xml:space="preserve">results </w:t>
      </w:r>
      <w:r w:rsidR="0098373C">
        <w:rPr>
          <w:rFonts w:cs="Arial"/>
          <w:sz w:val="24"/>
          <w:szCs w:val="24"/>
        </w:rPr>
        <w:t xml:space="preserve">for Her2neu. </w:t>
      </w:r>
      <w:r w:rsidR="00F72304">
        <w:rPr>
          <w:rFonts w:cs="Arial"/>
          <w:sz w:val="24"/>
          <w:szCs w:val="24"/>
        </w:rPr>
        <w:t>We</w:t>
      </w:r>
      <w:r w:rsidR="000744D8">
        <w:rPr>
          <w:rFonts w:cs="Arial"/>
          <w:sz w:val="24"/>
          <w:szCs w:val="24"/>
        </w:rPr>
        <w:t xml:space="preserve"> are now moving to an era of low Her2Neu expression and</w:t>
      </w:r>
      <w:r w:rsidR="00382C50">
        <w:rPr>
          <w:rFonts w:cs="Arial"/>
          <w:sz w:val="24"/>
          <w:szCs w:val="24"/>
        </w:rPr>
        <w:t xml:space="preserve"> </w:t>
      </w:r>
      <w:r w:rsidR="00F72304">
        <w:rPr>
          <w:rFonts w:cs="Arial"/>
          <w:sz w:val="24"/>
          <w:szCs w:val="24"/>
        </w:rPr>
        <w:t>the biggest challenge was in selecting</w:t>
      </w:r>
      <w:r w:rsidR="003F43F7">
        <w:rPr>
          <w:rFonts w:cs="Arial"/>
          <w:sz w:val="24"/>
          <w:szCs w:val="24"/>
        </w:rPr>
        <w:t xml:space="preserve"> </w:t>
      </w:r>
      <w:r>
        <w:rPr>
          <w:rFonts w:cs="Arial"/>
          <w:sz w:val="24"/>
          <w:szCs w:val="24"/>
        </w:rPr>
        <w:t xml:space="preserve">score 1+ </w:t>
      </w:r>
      <w:r w:rsidR="008676FA">
        <w:rPr>
          <w:rFonts w:cs="Arial"/>
          <w:sz w:val="24"/>
          <w:szCs w:val="24"/>
        </w:rPr>
        <w:t>result (</w:t>
      </w:r>
      <w:r w:rsidR="00CB27B9">
        <w:rPr>
          <w:rFonts w:cs="Arial"/>
          <w:sz w:val="24"/>
          <w:szCs w:val="24"/>
        </w:rPr>
        <w:t>core 5/11)</w:t>
      </w:r>
      <w:r w:rsidR="000744D8">
        <w:rPr>
          <w:rFonts w:cs="Arial"/>
          <w:sz w:val="24"/>
          <w:szCs w:val="24"/>
        </w:rPr>
        <w:t xml:space="preserve">. </w:t>
      </w:r>
      <w:r w:rsidR="00F72304">
        <w:rPr>
          <w:rFonts w:cs="Arial"/>
          <w:sz w:val="24"/>
          <w:szCs w:val="24"/>
        </w:rPr>
        <w:t xml:space="preserve">It is essential to understand that Low positive HER2 (score 1+) definition is only applicable to the Ventana ultra or Benchmark XT platform </w:t>
      </w:r>
      <w:r w:rsidR="008676FA">
        <w:rPr>
          <w:rFonts w:cs="Arial"/>
          <w:sz w:val="24"/>
          <w:szCs w:val="24"/>
        </w:rPr>
        <w:t xml:space="preserve">locked protocol </w:t>
      </w:r>
      <w:r w:rsidR="00F72304">
        <w:rPr>
          <w:rFonts w:cs="Arial"/>
          <w:sz w:val="24"/>
          <w:szCs w:val="24"/>
        </w:rPr>
        <w:t xml:space="preserve">as a companion diagnostic for Enhertu. </w:t>
      </w:r>
      <w:r w:rsidR="001B4360">
        <w:rPr>
          <w:rFonts w:cs="Arial"/>
          <w:sz w:val="24"/>
          <w:szCs w:val="24"/>
        </w:rPr>
        <w:t>Nevertheless,</w:t>
      </w:r>
      <w:r w:rsidR="002A29CA">
        <w:rPr>
          <w:rFonts w:cs="Arial"/>
          <w:sz w:val="24"/>
          <w:szCs w:val="24"/>
        </w:rPr>
        <w:t xml:space="preserve"> we used this opportunity </w:t>
      </w:r>
      <w:r w:rsidR="001A470F">
        <w:rPr>
          <w:rFonts w:cs="Arial"/>
          <w:sz w:val="24"/>
          <w:szCs w:val="24"/>
        </w:rPr>
        <w:t xml:space="preserve">to understand practices for low HER2 across the EQAS centers and hence a </w:t>
      </w:r>
      <w:r w:rsidR="00A001E9">
        <w:rPr>
          <w:rFonts w:cs="Arial"/>
          <w:sz w:val="24"/>
          <w:szCs w:val="24"/>
        </w:rPr>
        <w:t>Google</w:t>
      </w:r>
      <w:r w:rsidR="001A470F">
        <w:rPr>
          <w:rFonts w:cs="Arial"/>
          <w:sz w:val="24"/>
          <w:szCs w:val="24"/>
        </w:rPr>
        <w:t xml:space="preserve"> form </w:t>
      </w:r>
      <w:r w:rsidR="001B4360">
        <w:rPr>
          <w:rFonts w:cs="Arial"/>
          <w:sz w:val="24"/>
          <w:szCs w:val="24"/>
        </w:rPr>
        <w:t>to understand</w:t>
      </w:r>
      <w:r w:rsidR="001A470F">
        <w:rPr>
          <w:rFonts w:cs="Arial"/>
          <w:sz w:val="24"/>
          <w:szCs w:val="24"/>
        </w:rPr>
        <w:t xml:space="preserve"> the same </w:t>
      </w:r>
      <w:r w:rsidR="001B4360">
        <w:rPr>
          <w:rFonts w:cs="Arial"/>
          <w:sz w:val="24"/>
          <w:szCs w:val="24"/>
        </w:rPr>
        <w:t>was sent</w:t>
      </w:r>
      <w:r w:rsidR="001A470F">
        <w:rPr>
          <w:rFonts w:cs="Arial"/>
          <w:sz w:val="24"/>
          <w:szCs w:val="24"/>
        </w:rPr>
        <w:t xml:space="preserve"> to centers.</w:t>
      </w:r>
    </w:p>
    <w:p w14:paraId="02F690D8" w14:textId="77777777" w:rsidR="004050CE" w:rsidRDefault="00165F58" w:rsidP="00A5557B">
      <w:pPr>
        <w:tabs>
          <w:tab w:val="left" w:pos="2190"/>
        </w:tabs>
        <w:spacing w:line="360" w:lineRule="auto"/>
        <w:ind w:right="146"/>
        <w:jc w:val="both"/>
        <w:rPr>
          <w:rFonts w:cs="Arial"/>
          <w:sz w:val="24"/>
          <w:szCs w:val="24"/>
        </w:rPr>
      </w:pPr>
      <w:r>
        <w:rPr>
          <w:rFonts w:cs="Arial"/>
          <w:sz w:val="24"/>
          <w:szCs w:val="24"/>
        </w:rPr>
        <w:t>An ideal score was generated for each of the core</w:t>
      </w:r>
      <w:r w:rsidR="00FE5D0A">
        <w:rPr>
          <w:rFonts w:cs="Arial"/>
          <w:sz w:val="24"/>
          <w:szCs w:val="24"/>
        </w:rPr>
        <w:t>s</w:t>
      </w:r>
      <w:r w:rsidR="003F43F7">
        <w:rPr>
          <w:rFonts w:cs="Arial"/>
          <w:sz w:val="24"/>
          <w:szCs w:val="24"/>
        </w:rPr>
        <w:t xml:space="preserve"> </w:t>
      </w:r>
      <w:r w:rsidR="008676FA">
        <w:rPr>
          <w:rFonts w:cs="Arial"/>
          <w:sz w:val="24"/>
          <w:szCs w:val="24"/>
        </w:rPr>
        <w:t xml:space="preserve">within the TMA </w:t>
      </w:r>
      <w:r>
        <w:rPr>
          <w:rFonts w:cs="Arial"/>
          <w:sz w:val="24"/>
          <w:szCs w:val="24"/>
        </w:rPr>
        <w:t xml:space="preserve">through a sum of </w:t>
      </w:r>
      <w:r w:rsidR="00D8043C">
        <w:rPr>
          <w:rFonts w:cs="Arial"/>
          <w:sz w:val="24"/>
          <w:szCs w:val="24"/>
        </w:rPr>
        <w:t xml:space="preserve">several </w:t>
      </w:r>
      <w:r>
        <w:rPr>
          <w:rFonts w:cs="Arial"/>
          <w:sz w:val="24"/>
          <w:szCs w:val="24"/>
        </w:rPr>
        <w:t xml:space="preserve">methods.  Besides using FISH as a gold standard, these </w:t>
      </w:r>
      <w:r w:rsidR="0098373C" w:rsidRPr="00EA3733">
        <w:rPr>
          <w:rFonts w:cs="Arial"/>
          <w:sz w:val="24"/>
          <w:szCs w:val="24"/>
        </w:rPr>
        <w:t xml:space="preserve">TMA sections were stained using FDA approved antibodies (PATHWAY by Ventana, Clone 4B5 run on Ventana Benchmark </w:t>
      </w:r>
      <w:r w:rsidR="000744D8" w:rsidRPr="00EC5885">
        <w:rPr>
          <w:rFonts w:cs="Arial"/>
          <w:sz w:val="24"/>
          <w:szCs w:val="24"/>
        </w:rPr>
        <w:t>Ultra</w:t>
      </w:r>
      <w:r w:rsidR="003F43F7">
        <w:rPr>
          <w:rFonts w:cs="Arial"/>
          <w:sz w:val="24"/>
          <w:szCs w:val="24"/>
        </w:rPr>
        <w:t xml:space="preserve"> </w:t>
      </w:r>
      <w:r w:rsidR="001B4360" w:rsidRPr="00EC5885">
        <w:rPr>
          <w:rFonts w:cs="Arial"/>
          <w:sz w:val="24"/>
          <w:szCs w:val="24"/>
        </w:rPr>
        <w:t>Autostainer</w:t>
      </w:r>
      <w:r w:rsidR="003F43F7">
        <w:rPr>
          <w:rFonts w:cs="Arial"/>
          <w:sz w:val="24"/>
          <w:szCs w:val="24"/>
        </w:rPr>
        <w:t xml:space="preserve"> </w:t>
      </w:r>
      <w:r w:rsidRPr="00EC5885">
        <w:rPr>
          <w:rFonts w:cs="Arial"/>
          <w:sz w:val="24"/>
          <w:szCs w:val="24"/>
        </w:rPr>
        <w:t>and m</w:t>
      </w:r>
      <w:r w:rsidR="0098373C" w:rsidRPr="00EC5885">
        <w:rPr>
          <w:rFonts w:cs="Arial"/>
          <w:sz w:val="24"/>
          <w:szCs w:val="24"/>
        </w:rPr>
        <w:t>anual Hercep</w:t>
      </w:r>
      <w:r w:rsidR="00AC1449">
        <w:rPr>
          <w:rFonts w:cs="Arial"/>
          <w:sz w:val="24"/>
          <w:szCs w:val="24"/>
        </w:rPr>
        <w:t xml:space="preserve"> t</w:t>
      </w:r>
      <w:r w:rsidR="0098373C" w:rsidRPr="00EC5885">
        <w:rPr>
          <w:rFonts w:cs="Arial"/>
          <w:sz w:val="24"/>
          <w:szCs w:val="24"/>
        </w:rPr>
        <w:t>est by DAKO)</w:t>
      </w:r>
      <w:r w:rsidR="0098373C" w:rsidRPr="00EA3733">
        <w:rPr>
          <w:rFonts w:cs="Arial"/>
          <w:sz w:val="24"/>
          <w:szCs w:val="24"/>
        </w:rPr>
        <w:t xml:space="preserve">. Fluorescence In-Situ Hybridization (FISH) for Her2neu was done on this TMA using the ZytoLight SPEC ERBB2/CEN 17 Dual color </w:t>
      </w:r>
      <w:r w:rsidR="008676FA" w:rsidRPr="00EA3733">
        <w:rPr>
          <w:rFonts w:cs="Arial"/>
          <w:sz w:val="24"/>
          <w:szCs w:val="24"/>
        </w:rPr>
        <w:t>probe</w:t>
      </w:r>
      <w:r w:rsidR="008676FA">
        <w:rPr>
          <w:rFonts w:cs="Arial"/>
          <w:sz w:val="24"/>
          <w:szCs w:val="24"/>
        </w:rPr>
        <w:t>. Final</w:t>
      </w:r>
      <w:r w:rsidR="00D8043C">
        <w:rPr>
          <w:rFonts w:cs="Arial"/>
          <w:sz w:val="24"/>
          <w:szCs w:val="24"/>
        </w:rPr>
        <w:t xml:space="preserve"> immunohistochemistry</w:t>
      </w:r>
      <w:r w:rsidR="004050CE">
        <w:rPr>
          <w:rFonts w:cs="Arial"/>
          <w:sz w:val="24"/>
          <w:szCs w:val="24"/>
        </w:rPr>
        <w:t xml:space="preserve"> results were matched with </w:t>
      </w:r>
      <w:r w:rsidR="00D8043C">
        <w:rPr>
          <w:rFonts w:cs="Arial"/>
          <w:sz w:val="24"/>
          <w:szCs w:val="24"/>
        </w:rPr>
        <w:t xml:space="preserve">the </w:t>
      </w:r>
      <w:r w:rsidR="004050CE">
        <w:rPr>
          <w:rFonts w:cs="Arial"/>
          <w:sz w:val="24"/>
          <w:szCs w:val="24"/>
        </w:rPr>
        <w:t>FISH results.</w:t>
      </w:r>
    </w:p>
    <w:p w14:paraId="481F5C06" w14:textId="77777777" w:rsidR="00165F58" w:rsidRPr="005542F5" w:rsidRDefault="0098373C" w:rsidP="00A5557B">
      <w:pPr>
        <w:tabs>
          <w:tab w:val="left" w:pos="2190"/>
        </w:tabs>
        <w:spacing w:line="360" w:lineRule="auto"/>
        <w:ind w:right="146"/>
        <w:jc w:val="both"/>
        <w:rPr>
          <w:sz w:val="24"/>
          <w:szCs w:val="24"/>
        </w:rPr>
      </w:pPr>
      <w:r w:rsidRPr="005542F5">
        <w:rPr>
          <w:rFonts w:cs="Arial"/>
          <w:sz w:val="24"/>
          <w:szCs w:val="24"/>
        </w:rPr>
        <w:lastRenderedPageBreak/>
        <w:t xml:space="preserve">Sections from the above TMA were couriered </w:t>
      </w:r>
      <w:r w:rsidRPr="005542F5">
        <w:rPr>
          <w:sz w:val="24"/>
          <w:szCs w:val="24"/>
        </w:rPr>
        <w:t>to the participants for staining using their protocols</w:t>
      </w:r>
      <w:r w:rsidRPr="005542F5">
        <w:rPr>
          <w:rFonts w:cs="Arial"/>
          <w:sz w:val="24"/>
          <w:szCs w:val="24"/>
        </w:rPr>
        <w:t xml:space="preserve">. The participants entered their interpretation of the core staining in the Run report as </w:t>
      </w:r>
      <w:r w:rsidRPr="005542F5">
        <w:rPr>
          <w:rFonts w:cs="Arial"/>
          <w:b/>
          <w:sz w:val="24"/>
          <w:szCs w:val="24"/>
        </w:rPr>
        <w:t>“Participant score</w:t>
      </w:r>
      <w:r w:rsidRPr="005542F5">
        <w:rPr>
          <w:rFonts w:cs="Arial"/>
          <w:sz w:val="24"/>
          <w:szCs w:val="24"/>
        </w:rPr>
        <w:t xml:space="preserve">”. </w:t>
      </w:r>
      <w:r w:rsidRPr="005542F5">
        <w:rPr>
          <w:sz w:val="24"/>
          <w:szCs w:val="24"/>
        </w:rPr>
        <w:t xml:space="preserve">The stained TMA was </w:t>
      </w:r>
      <w:r w:rsidR="009033DE" w:rsidRPr="005542F5">
        <w:rPr>
          <w:sz w:val="24"/>
          <w:szCs w:val="24"/>
        </w:rPr>
        <w:t>couriered</w:t>
      </w:r>
      <w:r w:rsidRPr="005542F5">
        <w:rPr>
          <w:sz w:val="24"/>
          <w:szCs w:val="24"/>
        </w:rPr>
        <w:t xml:space="preserve"> back by participants to the NCGEQAS after uploading the results. </w:t>
      </w:r>
    </w:p>
    <w:p w14:paraId="761A3CCD" w14:textId="77777777" w:rsidR="00FA43A6" w:rsidRPr="005542F5" w:rsidRDefault="0098373C" w:rsidP="00983A0A">
      <w:pPr>
        <w:tabs>
          <w:tab w:val="left" w:pos="2190"/>
        </w:tabs>
        <w:spacing w:line="360" w:lineRule="auto"/>
        <w:ind w:right="146"/>
        <w:jc w:val="both"/>
        <w:rPr>
          <w:sz w:val="24"/>
          <w:szCs w:val="24"/>
        </w:rPr>
      </w:pPr>
      <w:r w:rsidRPr="005542F5">
        <w:rPr>
          <w:sz w:val="24"/>
          <w:szCs w:val="24"/>
        </w:rPr>
        <w:t>Two expert</w:t>
      </w:r>
      <w:r w:rsidR="00983A0A" w:rsidRPr="005542F5">
        <w:rPr>
          <w:sz w:val="24"/>
          <w:szCs w:val="24"/>
        </w:rPr>
        <w:t xml:space="preserve"> breast</w:t>
      </w:r>
      <w:r w:rsidRPr="005542F5">
        <w:rPr>
          <w:sz w:val="24"/>
          <w:szCs w:val="24"/>
        </w:rPr>
        <w:t xml:space="preserve"> pathologists</w:t>
      </w:r>
      <w:r w:rsidR="003F43F7">
        <w:rPr>
          <w:sz w:val="24"/>
          <w:szCs w:val="24"/>
        </w:rPr>
        <w:t xml:space="preserve"> </w:t>
      </w:r>
      <w:r w:rsidRPr="005542F5">
        <w:rPr>
          <w:sz w:val="24"/>
          <w:szCs w:val="24"/>
        </w:rPr>
        <w:t>from NCGEQAS then saw the TMA and prepared an “</w:t>
      </w:r>
      <w:r w:rsidRPr="005542F5">
        <w:rPr>
          <w:b/>
          <w:sz w:val="24"/>
          <w:szCs w:val="24"/>
        </w:rPr>
        <w:t>EQA</w:t>
      </w:r>
      <w:r w:rsidR="00F65A67" w:rsidRPr="005542F5">
        <w:rPr>
          <w:b/>
          <w:sz w:val="24"/>
          <w:szCs w:val="24"/>
        </w:rPr>
        <w:t>S</w:t>
      </w:r>
      <w:r w:rsidR="00CA45C9">
        <w:rPr>
          <w:b/>
          <w:sz w:val="24"/>
          <w:szCs w:val="24"/>
        </w:rPr>
        <w:t xml:space="preserve"> </w:t>
      </w:r>
      <w:r w:rsidR="002459FA" w:rsidRPr="005542F5">
        <w:rPr>
          <w:b/>
          <w:sz w:val="24"/>
          <w:szCs w:val="24"/>
        </w:rPr>
        <w:t>result</w:t>
      </w:r>
      <w:r w:rsidRPr="005542F5">
        <w:rPr>
          <w:sz w:val="24"/>
          <w:szCs w:val="24"/>
        </w:rPr>
        <w:t xml:space="preserve">” for every core in the slide after discussing discordant results. </w:t>
      </w:r>
      <w:r w:rsidR="009033DE" w:rsidRPr="005542F5">
        <w:rPr>
          <w:sz w:val="24"/>
          <w:szCs w:val="24"/>
        </w:rPr>
        <w:t xml:space="preserve">Most concordant </w:t>
      </w:r>
      <w:r w:rsidR="00165F58" w:rsidRPr="005542F5">
        <w:rPr>
          <w:sz w:val="24"/>
          <w:szCs w:val="24"/>
        </w:rPr>
        <w:t>result</w:t>
      </w:r>
      <w:r w:rsidR="009033DE" w:rsidRPr="005542F5">
        <w:rPr>
          <w:sz w:val="24"/>
          <w:szCs w:val="24"/>
        </w:rPr>
        <w:t xml:space="preserve"> was the ideal score. </w:t>
      </w:r>
      <w:r w:rsidRPr="005542F5">
        <w:rPr>
          <w:sz w:val="24"/>
          <w:szCs w:val="24"/>
        </w:rPr>
        <w:t xml:space="preserve">The </w:t>
      </w:r>
      <w:r w:rsidR="00165F58" w:rsidRPr="005542F5">
        <w:rPr>
          <w:rFonts w:cs="Arial"/>
          <w:sz w:val="24"/>
          <w:szCs w:val="24"/>
        </w:rPr>
        <w:t>HER2</w:t>
      </w:r>
      <w:r w:rsidRPr="005542F5">
        <w:rPr>
          <w:sz w:val="24"/>
          <w:szCs w:val="24"/>
        </w:rPr>
        <w:t xml:space="preserve"> TMA had 12 tissue cores and 10 cores to be counted. For each core three results were available as given below viz: - </w:t>
      </w:r>
      <w:r w:rsidR="00FA3DF7" w:rsidRPr="005542F5">
        <w:rPr>
          <w:sz w:val="24"/>
          <w:szCs w:val="24"/>
        </w:rPr>
        <w:t xml:space="preserve">Ideal score, </w:t>
      </w:r>
      <w:r w:rsidR="00165F58" w:rsidRPr="005542F5">
        <w:rPr>
          <w:sz w:val="24"/>
          <w:szCs w:val="24"/>
        </w:rPr>
        <w:t>Participant score</w:t>
      </w:r>
      <w:r w:rsidR="00FA3DF7" w:rsidRPr="005542F5">
        <w:rPr>
          <w:sz w:val="24"/>
          <w:szCs w:val="24"/>
        </w:rPr>
        <w:t xml:space="preserve"> and NC</w:t>
      </w:r>
      <w:r w:rsidR="00983A0A" w:rsidRPr="005542F5">
        <w:rPr>
          <w:sz w:val="24"/>
          <w:szCs w:val="24"/>
        </w:rPr>
        <w:t>EQAS score.</w:t>
      </w:r>
    </w:p>
    <w:p w14:paraId="679B8785" w14:textId="77777777" w:rsidR="00165F58" w:rsidRPr="005542F5" w:rsidRDefault="00165F58" w:rsidP="00A5557B">
      <w:pPr>
        <w:tabs>
          <w:tab w:val="left" w:pos="2190"/>
        </w:tabs>
        <w:spacing w:line="360" w:lineRule="auto"/>
        <w:ind w:right="146"/>
        <w:jc w:val="both"/>
        <w:rPr>
          <w:rFonts w:cs="Arial"/>
          <w:sz w:val="24"/>
          <w:szCs w:val="24"/>
        </w:rPr>
      </w:pPr>
      <w:r w:rsidRPr="005542F5">
        <w:rPr>
          <w:rFonts w:cs="Arial"/>
          <w:sz w:val="24"/>
          <w:szCs w:val="24"/>
        </w:rPr>
        <w:t xml:space="preserve">Results were interpreted </w:t>
      </w:r>
      <w:r w:rsidR="00B025FD" w:rsidRPr="005542F5">
        <w:rPr>
          <w:rFonts w:cs="Arial"/>
          <w:sz w:val="24"/>
          <w:szCs w:val="24"/>
        </w:rPr>
        <w:t>as:</w:t>
      </w:r>
      <w:r w:rsidRPr="005542F5">
        <w:rPr>
          <w:rFonts w:cs="Arial"/>
          <w:sz w:val="24"/>
          <w:szCs w:val="24"/>
        </w:rPr>
        <w:t xml:space="preserve">- </w:t>
      </w:r>
    </w:p>
    <w:p w14:paraId="54AAEDAE" w14:textId="77777777" w:rsidR="00165F58" w:rsidRPr="005542F5" w:rsidRDefault="00165F58" w:rsidP="00A5557B">
      <w:pPr>
        <w:pStyle w:val="ListParagraph"/>
        <w:numPr>
          <w:ilvl w:val="0"/>
          <w:numId w:val="2"/>
        </w:numPr>
        <w:tabs>
          <w:tab w:val="left" w:pos="2190"/>
        </w:tabs>
        <w:spacing w:after="0" w:line="360" w:lineRule="auto"/>
        <w:ind w:right="146"/>
        <w:jc w:val="both"/>
        <w:rPr>
          <w:rFonts w:cs="Arial"/>
          <w:sz w:val="24"/>
          <w:szCs w:val="24"/>
        </w:rPr>
      </w:pPr>
      <w:r w:rsidRPr="005542F5">
        <w:rPr>
          <w:rFonts w:cs="Arial"/>
          <w:b/>
          <w:sz w:val="24"/>
          <w:szCs w:val="24"/>
        </w:rPr>
        <w:t>“Concordant”</w:t>
      </w:r>
      <w:r w:rsidRPr="005542F5">
        <w:rPr>
          <w:rFonts w:cs="Arial"/>
          <w:sz w:val="24"/>
          <w:szCs w:val="24"/>
        </w:rPr>
        <w:t xml:space="preserve"> when all the three results viz: - Ideal score, Participant score and EQA score were same. </w:t>
      </w:r>
    </w:p>
    <w:p w14:paraId="3C6D096C" w14:textId="77777777" w:rsidR="00165F58" w:rsidRPr="005542F5" w:rsidRDefault="00165F58" w:rsidP="00A5557B">
      <w:pPr>
        <w:pStyle w:val="ListParagraph"/>
        <w:numPr>
          <w:ilvl w:val="0"/>
          <w:numId w:val="2"/>
        </w:numPr>
        <w:tabs>
          <w:tab w:val="left" w:pos="2190"/>
        </w:tabs>
        <w:spacing w:after="0" w:line="360" w:lineRule="auto"/>
        <w:ind w:right="146"/>
        <w:jc w:val="both"/>
        <w:rPr>
          <w:rFonts w:cs="Arial"/>
          <w:sz w:val="24"/>
          <w:szCs w:val="24"/>
        </w:rPr>
      </w:pPr>
      <w:r w:rsidRPr="005542F5">
        <w:rPr>
          <w:rFonts w:cs="Arial"/>
          <w:sz w:val="24"/>
          <w:szCs w:val="24"/>
        </w:rPr>
        <w:t>“</w:t>
      </w:r>
      <w:r w:rsidRPr="005542F5">
        <w:rPr>
          <w:rFonts w:cs="Arial"/>
          <w:b/>
          <w:sz w:val="24"/>
          <w:szCs w:val="24"/>
        </w:rPr>
        <w:t>Discordant</w:t>
      </w:r>
      <w:r w:rsidRPr="005542F5">
        <w:rPr>
          <w:rFonts w:cs="Arial"/>
          <w:sz w:val="24"/>
          <w:szCs w:val="24"/>
        </w:rPr>
        <w:t xml:space="preserve">” when the Participant score did not match with either the Ideal/ EQA score, and these values are highlighted in yellow. </w:t>
      </w:r>
    </w:p>
    <w:p w14:paraId="3E0F4C93" w14:textId="77777777" w:rsidR="00165F58" w:rsidRPr="005542F5" w:rsidRDefault="00165F58" w:rsidP="00A5557B">
      <w:pPr>
        <w:pStyle w:val="ListParagraph"/>
        <w:numPr>
          <w:ilvl w:val="0"/>
          <w:numId w:val="2"/>
        </w:numPr>
        <w:tabs>
          <w:tab w:val="left" w:pos="2190"/>
        </w:tabs>
        <w:spacing w:after="0" w:line="360" w:lineRule="auto"/>
        <w:ind w:right="146"/>
        <w:jc w:val="both"/>
        <w:rPr>
          <w:rFonts w:cs="Arial"/>
          <w:sz w:val="24"/>
          <w:szCs w:val="24"/>
        </w:rPr>
      </w:pPr>
      <w:r w:rsidRPr="005542F5">
        <w:rPr>
          <w:sz w:val="24"/>
          <w:szCs w:val="24"/>
        </w:rPr>
        <w:t>“</w:t>
      </w:r>
      <w:r w:rsidR="00CA45C9">
        <w:rPr>
          <w:b/>
          <w:sz w:val="24"/>
          <w:szCs w:val="24"/>
        </w:rPr>
        <w:t>Concordant-</w:t>
      </w:r>
      <w:r w:rsidRPr="005542F5">
        <w:rPr>
          <w:b/>
          <w:sz w:val="24"/>
          <w:szCs w:val="24"/>
        </w:rPr>
        <w:t xml:space="preserve">I” </w:t>
      </w:r>
      <w:r w:rsidRPr="005542F5">
        <w:rPr>
          <w:sz w:val="24"/>
          <w:szCs w:val="24"/>
        </w:rPr>
        <w:t xml:space="preserve">indicates an interpretative error by the center but EQA score interpretation was concordant with Ideal score. </w:t>
      </w:r>
    </w:p>
    <w:p w14:paraId="6BF98329" w14:textId="77777777" w:rsidR="00D8043C" w:rsidRPr="005542F5" w:rsidRDefault="0098373C" w:rsidP="00A5557B">
      <w:pPr>
        <w:spacing w:line="360" w:lineRule="auto"/>
        <w:ind w:right="146"/>
        <w:jc w:val="both"/>
        <w:rPr>
          <w:sz w:val="24"/>
          <w:szCs w:val="24"/>
        </w:rPr>
      </w:pPr>
      <w:r w:rsidRPr="005542F5">
        <w:rPr>
          <w:sz w:val="24"/>
          <w:szCs w:val="24"/>
        </w:rPr>
        <w:t xml:space="preserve">The percentage accuracy for test or </w:t>
      </w:r>
      <w:r w:rsidRPr="005542F5">
        <w:rPr>
          <w:b/>
          <w:sz w:val="24"/>
          <w:szCs w:val="24"/>
        </w:rPr>
        <w:t xml:space="preserve">Test Pass Rate </w:t>
      </w:r>
      <w:r w:rsidRPr="005542F5">
        <w:rPr>
          <w:sz w:val="24"/>
          <w:szCs w:val="24"/>
        </w:rPr>
        <w:t xml:space="preserve">was the concordance of the EQA score for a given core with the Ideal score. </w:t>
      </w:r>
    </w:p>
    <w:p w14:paraId="5E299AFA" w14:textId="77777777" w:rsidR="00A8601B" w:rsidRPr="005542F5" w:rsidRDefault="0098373C" w:rsidP="00BF247E">
      <w:pPr>
        <w:spacing w:line="360" w:lineRule="auto"/>
        <w:jc w:val="both"/>
        <w:rPr>
          <w:sz w:val="24"/>
          <w:szCs w:val="24"/>
        </w:rPr>
      </w:pPr>
      <w:r w:rsidRPr="005542F5">
        <w:rPr>
          <w:sz w:val="24"/>
          <w:szCs w:val="24"/>
        </w:rPr>
        <w:t xml:space="preserve">The percentage concordance between the EQA score and the Participant score was the </w:t>
      </w:r>
      <w:r w:rsidRPr="005542F5">
        <w:rPr>
          <w:b/>
          <w:sz w:val="24"/>
          <w:szCs w:val="24"/>
        </w:rPr>
        <w:t>Interpretation Pass rate</w:t>
      </w:r>
      <w:r w:rsidRPr="005542F5">
        <w:rPr>
          <w:sz w:val="24"/>
          <w:szCs w:val="24"/>
        </w:rPr>
        <w:t>.</w:t>
      </w:r>
      <w:r w:rsidR="00BF247E" w:rsidRPr="005542F5">
        <w:rPr>
          <w:sz w:val="24"/>
          <w:szCs w:val="24"/>
        </w:rPr>
        <w:t xml:space="preserve"> Test pass rate is more important and</w:t>
      </w:r>
      <w:r w:rsidR="00CA45C9">
        <w:rPr>
          <w:sz w:val="24"/>
          <w:szCs w:val="24"/>
        </w:rPr>
        <w:t xml:space="preserve"> </w:t>
      </w:r>
      <w:r w:rsidR="00983A0A" w:rsidRPr="005542F5">
        <w:rPr>
          <w:sz w:val="24"/>
          <w:szCs w:val="24"/>
        </w:rPr>
        <w:t>Interpretation pass rates can be used to improve reporting practices within the center</w:t>
      </w:r>
      <w:r w:rsidR="00BF247E" w:rsidRPr="005542F5">
        <w:rPr>
          <w:sz w:val="24"/>
          <w:szCs w:val="24"/>
        </w:rPr>
        <w:t xml:space="preserve">. </w:t>
      </w:r>
      <w:r w:rsidR="00983A0A" w:rsidRPr="005542F5">
        <w:rPr>
          <w:sz w:val="24"/>
          <w:szCs w:val="24"/>
        </w:rPr>
        <w:t xml:space="preserve">The definition of Her2 low include the immunohistochemistry score 1+ cases and the equivocal (Score 2+) cases that are not amplified using ISH techniques. We have also evaluated the concordance for score 1+ HER2 in this run to understand overall pattern though many laboratories have not used the Ventana platform (and hence low positive label cannot be used). The score 1+ concordance is only for </w:t>
      </w:r>
      <w:r w:rsidR="00BF247E" w:rsidRPr="005542F5">
        <w:rPr>
          <w:sz w:val="24"/>
          <w:szCs w:val="24"/>
        </w:rPr>
        <w:t xml:space="preserve">making participants aware of this definition and lowered score 1+ rates are not a benchmark for lower performance. </w:t>
      </w:r>
      <w:r w:rsidR="00CB27B9">
        <w:rPr>
          <w:sz w:val="24"/>
          <w:szCs w:val="24"/>
        </w:rPr>
        <w:t xml:space="preserve">So participants who have reported score 1+ ad score 0 were given concordant result. </w:t>
      </w:r>
    </w:p>
    <w:p w14:paraId="7D2B55FD" w14:textId="77777777" w:rsidR="00165F58" w:rsidRPr="005542F5" w:rsidRDefault="00C81B35" w:rsidP="00A5557B">
      <w:pPr>
        <w:spacing w:line="360" w:lineRule="auto"/>
        <w:ind w:right="146"/>
        <w:jc w:val="both"/>
        <w:rPr>
          <w:sz w:val="24"/>
          <w:szCs w:val="24"/>
        </w:rPr>
      </w:pPr>
      <w:r w:rsidRPr="005542F5">
        <w:rPr>
          <w:sz w:val="24"/>
          <w:szCs w:val="24"/>
        </w:rPr>
        <w:t>Table 2</w:t>
      </w:r>
      <w:r w:rsidR="008676FA">
        <w:rPr>
          <w:sz w:val="24"/>
          <w:szCs w:val="24"/>
        </w:rPr>
        <w:t xml:space="preserve"> gives Her2</w:t>
      </w:r>
      <w:r w:rsidR="00631175" w:rsidRPr="005542F5">
        <w:rPr>
          <w:sz w:val="24"/>
          <w:szCs w:val="24"/>
        </w:rPr>
        <w:t xml:space="preserve"> Run 2</w:t>
      </w:r>
      <w:r w:rsidR="00A001E9">
        <w:rPr>
          <w:sz w:val="24"/>
          <w:szCs w:val="24"/>
        </w:rPr>
        <w:t>9</w:t>
      </w:r>
      <w:r w:rsidR="00885FB4" w:rsidRPr="005542F5">
        <w:rPr>
          <w:sz w:val="24"/>
          <w:szCs w:val="24"/>
        </w:rPr>
        <w:t xml:space="preserve"> results for center.</w:t>
      </w:r>
    </w:p>
    <w:p w14:paraId="028EBDB4" w14:textId="77777777" w:rsidR="00FA3DF7" w:rsidRDefault="00FA3DF7" w:rsidP="00A5557B">
      <w:pPr>
        <w:pStyle w:val="NoSpacing"/>
        <w:ind w:right="146"/>
        <w:rPr>
          <w:b/>
          <w:sz w:val="24"/>
          <w:szCs w:val="24"/>
        </w:rPr>
      </w:pPr>
    </w:p>
    <w:p w14:paraId="3910605B" w14:textId="77777777" w:rsidR="00752129" w:rsidRDefault="00165F58" w:rsidP="00A001E9">
      <w:pPr>
        <w:pStyle w:val="NoSpacing"/>
        <w:ind w:right="146"/>
        <w:jc w:val="center"/>
        <w:rPr>
          <w:b/>
          <w:sz w:val="24"/>
          <w:szCs w:val="24"/>
        </w:rPr>
      </w:pPr>
      <w:r w:rsidRPr="00B025FD">
        <w:rPr>
          <w:b/>
          <w:sz w:val="24"/>
          <w:szCs w:val="24"/>
        </w:rPr>
        <w:t xml:space="preserve">Table </w:t>
      </w:r>
      <w:r w:rsidR="007E4ED2">
        <w:rPr>
          <w:b/>
          <w:sz w:val="24"/>
          <w:szCs w:val="24"/>
        </w:rPr>
        <w:t>2</w:t>
      </w:r>
      <w:r w:rsidR="007E4ED2" w:rsidRPr="00B025FD">
        <w:rPr>
          <w:b/>
          <w:sz w:val="24"/>
          <w:szCs w:val="24"/>
        </w:rPr>
        <w:t>: -</w:t>
      </w:r>
      <w:r w:rsidR="00A001E9">
        <w:rPr>
          <w:b/>
          <w:sz w:val="24"/>
          <w:szCs w:val="24"/>
        </w:rPr>
        <w:t>Results for HER2neu RUN 29</w:t>
      </w:r>
      <w:r w:rsidR="00CA45C9">
        <w:rPr>
          <w:b/>
          <w:sz w:val="24"/>
          <w:szCs w:val="24"/>
        </w:rPr>
        <w:t xml:space="preserve"> </w:t>
      </w:r>
      <w:r w:rsidR="00217AE4" w:rsidRPr="00B025FD">
        <w:rPr>
          <w:b/>
          <w:sz w:val="24"/>
          <w:szCs w:val="24"/>
        </w:rPr>
        <w:t>for Center 01</w:t>
      </w:r>
    </w:p>
    <w:p w14:paraId="444D6538" w14:textId="77777777" w:rsidR="00B025FD" w:rsidRPr="00B025FD" w:rsidRDefault="00B025FD" w:rsidP="00A5557B">
      <w:pPr>
        <w:pStyle w:val="NoSpacing"/>
        <w:ind w:right="146"/>
        <w:rPr>
          <w:b/>
          <w:sz w:val="24"/>
          <w:szCs w:val="24"/>
        </w:rPr>
      </w:pPr>
    </w:p>
    <w:tbl>
      <w:tblPr>
        <w:tblStyle w:val="TableGrid"/>
        <w:tblW w:w="8897" w:type="dxa"/>
        <w:jc w:val="center"/>
        <w:shd w:val="clear" w:color="auto" w:fill="FFFFFF" w:themeFill="background1"/>
        <w:tblLayout w:type="fixed"/>
        <w:tblLook w:val="04A0" w:firstRow="1" w:lastRow="0" w:firstColumn="1" w:lastColumn="0" w:noHBand="0" w:noVBand="1"/>
      </w:tblPr>
      <w:tblGrid>
        <w:gridCol w:w="1049"/>
        <w:gridCol w:w="902"/>
        <w:gridCol w:w="1701"/>
        <w:gridCol w:w="1701"/>
        <w:gridCol w:w="1559"/>
        <w:gridCol w:w="1985"/>
      </w:tblGrid>
      <w:tr w:rsidR="00F2066C" w:rsidRPr="00117174" w14:paraId="42A23028" w14:textId="77777777" w:rsidTr="003B2965">
        <w:trPr>
          <w:trHeight w:val="575"/>
          <w:jc w:val="center"/>
        </w:trPr>
        <w:tc>
          <w:tcPr>
            <w:tcW w:w="1049" w:type="dxa"/>
            <w:shd w:val="clear" w:color="auto" w:fill="FFFFFF" w:themeFill="background1"/>
          </w:tcPr>
          <w:p w14:paraId="6830DDDF" w14:textId="77777777" w:rsidR="00F2066C" w:rsidRPr="00117174" w:rsidRDefault="00F2066C" w:rsidP="00A5557B">
            <w:pPr>
              <w:ind w:right="146"/>
              <w:jc w:val="both"/>
              <w:rPr>
                <w:b/>
              </w:rPr>
            </w:pPr>
            <w:r w:rsidRPr="00117174">
              <w:rPr>
                <w:b/>
              </w:rPr>
              <w:t xml:space="preserve">Core </w:t>
            </w:r>
          </w:p>
        </w:tc>
        <w:tc>
          <w:tcPr>
            <w:tcW w:w="902" w:type="dxa"/>
            <w:shd w:val="clear" w:color="auto" w:fill="FFFFFF" w:themeFill="background1"/>
          </w:tcPr>
          <w:p w14:paraId="35BCAD9F" w14:textId="77777777" w:rsidR="00F2066C" w:rsidRPr="00117174" w:rsidRDefault="00F2066C" w:rsidP="00A5557B">
            <w:pPr>
              <w:ind w:right="146"/>
              <w:jc w:val="both"/>
              <w:rPr>
                <w:b/>
              </w:rPr>
            </w:pPr>
            <w:r w:rsidRPr="00117174">
              <w:rPr>
                <w:b/>
              </w:rPr>
              <w:t xml:space="preserve">FISH </w:t>
            </w:r>
          </w:p>
        </w:tc>
        <w:tc>
          <w:tcPr>
            <w:tcW w:w="1701" w:type="dxa"/>
            <w:shd w:val="clear" w:color="auto" w:fill="FFFFFF" w:themeFill="background1"/>
          </w:tcPr>
          <w:p w14:paraId="225D7F09" w14:textId="77777777" w:rsidR="00F2066C" w:rsidRPr="00117174" w:rsidRDefault="00F2066C" w:rsidP="00A5557B">
            <w:pPr>
              <w:ind w:right="146"/>
              <w:jc w:val="both"/>
              <w:rPr>
                <w:b/>
              </w:rPr>
            </w:pPr>
            <w:r w:rsidRPr="00117174">
              <w:rPr>
                <w:b/>
              </w:rPr>
              <w:t xml:space="preserve">Ideal score </w:t>
            </w:r>
          </w:p>
        </w:tc>
        <w:tc>
          <w:tcPr>
            <w:tcW w:w="1701" w:type="dxa"/>
            <w:shd w:val="clear" w:color="auto" w:fill="FFFFFF" w:themeFill="background1"/>
          </w:tcPr>
          <w:p w14:paraId="77DF40AD" w14:textId="77777777" w:rsidR="00F2066C" w:rsidRPr="00117174" w:rsidRDefault="00F2066C" w:rsidP="00A5557B">
            <w:pPr>
              <w:ind w:right="146"/>
              <w:rPr>
                <w:b/>
              </w:rPr>
            </w:pPr>
            <w:r w:rsidRPr="00117174">
              <w:rPr>
                <w:b/>
              </w:rPr>
              <w:t>Participant score</w:t>
            </w:r>
          </w:p>
        </w:tc>
        <w:tc>
          <w:tcPr>
            <w:tcW w:w="1559" w:type="dxa"/>
            <w:shd w:val="clear" w:color="auto" w:fill="FFFFFF" w:themeFill="background1"/>
          </w:tcPr>
          <w:p w14:paraId="4AC126D5" w14:textId="77777777" w:rsidR="00F2066C" w:rsidRPr="00117174" w:rsidRDefault="003B2965" w:rsidP="00A5557B">
            <w:pPr>
              <w:ind w:right="146"/>
              <w:jc w:val="both"/>
              <w:rPr>
                <w:b/>
              </w:rPr>
            </w:pPr>
            <w:r>
              <w:rPr>
                <w:b/>
              </w:rPr>
              <w:t>EQAS Score</w:t>
            </w:r>
          </w:p>
        </w:tc>
        <w:tc>
          <w:tcPr>
            <w:tcW w:w="1985" w:type="dxa"/>
            <w:shd w:val="clear" w:color="auto" w:fill="FFFFFF" w:themeFill="background1"/>
          </w:tcPr>
          <w:p w14:paraId="6EFB8820" w14:textId="77777777" w:rsidR="00F2066C" w:rsidRPr="00117174" w:rsidRDefault="00F2066C" w:rsidP="00A5557B">
            <w:pPr>
              <w:ind w:right="146"/>
              <w:jc w:val="both"/>
              <w:rPr>
                <w:b/>
              </w:rPr>
            </w:pPr>
            <w:r w:rsidRPr="00117174">
              <w:rPr>
                <w:b/>
              </w:rPr>
              <w:t xml:space="preserve">Final </w:t>
            </w:r>
          </w:p>
        </w:tc>
      </w:tr>
      <w:tr w:rsidR="00A001E9" w:rsidRPr="00117174" w14:paraId="55664106" w14:textId="77777777" w:rsidTr="00FF361C">
        <w:trPr>
          <w:trHeight w:val="280"/>
          <w:jc w:val="center"/>
        </w:trPr>
        <w:tc>
          <w:tcPr>
            <w:tcW w:w="1049" w:type="dxa"/>
            <w:shd w:val="clear" w:color="auto" w:fill="FFFFFF" w:themeFill="background1"/>
          </w:tcPr>
          <w:p w14:paraId="631E442C" w14:textId="77777777" w:rsidR="00A001E9" w:rsidRPr="00117174" w:rsidRDefault="00A001E9" w:rsidP="00A5557B">
            <w:pPr>
              <w:pStyle w:val="ListParagraph"/>
              <w:numPr>
                <w:ilvl w:val="0"/>
                <w:numId w:val="1"/>
              </w:numPr>
              <w:spacing w:after="0" w:line="240" w:lineRule="auto"/>
              <w:ind w:right="146"/>
              <w:jc w:val="both"/>
              <w:rPr>
                <w:b/>
                <w:sz w:val="22"/>
                <w:szCs w:val="22"/>
              </w:rPr>
            </w:pPr>
          </w:p>
        </w:tc>
        <w:tc>
          <w:tcPr>
            <w:tcW w:w="902" w:type="dxa"/>
            <w:shd w:val="clear" w:color="auto" w:fill="FFFFFF" w:themeFill="background1"/>
          </w:tcPr>
          <w:p w14:paraId="1B2A3D6E" w14:textId="77777777" w:rsidR="00A001E9" w:rsidRPr="00117174" w:rsidRDefault="00A001E9" w:rsidP="00A5557B">
            <w:pPr>
              <w:ind w:right="146"/>
              <w:jc w:val="both"/>
              <w:rPr>
                <w:b/>
              </w:rPr>
            </w:pPr>
            <w:r w:rsidRPr="00117174">
              <w:rPr>
                <w:b/>
              </w:rPr>
              <w:t>-</w:t>
            </w:r>
          </w:p>
        </w:tc>
        <w:tc>
          <w:tcPr>
            <w:tcW w:w="1701" w:type="dxa"/>
            <w:shd w:val="clear" w:color="auto" w:fill="FFFFFF" w:themeFill="background1"/>
            <w:vAlign w:val="center"/>
          </w:tcPr>
          <w:p w14:paraId="3E835896" w14:textId="77777777" w:rsidR="00A001E9" w:rsidRPr="00117174" w:rsidRDefault="00A001E9" w:rsidP="00FF361C">
            <w:pPr>
              <w:ind w:right="146"/>
              <w:rPr>
                <w:b/>
              </w:rPr>
            </w:pPr>
            <w:r>
              <w:rPr>
                <w:b/>
              </w:rPr>
              <w:t>Lymph Node</w:t>
            </w:r>
          </w:p>
        </w:tc>
        <w:tc>
          <w:tcPr>
            <w:tcW w:w="1701" w:type="dxa"/>
            <w:shd w:val="clear" w:color="auto" w:fill="FFFFFF" w:themeFill="background1"/>
            <w:vAlign w:val="center"/>
          </w:tcPr>
          <w:p w14:paraId="4FEA521A" w14:textId="77777777" w:rsidR="00A001E9" w:rsidRDefault="00A001E9" w:rsidP="00FF361C">
            <w:pPr>
              <w:ind w:right="146"/>
            </w:pPr>
            <w:r w:rsidRPr="00E21180">
              <w:rPr>
                <w:b/>
              </w:rPr>
              <w:t>Lymph Node</w:t>
            </w:r>
          </w:p>
        </w:tc>
        <w:tc>
          <w:tcPr>
            <w:tcW w:w="1559" w:type="dxa"/>
            <w:shd w:val="clear" w:color="auto" w:fill="FFFFFF" w:themeFill="background1"/>
            <w:vAlign w:val="center"/>
          </w:tcPr>
          <w:p w14:paraId="6B5C8097" w14:textId="77777777" w:rsidR="00A001E9" w:rsidRDefault="00A001E9" w:rsidP="00FF361C">
            <w:pPr>
              <w:ind w:right="146"/>
              <w:jc w:val="center"/>
            </w:pPr>
            <w:r w:rsidRPr="00E21180">
              <w:rPr>
                <w:b/>
              </w:rPr>
              <w:t>Lymph Node</w:t>
            </w:r>
          </w:p>
        </w:tc>
        <w:tc>
          <w:tcPr>
            <w:tcW w:w="1985" w:type="dxa"/>
            <w:shd w:val="clear" w:color="auto" w:fill="FFFFFF" w:themeFill="background1"/>
          </w:tcPr>
          <w:p w14:paraId="56BE1631" w14:textId="77777777" w:rsidR="00A001E9" w:rsidRPr="00117174" w:rsidRDefault="00A001E9" w:rsidP="00A001E9">
            <w:pPr>
              <w:ind w:right="146"/>
              <w:jc w:val="center"/>
            </w:pPr>
            <w:r w:rsidRPr="00117174">
              <w:t>-</w:t>
            </w:r>
          </w:p>
        </w:tc>
      </w:tr>
      <w:tr w:rsidR="00F2066C" w:rsidRPr="00117174" w14:paraId="6EAE38E9" w14:textId="77777777" w:rsidTr="00A001E9">
        <w:trPr>
          <w:trHeight w:val="576"/>
          <w:jc w:val="center"/>
        </w:trPr>
        <w:tc>
          <w:tcPr>
            <w:tcW w:w="1049" w:type="dxa"/>
            <w:shd w:val="clear" w:color="auto" w:fill="FFFFFF" w:themeFill="background1"/>
          </w:tcPr>
          <w:p w14:paraId="4ED95A3F" w14:textId="77777777" w:rsidR="00F2066C" w:rsidRPr="00117174" w:rsidRDefault="00F2066C" w:rsidP="00A5557B">
            <w:pPr>
              <w:pStyle w:val="ListParagraph"/>
              <w:numPr>
                <w:ilvl w:val="0"/>
                <w:numId w:val="1"/>
              </w:numPr>
              <w:spacing w:after="0" w:line="240" w:lineRule="auto"/>
              <w:ind w:right="146"/>
              <w:jc w:val="both"/>
              <w:rPr>
                <w:b/>
                <w:sz w:val="22"/>
                <w:szCs w:val="22"/>
              </w:rPr>
            </w:pPr>
          </w:p>
        </w:tc>
        <w:tc>
          <w:tcPr>
            <w:tcW w:w="902" w:type="dxa"/>
            <w:shd w:val="clear" w:color="auto" w:fill="FFFFFF" w:themeFill="background1"/>
          </w:tcPr>
          <w:p w14:paraId="0367FF47" w14:textId="77777777" w:rsidR="00F2066C" w:rsidRPr="00117174" w:rsidRDefault="00F2066C" w:rsidP="00A5557B">
            <w:pPr>
              <w:ind w:right="146"/>
              <w:jc w:val="both"/>
              <w:rPr>
                <w:b/>
              </w:rPr>
            </w:pPr>
            <w:r>
              <w:rPr>
                <w:b/>
              </w:rPr>
              <w:t>A**</w:t>
            </w:r>
          </w:p>
        </w:tc>
        <w:tc>
          <w:tcPr>
            <w:tcW w:w="1701" w:type="dxa"/>
            <w:shd w:val="clear" w:color="auto" w:fill="FFFFFF" w:themeFill="background1"/>
            <w:vAlign w:val="center"/>
          </w:tcPr>
          <w:p w14:paraId="47B8F8D8" w14:textId="77777777" w:rsidR="00F2066C" w:rsidRDefault="00F2066C" w:rsidP="00A5557B">
            <w:pPr>
              <w:ind w:right="146"/>
              <w:rPr>
                <w:b/>
              </w:rPr>
            </w:pPr>
            <w:r>
              <w:rPr>
                <w:b/>
              </w:rPr>
              <w:t>Posi</w:t>
            </w:r>
            <w:r w:rsidRPr="00117174">
              <w:rPr>
                <w:b/>
              </w:rPr>
              <w:t>tive</w:t>
            </w:r>
          </w:p>
          <w:p w14:paraId="1E2F5D33" w14:textId="77777777" w:rsidR="00F2066C" w:rsidRPr="00117174" w:rsidRDefault="00F2066C" w:rsidP="00A5557B">
            <w:pPr>
              <w:ind w:right="146"/>
              <w:rPr>
                <w:b/>
              </w:rPr>
            </w:pPr>
            <w:r>
              <w:rPr>
                <w:b/>
              </w:rPr>
              <w:t>(Score 3</w:t>
            </w:r>
            <w:r w:rsidRPr="00117174">
              <w:rPr>
                <w:b/>
              </w:rPr>
              <w:t>+)</w:t>
            </w:r>
          </w:p>
        </w:tc>
        <w:tc>
          <w:tcPr>
            <w:tcW w:w="1701" w:type="dxa"/>
            <w:shd w:val="clear" w:color="auto" w:fill="FFFFFF" w:themeFill="background1"/>
            <w:vAlign w:val="center"/>
          </w:tcPr>
          <w:p w14:paraId="1A172221" w14:textId="77777777" w:rsidR="00F2066C" w:rsidRDefault="00F2066C" w:rsidP="00A5557B">
            <w:pPr>
              <w:ind w:right="146"/>
              <w:rPr>
                <w:b/>
              </w:rPr>
            </w:pPr>
            <w:r>
              <w:rPr>
                <w:b/>
              </w:rPr>
              <w:t>Posi</w:t>
            </w:r>
            <w:r w:rsidRPr="00117174">
              <w:rPr>
                <w:b/>
              </w:rPr>
              <w:t>tive</w:t>
            </w:r>
          </w:p>
          <w:p w14:paraId="04851319" w14:textId="77777777" w:rsidR="00F2066C" w:rsidRPr="00117174" w:rsidRDefault="00F2066C" w:rsidP="00A5557B">
            <w:pPr>
              <w:ind w:right="146"/>
              <w:rPr>
                <w:b/>
              </w:rPr>
            </w:pPr>
            <w:r>
              <w:rPr>
                <w:b/>
              </w:rPr>
              <w:t>(Score 3</w:t>
            </w:r>
            <w:r w:rsidRPr="00117174">
              <w:rPr>
                <w:b/>
              </w:rPr>
              <w:t>+)</w:t>
            </w:r>
          </w:p>
        </w:tc>
        <w:tc>
          <w:tcPr>
            <w:tcW w:w="1559" w:type="dxa"/>
            <w:shd w:val="clear" w:color="auto" w:fill="FFFFFF" w:themeFill="background1"/>
            <w:vAlign w:val="center"/>
          </w:tcPr>
          <w:p w14:paraId="003A6806" w14:textId="77777777" w:rsidR="00F2066C" w:rsidRDefault="00F2066C" w:rsidP="00A5557B">
            <w:pPr>
              <w:ind w:right="146"/>
              <w:rPr>
                <w:b/>
              </w:rPr>
            </w:pPr>
            <w:r>
              <w:rPr>
                <w:b/>
              </w:rPr>
              <w:t>Posi</w:t>
            </w:r>
            <w:r w:rsidRPr="00117174">
              <w:rPr>
                <w:b/>
              </w:rPr>
              <w:t>tive</w:t>
            </w:r>
          </w:p>
          <w:p w14:paraId="5BB55BA9" w14:textId="77777777" w:rsidR="00F2066C" w:rsidRPr="00117174" w:rsidRDefault="00F2066C" w:rsidP="00A5557B">
            <w:pPr>
              <w:ind w:right="146"/>
              <w:rPr>
                <w:b/>
              </w:rPr>
            </w:pPr>
            <w:r>
              <w:rPr>
                <w:b/>
              </w:rPr>
              <w:t>(Score 3</w:t>
            </w:r>
            <w:r w:rsidRPr="00117174">
              <w:rPr>
                <w:b/>
              </w:rPr>
              <w:t>+)</w:t>
            </w:r>
          </w:p>
        </w:tc>
        <w:tc>
          <w:tcPr>
            <w:tcW w:w="1985" w:type="dxa"/>
            <w:shd w:val="clear" w:color="auto" w:fill="FFFFFF" w:themeFill="background1"/>
            <w:vAlign w:val="center"/>
          </w:tcPr>
          <w:p w14:paraId="578A460D" w14:textId="77777777" w:rsidR="00F2066C" w:rsidRDefault="00F2066C" w:rsidP="00A001E9">
            <w:pPr>
              <w:ind w:right="146"/>
              <w:jc w:val="center"/>
            </w:pPr>
            <w:r>
              <w:t>Concordant</w:t>
            </w:r>
          </w:p>
        </w:tc>
      </w:tr>
      <w:tr w:rsidR="00A001E9" w:rsidRPr="00117174" w14:paraId="16F48EFD" w14:textId="77777777" w:rsidTr="00A001E9">
        <w:trPr>
          <w:trHeight w:val="327"/>
          <w:jc w:val="center"/>
        </w:trPr>
        <w:tc>
          <w:tcPr>
            <w:tcW w:w="1049" w:type="dxa"/>
            <w:shd w:val="clear" w:color="auto" w:fill="FFFFFF" w:themeFill="background1"/>
          </w:tcPr>
          <w:p w14:paraId="2CCA3AD5" w14:textId="77777777" w:rsidR="00A001E9" w:rsidRPr="00117174" w:rsidRDefault="00A001E9" w:rsidP="00A5557B">
            <w:pPr>
              <w:pStyle w:val="ListParagraph"/>
              <w:numPr>
                <w:ilvl w:val="0"/>
                <w:numId w:val="1"/>
              </w:numPr>
              <w:spacing w:after="0" w:line="240" w:lineRule="auto"/>
              <w:ind w:right="146"/>
              <w:jc w:val="both"/>
              <w:rPr>
                <w:b/>
                <w:sz w:val="22"/>
                <w:szCs w:val="22"/>
              </w:rPr>
            </w:pPr>
          </w:p>
        </w:tc>
        <w:tc>
          <w:tcPr>
            <w:tcW w:w="902" w:type="dxa"/>
            <w:shd w:val="clear" w:color="auto" w:fill="FFFFFF" w:themeFill="background1"/>
          </w:tcPr>
          <w:p w14:paraId="653FBE57" w14:textId="77777777" w:rsidR="00A001E9" w:rsidRPr="00117174" w:rsidRDefault="00A001E9" w:rsidP="00A5557B">
            <w:pPr>
              <w:ind w:right="146"/>
              <w:jc w:val="both"/>
              <w:rPr>
                <w:b/>
              </w:rPr>
            </w:pPr>
            <w:r w:rsidRPr="00117174">
              <w:rPr>
                <w:b/>
              </w:rPr>
              <w:t>NA</w:t>
            </w:r>
            <w:r>
              <w:rPr>
                <w:b/>
              </w:rPr>
              <w:t>*</w:t>
            </w:r>
          </w:p>
        </w:tc>
        <w:tc>
          <w:tcPr>
            <w:tcW w:w="1701" w:type="dxa"/>
            <w:shd w:val="clear" w:color="auto" w:fill="FFFFFF" w:themeFill="background1"/>
          </w:tcPr>
          <w:p w14:paraId="5975FBF3" w14:textId="77777777" w:rsidR="00A001E9" w:rsidRDefault="00A001E9">
            <w:r w:rsidRPr="006A5D87">
              <w:rPr>
                <w:b/>
              </w:rPr>
              <w:t>Equivocal     (Score 2+)</w:t>
            </w:r>
          </w:p>
        </w:tc>
        <w:tc>
          <w:tcPr>
            <w:tcW w:w="1701" w:type="dxa"/>
            <w:shd w:val="clear" w:color="auto" w:fill="FFFFFF" w:themeFill="background1"/>
          </w:tcPr>
          <w:p w14:paraId="1E4F8C25" w14:textId="77777777" w:rsidR="00A001E9" w:rsidRDefault="00A001E9">
            <w:r w:rsidRPr="006A5D87">
              <w:rPr>
                <w:b/>
              </w:rPr>
              <w:t>Equivocal     (Score 2+)</w:t>
            </w:r>
          </w:p>
        </w:tc>
        <w:tc>
          <w:tcPr>
            <w:tcW w:w="1559" w:type="dxa"/>
            <w:shd w:val="clear" w:color="auto" w:fill="FFFFFF" w:themeFill="background1"/>
          </w:tcPr>
          <w:p w14:paraId="6CC02C5F" w14:textId="77777777" w:rsidR="00A001E9" w:rsidRDefault="00A001E9">
            <w:r w:rsidRPr="006A5D87">
              <w:rPr>
                <w:b/>
              </w:rPr>
              <w:t>Equivocal     (Score 2+)</w:t>
            </w:r>
          </w:p>
        </w:tc>
        <w:tc>
          <w:tcPr>
            <w:tcW w:w="1985" w:type="dxa"/>
            <w:shd w:val="clear" w:color="auto" w:fill="FFFFFF" w:themeFill="background1"/>
            <w:vAlign w:val="center"/>
          </w:tcPr>
          <w:p w14:paraId="23733CE9" w14:textId="77777777" w:rsidR="00A001E9" w:rsidRDefault="00A001E9" w:rsidP="00A001E9">
            <w:pPr>
              <w:ind w:right="146"/>
              <w:jc w:val="center"/>
            </w:pPr>
            <w:r w:rsidRPr="00353472">
              <w:t>Concordant</w:t>
            </w:r>
          </w:p>
        </w:tc>
      </w:tr>
      <w:tr w:rsidR="00A001E9" w:rsidRPr="00117174" w14:paraId="5FA33301" w14:textId="77777777" w:rsidTr="00A001E9">
        <w:trPr>
          <w:trHeight w:val="576"/>
          <w:jc w:val="center"/>
        </w:trPr>
        <w:tc>
          <w:tcPr>
            <w:tcW w:w="1049" w:type="dxa"/>
            <w:shd w:val="clear" w:color="auto" w:fill="FFFFFF" w:themeFill="background1"/>
          </w:tcPr>
          <w:p w14:paraId="3F1E394E" w14:textId="77777777" w:rsidR="00A001E9" w:rsidRPr="00117174" w:rsidRDefault="00A001E9" w:rsidP="00A5557B">
            <w:pPr>
              <w:pStyle w:val="ListParagraph"/>
              <w:numPr>
                <w:ilvl w:val="0"/>
                <w:numId w:val="1"/>
              </w:numPr>
              <w:spacing w:after="0" w:line="240" w:lineRule="auto"/>
              <w:ind w:right="146"/>
              <w:jc w:val="both"/>
              <w:rPr>
                <w:b/>
                <w:sz w:val="22"/>
                <w:szCs w:val="22"/>
              </w:rPr>
            </w:pPr>
          </w:p>
        </w:tc>
        <w:tc>
          <w:tcPr>
            <w:tcW w:w="902" w:type="dxa"/>
            <w:shd w:val="clear" w:color="auto" w:fill="FFFFFF" w:themeFill="background1"/>
          </w:tcPr>
          <w:p w14:paraId="0589446D" w14:textId="77777777" w:rsidR="00A001E9" w:rsidRPr="00117174" w:rsidRDefault="00A001E9" w:rsidP="00A5557B">
            <w:pPr>
              <w:ind w:right="146"/>
              <w:jc w:val="both"/>
              <w:rPr>
                <w:b/>
              </w:rPr>
            </w:pPr>
            <w:r w:rsidRPr="00117174">
              <w:rPr>
                <w:b/>
              </w:rPr>
              <w:t>NA</w:t>
            </w:r>
            <w:r>
              <w:rPr>
                <w:b/>
              </w:rPr>
              <w:t>*</w:t>
            </w:r>
          </w:p>
        </w:tc>
        <w:tc>
          <w:tcPr>
            <w:tcW w:w="1701" w:type="dxa"/>
            <w:shd w:val="clear" w:color="auto" w:fill="FFFFFF" w:themeFill="background1"/>
          </w:tcPr>
          <w:p w14:paraId="7E12A9F7" w14:textId="77777777" w:rsidR="00A001E9" w:rsidRDefault="00A001E9">
            <w:r w:rsidRPr="00472088">
              <w:rPr>
                <w:b/>
              </w:rPr>
              <w:t>Negative      (Score 0)</w:t>
            </w:r>
          </w:p>
        </w:tc>
        <w:tc>
          <w:tcPr>
            <w:tcW w:w="1701" w:type="dxa"/>
            <w:shd w:val="clear" w:color="auto" w:fill="FFFFFF" w:themeFill="background1"/>
          </w:tcPr>
          <w:p w14:paraId="2D0F548E" w14:textId="77777777" w:rsidR="00A001E9" w:rsidRDefault="00A001E9">
            <w:r w:rsidRPr="00472088">
              <w:rPr>
                <w:b/>
              </w:rPr>
              <w:t>Negative      (Score 0)</w:t>
            </w:r>
          </w:p>
        </w:tc>
        <w:tc>
          <w:tcPr>
            <w:tcW w:w="1559" w:type="dxa"/>
            <w:shd w:val="clear" w:color="auto" w:fill="FFFFFF" w:themeFill="background1"/>
          </w:tcPr>
          <w:p w14:paraId="402B8DBF" w14:textId="77777777" w:rsidR="00A001E9" w:rsidRDefault="00A001E9">
            <w:r w:rsidRPr="00472088">
              <w:rPr>
                <w:b/>
              </w:rPr>
              <w:t>Negative      (Score 0)</w:t>
            </w:r>
          </w:p>
        </w:tc>
        <w:tc>
          <w:tcPr>
            <w:tcW w:w="1985" w:type="dxa"/>
            <w:shd w:val="clear" w:color="auto" w:fill="FFFFFF" w:themeFill="background1"/>
            <w:vAlign w:val="center"/>
          </w:tcPr>
          <w:p w14:paraId="61E9C122" w14:textId="77777777" w:rsidR="00A001E9" w:rsidRDefault="00A001E9" w:rsidP="00A001E9">
            <w:pPr>
              <w:ind w:right="146"/>
              <w:jc w:val="center"/>
            </w:pPr>
            <w:r w:rsidRPr="00353472">
              <w:t>Concordant</w:t>
            </w:r>
          </w:p>
        </w:tc>
      </w:tr>
      <w:tr w:rsidR="00A001E9" w:rsidRPr="00117174" w14:paraId="3BFC7AF3" w14:textId="77777777" w:rsidTr="00A001E9">
        <w:trPr>
          <w:trHeight w:val="562"/>
          <w:jc w:val="center"/>
        </w:trPr>
        <w:tc>
          <w:tcPr>
            <w:tcW w:w="1049" w:type="dxa"/>
            <w:shd w:val="clear" w:color="auto" w:fill="FFFFFF" w:themeFill="background1"/>
          </w:tcPr>
          <w:p w14:paraId="12E89EA8" w14:textId="77777777" w:rsidR="00A001E9" w:rsidRPr="00117174" w:rsidRDefault="00A001E9" w:rsidP="00A5557B">
            <w:pPr>
              <w:pStyle w:val="ListParagraph"/>
              <w:numPr>
                <w:ilvl w:val="0"/>
                <w:numId w:val="1"/>
              </w:numPr>
              <w:spacing w:after="0" w:line="240" w:lineRule="auto"/>
              <w:ind w:right="146"/>
              <w:jc w:val="both"/>
              <w:rPr>
                <w:b/>
                <w:sz w:val="22"/>
                <w:szCs w:val="22"/>
              </w:rPr>
            </w:pPr>
          </w:p>
        </w:tc>
        <w:tc>
          <w:tcPr>
            <w:tcW w:w="902" w:type="dxa"/>
            <w:shd w:val="clear" w:color="auto" w:fill="FFFFFF" w:themeFill="background1"/>
          </w:tcPr>
          <w:p w14:paraId="011B5F16" w14:textId="77777777" w:rsidR="00A001E9" w:rsidRPr="00117174" w:rsidRDefault="00A001E9" w:rsidP="00A5557B">
            <w:pPr>
              <w:ind w:right="146"/>
              <w:jc w:val="both"/>
              <w:rPr>
                <w:b/>
              </w:rPr>
            </w:pPr>
            <w:r w:rsidRPr="00117174">
              <w:rPr>
                <w:b/>
              </w:rPr>
              <w:t>NA</w:t>
            </w:r>
            <w:r>
              <w:rPr>
                <w:b/>
              </w:rPr>
              <w:t>*</w:t>
            </w:r>
          </w:p>
        </w:tc>
        <w:tc>
          <w:tcPr>
            <w:tcW w:w="1701" w:type="dxa"/>
            <w:shd w:val="clear" w:color="auto" w:fill="FFFFFF" w:themeFill="background1"/>
            <w:vAlign w:val="center"/>
          </w:tcPr>
          <w:p w14:paraId="121B907C" w14:textId="77777777" w:rsidR="00A001E9" w:rsidRPr="00117174" w:rsidRDefault="00A001E9" w:rsidP="00A5557B">
            <w:pPr>
              <w:ind w:right="146"/>
              <w:rPr>
                <w:b/>
              </w:rPr>
            </w:pPr>
            <w:r w:rsidRPr="00117174">
              <w:rPr>
                <w:b/>
              </w:rPr>
              <w:t>Negative</w:t>
            </w:r>
            <w:r>
              <w:rPr>
                <w:b/>
              </w:rPr>
              <w:t xml:space="preserve">      (Score </w:t>
            </w:r>
            <w:r w:rsidRPr="00117174">
              <w:rPr>
                <w:b/>
              </w:rPr>
              <w:t>1+)</w:t>
            </w:r>
          </w:p>
        </w:tc>
        <w:tc>
          <w:tcPr>
            <w:tcW w:w="1701" w:type="dxa"/>
            <w:shd w:val="clear" w:color="auto" w:fill="FFFFFF" w:themeFill="background1"/>
          </w:tcPr>
          <w:p w14:paraId="46828F15" w14:textId="77777777" w:rsidR="00A001E9" w:rsidRDefault="00A001E9" w:rsidP="00FF361C">
            <w:r w:rsidRPr="00472088">
              <w:rPr>
                <w:b/>
              </w:rPr>
              <w:t>Negative      (Score 0)</w:t>
            </w:r>
          </w:p>
        </w:tc>
        <w:tc>
          <w:tcPr>
            <w:tcW w:w="1559" w:type="dxa"/>
            <w:shd w:val="clear" w:color="auto" w:fill="FFFFFF" w:themeFill="background1"/>
          </w:tcPr>
          <w:p w14:paraId="19B7FA27" w14:textId="77777777" w:rsidR="00A001E9" w:rsidRDefault="00A001E9" w:rsidP="00FF361C">
            <w:r w:rsidRPr="00472088">
              <w:rPr>
                <w:b/>
              </w:rPr>
              <w:t>Negative      (Score 0)</w:t>
            </w:r>
          </w:p>
        </w:tc>
        <w:tc>
          <w:tcPr>
            <w:tcW w:w="1985" w:type="dxa"/>
            <w:shd w:val="clear" w:color="auto" w:fill="FFFFFF" w:themeFill="background1"/>
            <w:vAlign w:val="center"/>
          </w:tcPr>
          <w:p w14:paraId="420459F9" w14:textId="77777777" w:rsidR="00A001E9" w:rsidRDefault="00A001E9" w:rsidP="00A001E9">
            <w:pPr>
              <w:ind w:right="146"/>
              <w:jc w:val="center"/>
            </w:pPr>
            <w:r w:rsidRPr="00353472">
              <w:t>Concordant</w:t>
            </w:r>
          </w:p>
        </w:tc>
      </w:tr>
      <w:tr w:rsidR="00A001E9" w:rsidRPr="00117174" w14:paraId="04D45D67" w14:textId="77777777" w:rsidTr="00A001E9">
        <w:trPr>
          <w:trHeight w:val="270"/>
          <w:jc w:val="center"/>
        </w:trPr>
        <w:tc>
          <w:tcPr>
            <w:tcW w:w="1049" w:type="dxa"/>
            <w:shd w:val="clear" w:color="auto" w:fill="FFFFFF" w:themeFill="background1"/>
          </w:tcPr>
          <w:p w14:paraId="60059FC8" w14:textId="77777777" w:rsidR="00A001E9" w:rsidRPr="00117174" w:rsidRDefault="00A001E9" w:rsidP="00A5557B">
            <w:pPr>
              <w:pStyle w:val="ListParagraph"/>
              <w:numPr>
                <w:ilvl w:val="0"/>
                <w:numId w:val="1"/>
              </w:numPr>
              <w:spacing w:after="0" w:line="240" w:lineRule="auto"/>
              <w:ind w:right="146"/>
              <w:jc w:val="both"/>
              <w:rPr>
                <w:b/>
                <w:sz w:val="22"/>
                <w:szCs w:val="22"/>
              </w:rPr>
            </w:pPr>
          </w:p>
        </w:tc>
        <w:tc>
          <w:tcPr>
            <w:tcW w:w="902" w:type="dxa"/>
            <w:shd w:val="clear" w:color="auto" w:fill="FFFFFF" w:themeFill="background1"/>
          </w:tcPr>
          <w:p w14:paraId="52CF9DE3" w14:textId="77777777" w:rsidR="00A001E9" w:rsidRPr="00117174" w:rsidRDefault="00A001E9" w:rsidP="00A5557B">
            <w:pPr>
              <w:ind w:right="146"/>
              <w:jc w:val="both"/>
              <w:rPr>
                <w:b/>
              </w:rPr>
            </w:pPr>
            <w:r>
              <w:rPr>
                <w:b/>
              </w:rPr>
              <w:t>-</w:t>
            </w:r>
          </w:p>
        </w:tc>
        <w:tc>
          <w:tcPr>
            <w:tcW w:w="1701" w:type="dxa"/>
            <w:shd w:val="clear" w:color="auto" w:fill="FFFFFF" w:themeFill="background1"/>
            <w:vAlign w:val="center"/>
          </w:tcPr>
          <w:p w14:paraId="01E8EC54" w14:textId="77777777" w:rsidR="00A001E9" w:rsidRPr="00117174" w:rsidRDefault="00A001E9" w:rsidP="00A5557B">
            <w:pPr>
              <w:ind w:right="146"/>
            </w:pPr>
            <w:r>
              <w:rPr>
                <w:b/>
              </w:rPr>
              <w:t>Blank</w:t>
            </w:r>
          </w:p>
        </w:tc>
        <w:tc>
          <w:tcPr>
            <w:tcW w:w="1701" w:type="dxa"/>
          </w:tcPr>
          <w:p w14:paraId="5FBF0457" w14:textId="77777777" w:rsidR="00A001E9" w:rsidRDefault="00A001E9">
            <w:r w:rsidRPr="007A3A53">
              <w:rPr>
                <w:b/>
              </w:rPr>
              <w:t>Blank</w:t>
            </w:r>
          </w:p>
        </w:tc>
        <w:tc>
          <w:tcPr>
            <w:tcW w:w="1559" w:type="dxa"/>
          </w:tcPr>
          <w:p w14:paraId="3E1675CB" w14:textId="77777777" w:rsidR="00A001E9" w:rsidRDefault="00A001E9">
            <w:r w:rsidRPr="007A3A53">
              <w:rPr>
                <w:b/>
              </w:rPr>
              <w:t>Blank</w:t>
            </w:r>
          </w:p>
        </w:tc>
        <w:tc>
          <w:tcPr>
            <w:tcW w:w="1985" w:type="dxa"/>
            <w:vAlign w:val="center"/>
          </w:tcPr>
          <w:p w14:paraId="7EB1C4B5" w14:textId="77777777" w:rsidR="00A001E9" w:rsidRDefault="00A001E9" w:rsidP="00A001E9">
            <w:pPr>
              <w:ind w:right="146"/>
              <w:jc w:val="center"/>
            </w:pPr>
            <w:r>
              <w:t>-</w:t>
            </w:r>
          </w:p>
        </w:tc>
      </w:tr>
      <w:tr w:rsidR="00A001E9" w:rsidRPr="00117174" w14:paraId="698F87F7" w14:textId="77777777" w:rsidTr="00A001E9">
        <w:trPr>
          <w:trHeight w:val="557"/>
          <w:jc w:val="center"/>
        </w:trPr>
        <w:tc>
          <w:tcPr>
            <w:tcW w:w="1049" w:type="dxa"/>
            <w:shd w:val="clear" w:color="auto" w:fill="FFFFFF" w:themeFill="background1"/>
          </w:tcPr>
          <w:p w14:paraId="620FDF74" w14:textId="77777777" w:rsidR="00A001E9" w:rsidRPr="00117174" w:rsidRDefault="00A001E9" w:rsidP="00A5557B">
            <w:pPr>
              <w:pStyle w:val="ListParagraph"/>
              <w:numPr>
                <w:ilvl w:val="0"/>
                <w:numId w:val="1"/>
              </w:numPr>
              <w:spacing w:after="0" w:line="240" w:lineRule="auto"/>
              <w:ind w:right="146"/>
              <w:jc w:val="both"/>
              <w:rPr>
                <w:b/>
                <w:sz w:val="22"/>
                <w:szCs w:val="22"/>
              </w:rPr>
            </w:pPr>
          </w:p>
        </w:tc>
        <w:tc>
          <w:tcPr>
            <w:tcW w:w="902" w:type="dxa"/>
            <w:shd w:val="clear" w:color="auto" w:fill="FFFFFF" w:themeFill="background1"/>
          </w:tcPr>
          <w:p w14:paraId="15FC5756" w14:textId="77777777" w:rsidR="00A001E9" w:rsidRPr="00117174" w:rsidRDefault="00A001E9" w:rsidP="00A5557B">
            <w:pPr>
              <w:ind w:right="146"/>
              <w:jc w:val="both"/>
              <w:rPr>
                <w:b/>
              </w:rPr>
            </w:pPr>
            <w:r w:rsidRPr="00117174">
              <w:rPr>
                <w:b/>
              </w:rPr>
              <w:t>NA</w:t>
            </w:r>
            <w:r>
              <w:rPr>
                <w:b/>
              </w:rPr>
              <w:t>*</w:t>
            </w:r>
          </w:p>
        </w:tc>
        <w:tc>
          <w:tcPr>
            <w:tcW w:w="1701" w:type="dxa"/>
            <w:shd w:val="clear" w:color="auto" w:fill="FFFFFF" w:themeFill="background1"/>
            <w:vAlign w:val="center"/>
          </w:tcPr>
          <w:p w14:paraId="0CAF2AD4" w14:textId="77777777" w:rsidR="00A001E9" w:rsidRPr="00117174" w:rsidRDefault="00A001E9" w:rsidP="00FF361C">
            <w:pPr>
              <w:ind w:right="146"/>
              <w:rPr>
                <w:b/>
              </w:rPr>
            </w:pPr>
            <w:r w:rsidRPr="00117174">
              <w:rPr>
                <w:b/>
              </w:rPr>
              <w:t>Equivocal (Score 2+)</w:t>
            </w:r>
          </w:p>
        </w:tc>
        <w:tc>
          <w:tcPr>
            <w:tcW w:w="1701" w:type="dxa"/>
            <w:shd w:val="clear" w:color="auto" w:fill="FFFFFF" w:themeFill="background1"/>
            <w:vAlign w:val="center"/>
          </w:tcPr>
          <w:p w14:paraId="370ABD6A" w14:textId="77777777" w:rsidR="00A001E9" w:rsidRPr="00117174" w:rsidRDefault="00A001E9" w:rsidP="00FF361C">
            <w:pPr>
              <w:ind w:right="146"/>
              <w:rPr>
                <w:b/>
              </w:rPr>
            </w:pPr>
            <w:r w:rsidRPr="00117174">
              <w:rPr>
                <w:b/>
              </w:rPr>
              <w:t>Equivocal (Score 2+)</w:t>
            </w:r>
          </w:p>
        </w:tc>
        <w:tc>
          <w:tcPr>
            <w:tcW w:w="1559" w:type="dxa"/>
            <w:shd w:val="clear" w:color="auto" w:fill="FFFFFF" w:themeFill="background1"/>
            <w:vAlign w:val="center"/>
          </w:tcPr>
          <w:p w14:paraId="32116067" w14:textId="77777777" w:rsidR="00A001E9" w:rsidRPr="00117174" w:rsidRDefault="00A001E9" w:rsidP="00FF361C">
            <w:pPr>
              <w:ind w:right="146"/>
              <w:rPr>
                <w:b/>
              </w:rPr>
            </w:pPr>
            <w:r w:rsidRPr="00117174">
              <w:rPr>
                <w:b/>
              </w:rPr>
              <w:t>Equivocal (Score 2+)</w:t>
            </w:r>
          </w:p>
        </w:tc>
        <w:tc>
          <w:tcPr>
            <w:tcW w:w="1985" w:type="dxa"/>
            <w:shd w:val="clear" w:color="auto" w:fill="FFFFFF" w:themeFill="background1"/>
            <w:vAlign w:val="center"/>
          </w:tcPr>
          <w:p w14:paraId="5FAC218A" w14:textId="77777777" w:rsidR="00A001E9" w:rsidRDefault="00A001E9" w:rsidP="00A001E9">
            <w:pPr>
              <w:ind w:right="146"/>
              <w:jc w:val="center"/>
            </w:pPr>
            <w:r w:rsidRPr="00353472">
              <w:t>Concordant</w:t>
            </w:r>
          </w:p>
        </w:tc>
      </w:tr>
      <w:tr w:rsidR="00A001E9" w:rsidRPr="00117174" w14:paraId="76971835" w14:textId="77777777" w:rsidTr="00A001E9">
        <w:trPr>
          <w:trHeight w:val="562"/>
          <w:jc w:val="center"/>
        </w:trPr>
        <w:tc>
          <w:tcPr>
            <w:tcW w:w="1049" w:type="dxa"/>
            <w:shd w:val="clear" w:color="auto" w:fill="FFFFFF" w:themeFill="background1"/>
          </w:tcPr>
          <w:p w14:paraId="426010F5" w14:textId="77777777" w:rsidR="00A001E9" w:rsidRPr="00117174" w:rsidRDefault="00A001E9" w:rsidP="00A5557B">
            <w:pPr>
              <w:pStyle w:val="ListParagraph"/>
              <w:numPr>
                <w:ilvl w:val="0"/>
                <w:numId w:val="1"/>
              </w:numPr>
              <w:spacing w:after="0" w:line="240" w:lineRule="auto"/>
              <w:ind w:right="146"/>
              <w:jc w:val="both"/>
              <w:rPr>
                <w:b/>
                <w:sz w:val="22"/>
                <w:szCs w:val="22"/>
              </w:rPr>
            </w:pPr>
          </w:p>
        </w:tc>
        <w:tc>
          <w:tcPr>
            <w:tcW w:w="902" w:type="dxa"/>
            <w:shd w:val="clear" w:color="auto" w:fill="FFFFFF" w:themeFill="background1"/>
          </w:tcPr>
          <w:p w14:paraId="7A775500" w14:textId="77777777" w:rsidR="00A001E9" w:rsidRPr="00117174" w:rsidRDefault="00A001E9" w:rsidP="00A5557B">
            <w:pPr>
              <w:ind w:right="146"/>
              <w:jc w:val="both"/>
              <w:rPr>
                <w:b/>
              </w:rPr>
            </w:pPr>
            <w:r>
              <w:rPr>
                <w:b/>
              </w:rPr>
              <w:t>A**</w:t>
            </w:r>
          </w:p>
        </w:tc>
        <w:tc>
          <w:tcPr>
            <w:tcW w:w="1701" w:type="dxa"/>
            <w:shd w:val="clear" w:color="auto" w:fill="FFFFFF" w:themeFill="background1"/>
            <w:vAlign w:val="center"/>
          </w:tcPr>
          <w:p w14:paraId="4F04E493" w14:textId="77777777" w:rsidR="00A001E9" w:rsidRDefault="00A001E9" w:rsidP="00FF361C">
            <w:pPr>
              <w:ind w:right="146"/>
              <w:rPr>
                <w:b/>
              </w:rPr>
            </w:pPr>
            <w:r>
              <w:rPr>
                <w:b/>
              </w:rPr>
              <w:t>Posi</w:t>
            </w:r>
            <w:r w:rsidRPr="00117174">
              <w:rPr>
                <w:b/>
              </w:rPr>
              <w:t>tive</w:t>
            </w:r>
          </w:p>
          <w:p w14:paraId="09C1B3BF" w14:textId="77777777" w:rsidR="00A001E9" w:rsidRPr="00117174" w:rsidRDefault="00A001E9" w:rsidP="00FF361C">
            <w:pPr>
              <w:ind w:right="146"/>
              <w:rPr>
                <w:b/>
              </w:rPr>
            </w:pPr>
            <w:r>
              <w:rPr>
                <w:b/>
              </w:rPr>
              <w:t>(Score 3</w:t>
            </w:r>
            <w:r w:rsidRPr="00117174">
              <w:rPr>
                <w:b/>
              </w:rPr>
              <w:t>+)</w:t>
            </w:r>
          </w:p>
        </w:tc>
        <w:tc>
          <w:tcPr>
            <w:tcW w:w="1701" w:type="dxa"/>
            <w:shd w:val="clear" w:color="auto" w:fill="FFFFFF" w:themeFill="background1"/>
            <w:vAlign w:val="center"/>
          </w:tcPr>
          <w:p w14:paraId="67195FC8" w14:textId="77777777" w:rsidR="00A001E9" w:rsidRDefault="00A001E9" w:rsidP="00FF361C">
            <w:pPr>
              <w:ind w:right="146"/>
              <w:rPr>
                <w:b/>
              </w:rPr>
            </w:pPr>
            <w:r>
              <w:rPr>
                <w:b/>
              </w:rPr>
              <w:t>Posi</w:t>
            </w:r>
            <w:r w:rsidRPr="00117174">
              <w:rPr>
                <w:b/>
              </w:rPr>
              <w:t>tive</w:t>
            </w:r>
          </w:p>
          <w:p w14:paraId="537C5ABD" w14:textId="77777777" w:rsidR="00A001E9" w:rsidRPr="00117174" w:rsidRDefault="00A001E9" w:rsidP="00FF361C">
            <w:pPr>
              <w:ind w:right="146"/>
              <w:rPr>
                <w:b/>
              </w:rPr>
            </w:pPr>
            <w:r>
              <w:rPr>
                <w:b/>
              </w:rPr>
              <w:t>(Score 3</w:t>
            </w:r>
            <w:r w:rsidRPr="00117174">
              <w:rPr>
                <w:b/>
              </w:rPr>
              <w:t>+)</w:t>
            </w:r>
          </w:p>
        </w:tc>
        <w:tc>
          <w:tcPr>
            <w:tcW w:w="1559" w:type="dxa"/>
            <w:shd w:val="clear" w:color="auto" w:fill="FFFFFF" w:themeFill="background1"/>
            <w:vAlign w:val="center"/>
          </w:tcPr>
          <w:p w14:paraId="64B1F1C1" w14:textId="77777777" w:rsidR="00A001E9" w:rsidRDefault="00A001E9" w:rsidP="00FF361C">
            <w:pPr>
              <w:ind w:right="146"/>
              <w:rPr>
                <w:b/>
              </w:rPr>
            </w:pPr>
            <w:r>
              <w:rPr>
                <w:b/>
              </w:rPr>
              <w:t>Posi</w:t>
            </w:r>
            <w:r w:rsidRPr="00117174">
              <w:rPr>
                <w:b/>
              </w:rPr>
              <w:t>tive</w:t>
            </w:r>
          </w:p>
          <w:p w14:paraId="199464F0" w14:textId="77777777" w:rsidR="00A001E9" w:rsidRPr="00117174" w:rsidRDefault="00A001E9" w:rsidP="00FF361C">
            <w:pPr>
              <w:ind w:right="146"/>
              <w:rPr>
                <w:b/>
              </w:rPr>
            </w:pPr>
            <w:r>
              <w:rPr>
                <w:b/>
              </w:rPr>
              <w:t>(Score 3</w:t>
            </w:r>
            <w:r w:rsidRPr="00117174">
              <w:rPr>
                <w:b/>
              </w:rPr>
              <w:t>+)</w:t>
            </w:r>
          </w:p>
        </w:tc>
        <w:tc>
          <w:tcPr>
            <w:tcW w:w="1985" w:type="dxa"/>
            <w:shd w:val="clear" w:color="auto" w:fill="FFFFFF" w:themeFill="background1"/>
            <w:vAlign w:val="center"/>
          </w:tcPr>
          <w:p w14:paraId="6CF10D46" w14:textId="77777777" w:rsidR="00A001E9" w:rsidRDefault="00A001E9" w:rsidP="00A001E9">
            <w:pPr>
              <w:ind w:right="146"/>
              <w:jc w:val="center"/>
            </w:pPr>
            <w:r w:rsidRPr="00353472">
              <w:t>Concordant</w:t>
            </w:r>
          </w:p>
        </w:tc>
      </w:tr>
      <w:tr w:rsidR="00A001E9" w:rsidRPr="00117174" w14:paraId="39D26AFA" w14:textId="77777777" w:rsidTr="00A001E9">
        <w:trPr>
          <w:trHeight w:val="576"/>
          <w:jc w:val="center"/>
        </w:trPr>
        <w:tc>
          <w:tcPr>
            <w:tcW w:w="1049" w:type="dxa"/>
            <w:shd w:val="clear" w:color="auto" w:fill="FFFFFF" w:themeFill="background1"/>
          </w:tcPr>
          <w:p w14:paraId="1D88AB1B" w14:textId="77777777" w:rsidR="00A001E9" w:rsidRPr="00117174" w:rsidRDefault="00A001E9" w:rsidP="00A5557B">
            <w:pPr>
              <w:pStyle w:val="ListParagraph"/>
              <w:numPr>
                <w:ilvl w:val="0"/>
                <w:numId w:val="1"/>
              </w:numPr>
              <w:spacing w:after="0" w:line="240" w:lineRule="auto"/>
              <w:ind w:right="146"/>
              <w:jc w:val="both"/>
              <w:rPr>
                <w:b/>
                <w:sz w:val="22"/>
                <w:szCs w:val="22"/>
              </w:rPr>
            </w:pPr>
          </w:p>
        </w:tc>
        <w:tc>
          <w:tcPr>
            <w:tcW w:w="902" w:type="dxa"/>
            <w:shd w:val="clear" w:color="auto" w:fill="FFFFFF" w:themeFill="background1"/>
          </w:tcPr>
          <w:p w14:paraId="1F18FC68" w14:textId="77777777" w:rsidR="00A001E9" w:rsidRPr="00117174" w:rsidRDefault="00A001E9" w:rsidP="00A5557B">
            <w:pPr>
              <w:ind w:right="146"/>
              <w:jc w:val="both"/>
              <w:rPr>
                <w:b/>
              </w:rPr>
            </w:pPr>
            <w:r w:rsidRPr="00117174">
              <w:rPr>
                <w:b/>
              </w:rPr>
              <w:t>NA</w:t>
            </w:r>
            <w:r>
              <w:rPr>
                <w:b/>
              </w:rPr>
              <w:t>*</w:t>
            </w:r>
          </w:p>
        </w:tc>
        <w:tc>
          <w:tcPr>
            <w:tcW w:w="1701" w:type="dxa"/>
            <w:shd w:val="clear" w:color="auto" w:fill="FFFFFF" w:themeFill="background1"/>
          </w:tcPr>
          <w:p w14:paraId="1C97F434" w14:textId="77777777" w:rsidR="00A001E9" w:rsidRDefault="00A001E9" w:rsidP="00FF361C">
            <w:r w:rsidRPr="00472088">
              <w:rPr>
                <w:b/>
              </w:rPr>
              <w:t>Negative      (Score 0)</w:t>
            </w:r>
          </w:p>
        </w:tc>
        <w:tc>
          <w:tcPr>
            <w:tcW w:w="1701" w:type="dxa"/>
            <w:shd w:val="clear" w:color="auto" w:fill="FFFFFF" w:themeFill="background1"/>
          </w:tcPr>
          <w:p w14:paraId="0C80413E" w14:textId="77777777" w:rsidR="00A001E9" w:rsidRDefault="00A001E9" w:rsidP="00FF361C">
            <w:r w:rsidRPr="00472088">
              <w:rPr>
                <w:b/>
              </w:rPr>
              <w:t>Negative      (Score 0)</w:t>
            </w:r>
          </w:p>
        </w:tc>
        <w:tc>
          <w:tcPr>
            <w:tcW w:w="1559" w:type="dxa"/>
            <w:shd w:val="clear" w:color="auto" w:fill="FFFFFF" w:themeFill="background1"/>
          </w:tcPr>
          <w:p w14:paraId="2F538C8A" w14:textId="77777777" w:rsidR="00A001E9" w:rsidRDefault="00A001E9" w:rsidP="00FF361C">
            <w:r w:rsidRPr="00472088">
              <w:rPr>
                <w:b/>
              </w:rPr>
              <w:t>Negative      (Score 0)</w:t>
            </w:r>
          </w:p>
        </w:tc>
        <w:tc>
          <w:tcPr>
            <w:tcW w:w="1985" w:type="dxa"/>
            <w:shd w:val="clear" w:color="auto" w:fill="FFFFFF" w:themeFill="background1"/>
            <w:vAlign w:val="center"/>
          </w:tcPr>
          <w:p w14:paraId="334359A2" w14:textId="77777777" w:rsidR="00A001E9" w:rsidRDefault="00A001E9" w:rsidP="00A001E9">
            <w:pPr>
              <w:ind w:right="146"/>
              <w:jc w:val="center"/>
            </w:pPr>
            <w:r w:rsidRPr="00353472">
              <w:t>Concordant</w:t>
            </w:r>
          </w:p>
        </w:tc>
      </w:tr>
      <w:tr w:rsidR="00A001E9" w:rsidRPr="00117174" w14:paraId="4E46BBDE" w14:textId="77777777" w:rsidTr="00A001E9">
        <w:trPr>
          <w:trHeight w:val="332"/>
          <w:jc w:val="center"/>
        </w:trPr>
        <w:tc>
          <w:tcPr>
            <w:tcW w:w="1049" w:type="dxa"/>
            <w:shd w:val="clear" w:color="auto" w:fill="FFFFFF" w:themeFill="background1"/>
          </w:tcPr>
          <w:p w14:paraId="585ECB77" w14:textId="77777777" w:rsidR="00A001E9" w:rsidRPr="00117174" w:rsidRDefault="00A001E9" w:rsidP="00A5557B">
            <w:pPr>
              <w:pStyle w:val="ListParagraph"/>
              <w:numPr>
                <w:ilvl w:val="0"/>
                <w:numId w:val="1"/>
              </w:numPr>
              <w:spacing w:after="0" w:line="240" w:lineRule="auto"/>
              <w:ind w:right="146"/>
              <w:jc w:val="both"/>
              <w:rPr>
                <w:b/>
                <w:sz w:val="22"/>
                <w:szCs w:val="22"/>
              </w:rPr>
            </w:pPr>
          </w:p>
        </w:tc>
        <w:tc>
          <w:tcPr>
            <w:tcW w:w="902" w:type="dxa"/>
            <w:shd w:val="clear" w:color="auto" w:fill="FFFFFF" w:themeFill="background1"/>
          </w:tcPr>
          <w:p w14:paraId="47B07B7B" w14:textId="77777777" w:rsidR="00A001E9" w:rsidRPr="00117174" w:rsidRDefault="00A001E9" w:rsidP="00A5557B">
            <w:pPr>
              <w:ind w:right="146"/>
              <w:jc w:val="both"/>
              <w:rPr>
                <w:b/>
              </w:rPr>
            </w:pPr>
            <w:r w:rsidRPr="00117174">
              <w:rPr>
                <w:b/>
              </w:rPr>
              <w:t>NA</w:t>
            </w:r>
            <w:r>
              <w:rPr>
                <w:b/>
              </w:rPr>
              <w:t>*</w:t>
            </w:r>
          </w:p>
        </w:tc>
        <w:tc>
          <w:tcPr>
            <w:tcW w:w="1701" w:type="dxa"/>
            <w:shd w:val="clear" w:color="auto" w:fill="FFFFFF" w:themeFill="background1"/>
            <w:vAlign w:val="center"/>
          </w:tcPr>
          <w:p w14:paraId="587E030F" w14:textId="77777777" w:rsidR="00A001E9" w:rsidRPr="00117174" w:rsidRDefault="00A001E9" w:rsidP="00FF361C">
            <w:pPr>
              <w:ind w:right="146"/>
              <w:rPr>
                <w:b/>
              </w:rPr>
            </w:pPr>
            <w:r w:rsidRPr="00117174">
              <w:rPr>
                <w:b/>
              </w:rPr>
              <w:t>Equivocal (Score 2+)</w:t>
            </w:r>
          </w:p>
        </w:tc>
        <w:tc>
          <w:tcPr>
            <w:tcW w:w="1701" w:type="dxa"/>
            <w:shd w:val="clear" w:color="auto" w:fill="FFFFFF" w:themeFill="background1"/>
            <w:vAlign w:val="center"/>
          </w:tcPr>
          <w:p w14:paraId="75484D6F" w14:textId="77777777" w:rsidR="00A001E9" w:rsidRPr="00117174" w:rsidRDefault="00A001E9" w:rsidP="00FF361C">
            <w:pPr>
              <w:ind w:right="146"/>
              <w:rPr>
                <w:b/>
              </w:rPr>
            </w:pPr>
            <w:r w:rsidRPr="00117174">
              <w:rPr>
                <w:b/>
              </w:rPr>
              <w:t>Equivocal (Score 2+)</w:t>
            </w:r>
          </w:p>
        </w:tc>
        <w:tc>
          <w:tcPr>
            <w:tcW w:w="1559" w:type="dxa"/>
            <w:shd w:val="clear" w:color="auto" w:fill="FFFFFF" w:themeFill="background1"/>
            <w:vAlign w:val="center"/>
          </w:tcPr>
          <w:p w14:paraId="71CF863F" w14:textId="77777777" w:rsidR="00A001E9" w:rsidRPr="00117174" w:rsidRDefault="00A001E9" w:rsidP="00FF361C">
            <w:pPr>
              <w:ind w:right="146"/>
              <w:rPr>
                <w:b/>
              </w:rPr>
            </w:pPr>
            <w:r w:rsidRPr="00117174">
              <w:rPr>
                <w:b/>
              </w:rPr>
              <w:t>Equivocal (Score 2+)</w:t>
            </w:r>
          </w:p>
        </w:tc>
        <w:tc>
          <w:tcPr>
            <w:tcW w:w="1985" w:type="dxa"/>
            <w:shd w:val="clear" w:color="auto" w:fill="FFFFFF" w:themeFill="background1"/>
            <w:vAlign w:val="center"/>
          </w:tcPr>
          <w:p w14:paraId="415E0085" w14:textId="77777777" w:rsidR="00A001E9" w:rsidRDefault="00A001E9" w:rsidP="00A001E9">
            <w:pPr>
              <w:ind w:right="146"/>
              <w:jc w:val="center"/>
            </w:pPr>
            <w:r w:rsidRPr="00353472">
              <w:t>Concordant</w:t>
            </w:r>
          </w:p>
        </w:tc>
      </w:tr>
      <w:tr w:rsidR="00A001E9" w:rsidRPr="00117174" w14:paraId="0378294D" w14:textId="77777777" w:rsidTr="00A001E9">
        <w:trPr>
          <w:trHeight w:val="457"/>
          <w:jc w:val="center"/>
        </w:trPr>
        <w:tc>
          <w:tcPr>
            <w:tcW w:w="1049" w:type="dxa"/>
            <w:shd w:val="clear" w:color="auto" w:fill="FFFFFF" w:themeFill="background1"/>
          </w:tcPr>
          <w:p w14:paraId="0AA20D6B" w14:textId="77777777" w:rsidR="00A001E9" w:rsidRPr="00117174" w:rsidRDefault="00A001E9" w:rsidP="00A5557B">
            <w:pPr>
              <w:pStyle w:val="ListParagraph"/>
              <w:numPr>
                <w:ilvl w:val="0"/>
                <w:numId w:val="1"/>
              </w:numPr>
              <w:spacing w:after="0" w:line="240" w:lineRule="auto"/>
              <w:ind w:right="146"/>
              <w:jc w:val="both"/>
              <w:rPr>
                <w:b/>
                <w:sz w:val="22"/>
                <w:szCs w:val="22"/>
              </w:rPr>
            </w:pPr>
          </w:p>
        </w:tc>
        <w:tc>
          <w:tcPr>
            <w:tcW w:w="902" w:type="dxa"/>
            <w:shd w:val="clear" w:color="auto" w:fill="FFFFFF" w:themeFill="background1"/>
          </w:tcPr>
          <w:p w14:paraId="05E96637" w14:textId="77777777" w:rsidR="00A001E9" w:rsidRPr="00117174" w:rsidRDefault="00A001E9" w:rsidP="00A5557B">
            <w:pPr>
              <w:ind w:right="146"/>
              <w:jc w:val="both"/>
              <w:rPr>
                <w:b/>
              </w:rPr>
            </w:pPr>
            <w:r>
              <w:rPr>
                <w:b/>
              </w:rPr>
              <w:t>NA*</w:t>
            </w:r>
          </w:p>
        </w:tc>
        <w:tc>
          <w:tcPr>
            <w:tcW w:w="1701" w:type="dxa"/>
            <w:shd w:val="clear" w:color="auto" w:fill="FFFFFF" w:themeFill="background1"/>
            <w:vAlign w:val="center"/>
          </w:tcPr>
          <w:p w14:paraId="66030320" w14:textId="77777777" w:rsidR="00A001E9" w:rsidRPr="00117174" w:rsidRDefault="00A001E9" w:rsidP="00FF361C">
            <w:pPr>
              <w:ind w:right="146"/>
              <w:rPr>
                <w:b/>
              </w:rPr>
            </w:pPr>
            <w:r w:rsidRPr="00117174">
              <w:rPr>
                <w:b/>
              </w:rPr>
              <w:t>Negative</w:t>
            </w:r>
            <w:r>
              <w:rPr>
                <w:b/>
              </w:rPr>
              <w:t xml:space="preserve">      (Score </w:t>
            </w:r>
            <w:r w:rsidRPr="00117174">
              <w:rPr>
                <w:b/>
              </w:rPr>
              <w:t>1+)</w:t>
            </w:r>
          </w:p>
        </w:tc>
        <w:tc>
          <w:tcPr>
            <w:tcW w:w="1701" w:type="dxa"/>
            <w:shd w:val="clear" w:color="auto" w:fill="FFFFFF" w:themeFill="background1"/>
          </w:tcPr>
          <w:p w14:paraId="1C9BD6D7" w14:textId="77777777" w:rsidR="00A001E9" w:rsidRDefault="00A001E9" w:rsidP="00FF361C">
            <w:r w:rsidRPr="00472088">
              <w:rPr>
                <w:b/>
              </w:rPr>
              <w:t>Negative      (Score 0)</w:t>
            </w:r>
          </w:p>
        </w:tc>
        <w:tc>
          <w:tcPr>
            <w:tcW w:w="1559" w:type="dxa"/>
            <w:shd w:val="clear" w:color="auto" w:fill="FFFFFF" w:themeFill="background1"/>
          </w:tcPr>
          <w:p w14:paraId="218DC562" w14:textId="77777777" w:rsidR="00A001E9" w:rsidRDefault="00A001E9" w:rsidP="00FF361C">
            <w:r w:rsidRPr="00472088">
              <w:rPr>
                <w:b/>
              </w:rPr>
              <w:t>Negative      (Score 0)</w:t>
            </w:r>
          </w:p>
        </w:tc>
        <w:tc>
          <w:tcPr>
            <w:tcW w:w="1985" w:type="dxa"/>
            <w:shd w:val="clear" w:color="auto" w:fill="FFFFFF" w:themeFill="background1"/>
            <w:vAlign w:val="center"/>
          </w:tcPr>
          <w:p w14:paraId="56D9FAD2" w14:textId="77777777" w:rsidR="00A001E9" w:rsidRDefault="00A001E9" w:rsidP="00A001E9">
            <w:pPr>
              <w:ind w:right="146"/>
              <w:jc w:val="center"/>
            </w:pPr>
            <w:r w:rsidRPr="00353472">
              <w:t>Concordant</w:t>
            </w:r>
          </w:p>
        </w:tc>
      </w:tr>
      <w:tr w:rsidR="00A001E9" w:rsidRPr="00117174" w14:paraId="6EA46CCB" w14:textId="77777777" w:rsidTr="00A001E9">
        <w:trPr>
          <w:trHeight w:val="440"/>
          <w:jc w:val="center"/>
        </w:trPr>
        <w:tc>
          <w:tcPr>
            <w:tcW w:w="1049" w:type="dxa"/>
            <w:shd w:val="clear" w:color="auto" w:fill="FFFFFF" w:themeFill="background1"/>
          </w:tcPr>
          <w:p w14:paraId="33D52EBD" w14:textId="77777777" w:rsidR="00A001E9" w:rsidRPr="00117174" w:rsidRDefault="00A001E9" w:rsidP="00A5557B">
            <w:pPr>
              <w:pStyle w:val="ListParagraph"/>
              <w:numPr>
                <w:ilvl w:val="0"/>
                <w:numId w:val="1"/>
              </w:numPr>
              <w:spacing w:after="0" w:line="240" w:lineRule="auto"/>
              <w:ind w:right="146"/>
              <w:jc w:val="both"/>
              <w:rPr>
                <w:b/>
                <w:sz w:val="22"/>
                <w:szCs w:val="22"/>
              </w:rPr>
            </w:pPr>
          </w:p>
        </w:tc>
        <w:tc>
          <w:tcPr>
            <w:tcW w:w="902" w:type="dxa"/>
            <w:shd w:val="clear" w:color="auto" w:fill="FFFFFF" w:themeFill="background1"/>
          </w:tcPr>
          <w:p w14:paraId="146ED23E" w14:textId="77777777" w:rsidR="00A001E9" w:rsidRPr="00117174" w:rsidRDefault="00A001E9" w:rsidP="00A5557B">
            <w:pPr>
              <w:ind w:right="146"/>
              <w:jc w:val="both"/>
              <w:rPr>
                <w:b/>
              </w:rPr>
            </w:pPr>
            <w:r>
              <w:rPr>
                <w:b/>
              </w:rPr>
              <w:t>A**</w:t>
            </w:r>
          </w:p>
        </w:tc>
        <w:tc>
          <w:tcPr>
            <w:tcW w:w="1701" w:type="dxa"/>
            <w:shd w:val="clear" w:color="auto" w:fill="FFFFFF" w:themeFill="background1"/>
            <w:vAlign w:val="center"/>
          </w:tcPr>
          <w:p w14:paraId="7A84563B" w14:textId="77777777" w:rsidR="00A001E9" w:rsidRDefault="00A001E9" w:rsidP="00FF361C">
            <w:pPr>
              <w:ind w:right="146"/>
              <w:rPr>
                <w:b/>
              </w:rPr>
            </w:pPr>
            <w:r>
              <w:rPr>
                <w:b/>
              </w:rPr>
              <w:t>Posi</w:t>
            </w:r>
            <w:r w:rsidRPr="00117174">
              <w:rPr>
                <w:b/>
              </w:rPr>
              <w:t>tive</w:t>
            </w:r>
          </w:p>
          <w:p w14:paraId="41ED211A" w14:textId="77777777" w:rsidR="00A001E9" w:rsidRPr="00117174" w:rsidRDefault="00A001E9" w:rsidP="00FF361C">
            <w:pPr>
              <w:ind w:right="146"/>
              <w:rPr>
                <w:b/>
              </w:rPr>
            </w:pPr>
            <w:r>
              <w:rPr>
                <w:b/>
              </w:rPr>
              <w:t>(Score 3</w:t>
            </w:r>
            <w:r w:rsidRPr="00117174">
              <w:rPr>
                <w:b/>
              </w:rPr>
              <w:t>+)</w:t>
            </w:r>
          </w:p>
        </w:tc>
        <w:tc>
          <w:tcPr>
            <w:tcW w:w="1701" w:type="dxa"/>
            <w:shd w:val="clear" w:color="auto" w:fill="FFFFFF" w:themeFill="background1"/>
            <w:vAlign w:val="center"/>
          </w:tcPr>
          <w:p w14:paraId="411BAC1A" w14:textId="77777777" w:rsidR="00A001E9" w:rsidRDefault="00A001E9" w:rsidP="00FF361C">
            <w:pPr>
              <w:ind w:right="146"/>
              <w:rPr>
                <w:b/>
              </w:rPr>
            </w:pPr>
            <w:r>
              <w:rPr>
                <w:b/>
              </w:rPr>
              <w:t>Posi</w:t>
            </w:r>
            <w:r w:rsidRPr="00117174">
              <w:rPr>
                <w:b/>
              </w:rPr>
              <w:t>tive</w:t>
            </w:r>
          </w:p>
          <w:p w14:paraId="5DA62A20" w14:textId="77777777" w:rsidR="00A001E9" w:rsidRPr="00117174" w:rsidRDefault="00A001E9" w:rsidP="00FF361C">
            <w:pPr>
              <w:ind w:right="146"/>
              <w:rPr>
                <w:b/>
              </w:rPr>
            </w:pPr>
            <w:r>
              <w:rPr>
                <w:b/>
              </w:rPr>
              <w:t>(Score 3</w:t>
            </w:r>
            <w:r w:rsidRPr="00117174">
              <w:rPr>
                <w:b/>
              </w:rPr>
              <w:t>+)</w:t>
            </w:r>
          </w:p>
        </w:tc>
        <w:tc>
          <w:tcPr>
            <w:tcW w:w="1559" w:type="dxa"/>
            <w:shd w:val="clear" w:color="auto" w:fill="FFFFFF" w:themeFill="background1"/>
            <w:vAlign w:val="center"/>
          </w:tcPr>
          <w:p w14:paraId="4AAAEECF" w14:textId="77777777" w:rsidR="00A001E9" w:rsidRDefault="00A001E9" w:rsidP="00FF361C">
            <w:pPr>
              <w:ind w:right="146"/>
              <w:rPr>
                <w:b/>
              </w:rPr>
            </w:pPr>
            <w:r>
              <w:rPr>
                <w:b/>
              </w:rPr>
              <w:t>Posi</w:t>
            </w:r>
            <w:r w:rsidRPr="00117174">
              <w:rPr>
                <w:b/>
              </w:rPr>
              <w:t>tive</w:t>
            </w:r>
          </w:p>
          <w:p w14:paraId="1A98453B" w14:textId="77777777" w:rsidR="00A001E9" w:rsidRPr="00117174" w:rsidRDefault="00A001E9" w:rsidP="00FF361C">
            <w:pPr>
              <w:ind w:right="146"/>
              <w:rPr>
                <w:b/>
              </w:rPr>
            </w:pPr>
            <w:r>
              <w:rPr>
                <w:b/>
              </w:rPr>
              <w:t>(Score 3</w:t>
            </w:r>
            <w:r w:rsidRPr="00117174">
              <w:rPr>
                <w:b/>
              </w:rPr>
              <w:t>+)</w:t>
            </w:r>
          </w:p>
        </w:tc>
        <w:tc>
          <w:tcPr>
            <w:tcW w:w="1985" w:type="dxa"/>
            <w:shd w:val="clear" w:color="auto" w:fill="FFFFFF" w:themeFill="background1"/>
            <w:vAlign w:val="center"/>
          </w:tcPr>
          <w:p w14:paraId="5EA4AD97" w14:textId="77777777" w:rsidR="00A001E9" w:rsidRDefault="00A001E9" w:rsidP="00A001E9">
            <w:pPr>
              <w:ind w:right="146"/>
              <w:jc w:val="center"/>
            </w:pPr>
            <w:r>
              <w:t>Concordant</w:t>
            </w:r>
          </w:p>
        </w:tc>
      </w:tr>
    </w:tbl>
    <w:p w14:paraId="34EE9A03" w14:textId="77777777" w:rsidR="0023154E" w:rsidRDefault="0023154E" w:rsidP="00A5557B">
      <w:pPr>
        <w:ind w:right="146"/>
        <w:rPr>
          <w:rFonts w:cstheme="minorHAnsi"/>
          <w:b/>
          <w:sz w:val="24"/>
          <w:szCs w:val="24"/>
        </w:rPr>
      </w:pPr>
      <w:r>
        <w:rPr>
          <w:rFonts w:cstheme="minorHAnsi"/>
          <w:b/>
          <w:sz w:val="24"/>
          <w:szCs w:val="24"/>
        </w:rPr>
        <w:t>*NA- Non Amplified A**- Amplified</w:t>
      </w:r>
    </w:p>
    <w:p w14:paraId="40973F14" w14:textId="77777777" w:rsidR="00AB7E5D" w:rsidRDefault="0023154E" w:rsidP="00A5557B">
      <w:pPr>
        <w:ind w:right="146"/>
        <w:rPr>
          <w:rFonts w:cstheme="minorHAnsi"/>
          <w:b/>
          <w:sz w:val="24"/>
          <w:szCs w:val="24"/>
        </w:rPr>
      </w:pPr>
      <w:r w:rsidRPr="0049281F">
        <w:rPr>
          <w:rFonts w:cstheme="minorHAnsi"/>
          <w:b/>
          <w:sz w:val="24"/>
          <w:szCs w:val="24"/>
        </w:rPr>
        <w:t xml:space="preserve">Technical </w:t>
      </w:r>
      <w:r w:rsidR="00D8043C" w:rsidRPr="0049281F">
        <w:rPr>
          <w:rFonts w:cstheme="minorHAnsi"/>
          <w:b/>
          <w:sz w:val="24"/>
          <w:szCs w:val="24"/>
        </w:rPr>
        <w:t>comments:</w:t>
      </w:r>
      <w:r w:rsidR="00382C50">
        <w:rPr>
          <w:rFonts w:cstheme="minorHAnsi"/>
          <w:b/>
          <w:sz w:val="24"/>
          <w:szCs w:val="24"/>
        </w:rPr>
        <w:t xml:space="preserve"> </w:t>
      </w:r>
    </w:p>
    <w:p w14:paraId="055BC1E1" w14:textId="77777777" w:rsidR="0023154E" w:rsidRDefault="00AB7E5D" w:rsidP="00A5557B">
      <w:pPr>
        <w:ind w:right="146"/>
        <w:rPr>
          <w:rFonts w:cstheme="minorHAnsi"/>
          <w:sz w:val="24"/>
          <w:szCs w:val="24"/>
        </w:rPr>
      </w:pPr>
      <w:r>
        <w:rPr>
          <w:rFonts w:cstheme="minorHAnsi"/>
          <w:sz w:val="24"/>
          <w:szCs w:val="24"/>
        </w:rPr>
        <w:t xml:space="preserve">1. </w:t>
      </w:r>
      <w:r w:rsidR="003B2965">
        <w:rPr>
          <w:rFonts w:cstheme="minorHAnsi"/>
          <w:sz w:val="24"/>
          <w:szCs w:val="24"/>
        </w:rPr>
        <w:t>On slide positive control provided.</w:t>
      </w:r>
    </w:p>
    <w:p w14:paraId="2C297F86" w14:textId="77777777" w:rsidR="00AB7E5D" w:rsidRDefault="00AB7E5D" w:rsidP="00A5557B">
      <w:pPr>
        <w:ind w:right="146"/>
        <w:rPr>
          <w:rFonts w:cstheme="minorHAnsi"/>
          <w:sz w:val="24"/>
          <w:szCs w:val="24"/>
        </w:rPr>
      </w:pPr>
      <w:r>
        <w:rPr>
          <w:rFonts w:cstheme="minorHAnsi"/>
          <w:sz w:val="24"/>
          <w:szCs w:val="24"/>
        </w:rPr>
        <w:t>2. Staining is satisfactory.</w:t>
      </w:r>
    </w:p>
    <w:tbl>
      <w:tblPr>
        <w:tblStyle w:val="TableGrid"/>
        <w:tblpPr w:leftFromText="180" w:rightFromText="180" w:vertAnchor="text" w:horzAnchor="margin" w:tblpXSpec="center" w:tblpY="196"/>
        <w:tblW w:w="0" w:type="auto"/>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4575"/>
        <w:gridCol w:w="4575"/>
      </w:tblGrid>
      <w:tr w:rsidR="00AB7E5D" w14:paraId="00288528" w14:textId="77777777" w:rsidTr="00AB7E5D">
        <w:trPr>
          <w:trHeight w:val="473"/>
        </w:trPr>
        <w:tc>
          <w:tcPr>
            <w:tcW w:w="4575" w:type="dxa"/>
            <w:shd w:val="clear" w:color="auto" w:fill="002060"/>
          </w:tcPr>
          <w:p w14:paraId="4F0E06A7" w14:textId="77777777" w:rsidR="00AB7E5D" w:rsidRPr="00FA3DF7" w:rsidRDefault="00AB7E5D" w:rsidP="00AB7E5D">
            <w:pPr>
              <w:ind w:right="146"/>
              <w:rPr>
                <w:b/>
                <w:color w:val="FFFFFF" w:themeColor="background1"/>
                <w:sz w:val="24"/>
                <w:szCs w:val="24"/>
              </w:rPr>
            </w:pPr>
            <w:r w:rsidRPr="00FA3DF7">
              <w:rPr>
                <w:b/>
                <w:color w:val="FFFFFF" w:themeColor="background1"/>
                <w:sz w:val="24"/>
                <w:szCs w:val="24"/>
              </w:rPr>
              <w:t>Test pass rate</w:t>
            </w:r>
          </w:p>
        </w:tc>
        <w:tc>
          <w:tcPr>
            <w:tcW w:w="4575" w:type="dxa"/>
            <w:shd w:val="clear" w:color="auto" w:fill="002060"/>
          </w:tcPr>
          <w:p w14:paraId="68221FBD" w14:textId="77777777" w:rsidR="00AB7E5D" w:rsidRPr="00FA3DF7" w:rsidRDefault="00AB7E5D" w:rsidP="00AB7E5D">
            <w:pPr>
              <w:ind w:right="146"/>
              <w:rPr>
                <w:b/>
                <w:color w:val="FFFFFF" w:themeColor="background1"/>
                <w:sz w:val="24"/>
                <w:szCs w:val="24"/>
              </w:rPr>
            </w:pPr>
            <w:r w:rsidRPr="00FA3DF7">
              <w:rPr>
                <w:b/>
                <w:color w:val="FFFFFF" w:themeColor="background1"/>
                <w:sz w:val="24"/>
                <w:szCs w:val="24"/>
              </w:rPr>
              <w:t>Interpretation pass rate</w:t>
            </w:r>
          </w:p>
        </w:tc>
      </w:tr>
      <w:tr w:rsidR="00AB7E5D" w14:paraId="0DBA0217" w14:textId="77777777" w:rsidTr="00AB7E5D">
        <w:trPr>
          <w:trHeight w:val="421"/>
        </w:trPr>
        <w:tc>
          <w:tcPr>
            <w:tcW w:w="4575" w:type="dxa"/>
          </w:tcPr>
          <w:p w14:paraId="2D890DCC" w14:textId="77777777" w:rsidR="00AB7E5D" w:rsidRPr="000E7BB4" w:rsidRDefault="00AB7E5D" w:rsidP="00AB7E5D">
            <w:pPr>
              <w:ind w:right="146"/>
              <w:rPr>
                <w:b/>
                <w:color w:val="000000" w:themeColor="text1"/>
              </w:rPr>
            </w:pPr>
            <w:r>
              <w:rPr>
                <w:b/>
                <w:color w:val="000000" w:themeColor="text1"/>
              </w:rPr>
              <w:t xml:space="preserve"> 10</w:t>
            </w:r>
            <w:r w:rsidRPr="000E7BB4">
              <w:rPr>
                <w:b/>
                <w:color w:val="000000" w:themeColor="text1"/>
              </w:rPr>
              <w:t>/10 Results concordant</w:t>
            </w:r>
          </w:p>
        </w:tc>
        <w:tc>
          <w:tcPr>
            <w:tcW w:w="4575" w:type="dxa"/>
          </w:tcPr>
          <w:p w14:paraId="7DE322C6" w14:textId="77777777" w:rsidR="00AB7E5D" w:rsidRPr="000E7BB4" w:rsidRDefault="00AB7E5D" w:rsidP="00AB7E5D">
            <w:pPr>
              <w:ind w:right="146"/>
              <w:rPr>
                <w:b/>
                <w:color w:val="000000" w:themeColor="text1"/>
              </w:rPr>
            </w:pPr>
            <w:r>
              <w:rPr>
                <w:b/>
                <w:color w:val="000000" w:themeColor="text1"/>
              </w:rPr>
              <w:t>10</w:t>
            </w:r>
            <w:r w:rsidRPr="000E7BB4">
              <w:rPr>
                <w:b/>
                <w:color w:val="000000" w:themeColor="text1"/>
              </w:rPr>
              <w:t>/10 Results concordant</w:t>
            </w:r>
          </w:p>
        </w:tc>
      </w:tr>
      <w:tr w:rsidR="00AB7E5D" w14:paraId="51CD6934" w14:textId="77777777" w:rsidTr="00AB7E5D">
        <w:trPr>
          <w:trHeight w:val="390"/>
        </w:trPr>
        <w:tc>
          <w:tcPr>
            <w:tcW w:w="4575" w:type="dxa"/>
          </w:tcPr>
          <w:p w14:paraId="33EEDF15" w14:textId="77777777" w:rsidR="00AB7E5D" w:rsidRPr="009C08EC" w:rsidRDefault="00AB7E5D" w:rsidP="00AB7E5D">
            <w:pPr>
              <w:ind w:right="146"/>
              <w:rPr>
                <w:b/>
                <w:color w:val="000000" w:themeColor="text1"/>
              </w:rPr>
            </w:pPr>
            <w:r w:rsidRPr="009C08EC">
              <w:rPr>
                <w:b/>
                <w:color w:val="000000" w:themeColor="text1"/>
              </w:rPr>
              <w:t xml:space="preserve">Pass rate- </w:t>
            </w:r>
            <w:r>
              <w:rPr>
                <w:b/>
                <w:color w:val="000000" w:themeColor="text1"/>
              </w:rPr>
              <w:t>100%</w:t>
            </w:r>
          </w:p>
        </w:tc>
        <w:tc>
          <w:tcPr>
            <w:tcW w:w="4575" w:type="dxa"/>
          </w:tcPr>
          <w:p w14:paraId="6DF10157" w14:textId="77777777" w:rsidR="00AB7E5D" w:rsidRPr="009C08EC" w:rsidRDefault="00AB7E5D" w:rsidP="00AB7E5D">
            <w:pPr>
              <w:ind w:right="146"/>
              <w:rPr>
                <w:b/>
                <w:color w:val="000000" w:themeColor="text1"/>
              </w:rPr>
            </w:pPr>
            <w:r w:rsidRPr="009C08EC">
              <w:rPr>
                <w:b/>
                <w:color w:val="000000" w:themeColor="text1"/>
              </w:rPr>
              <w:t>Pass rate-</w:t>
            </w:r>
            <w:r>
              <w:rPr>
                <w:b/>
                <w:color w:val="000000" w:themeColor="text1"/>
              </w:rPr>
              <w:t xml:space="preserve"> 100%</w:t>
            </w:r>
          </w:p>
        </w:tc>
      </w:tr>
    </w:tbl>
    <w:p w14:paraId="5049E0CF" w14:textId="77777777" w:rsidR="00A001E9" w:rsidRDefault="00A001E9" w:rsidP="00A5557B">
      <w:pPr>
        <w:ind w:right="146"/>
        <w:rPr>
          <w:b/>
          <w:color w:val="FF0000"/>
        </w:rPr>
      </w:pPr>
    </w:p>
    <w:p w14:paraId="3D4234C6" w14:textId="77777777" w:rsidR="00F35DD6" w:rsidRDefault="00F35DD6" w:rsidP="00A5557B">
      <w:pPr>
        <w:ind w:right="146"/>
        <w:jc w:val="both"/>
        <w:rPr>
          <w:b/>
          <w:color w:val="FF0000"/>
        </w:rPr>
      </w:pPr>
    </w:p>
    <w:p w14:paraId="2FEF6606" w14:textId="77777777" w:rsidR="0098373C" w:rsidRPr="0098373C" w:rsidRDefault="0098373C" w:rsidP="00A5557B">
      <w:pPr>
        <w:ind w:right="146"/>
        <w:jc w:val="both"/>
      </w:pPr>
    </w:p>
    <w:p w14:paraId="0E29C2B5" w14:textId="77777777" w:rsidR="0098373C" w:rsidRPr="0098373C" w:rsidRDefault="0098373C" w:rsidP="00A5557B">
      <w:pPr>
        <w:ind w:right="146"/>
        <w:jc w:val="both"/>
      </w:pPr>
    </w:p>
    <w:p w14:paraId="731F5B03" w14:textId="77777777" w:rsidR="0098373C" w:rsidRDefault="0098373C" w:rsidP="00A5557B">
      <w:pPr>
        <w:ind w:right="146"/>
        <w:jc w:val="both"/>
      </w:pPr>
    </w:p>
    <w:p w14:paraId="14F38A50" w14:textId="77777777" w:rsidR="00A001E9" w:rsidRPr="0098373C" w:rsidRDefault="00A001E9" w:rsidP="00A5557B">
      <w:pPr>
        <w:ind w:right="146"/>
        <w:jc w:val="both"/>
      </w:pPr>
    </w:p>
    <w:p w14:paraId="5E0DDB3A" w14:textId="77777777" w:rsidR="0098373C" w:rsidRPr="0098373C" w:rsidRDefault="0098373C" w:rsidP="00A5557B">
      <w:pPr>
        <w:ind w:right="146"/>
        <w:jc w:val="both"/>
      </w:pPr>
    </w:p>
    <w:p w14:paraId="54A03ACD" w14:textId="77777777" w:rsidR="0098373C" w:rsidRDefault="0098373C" w:rsidP="00A5557B">
      <w:pPr>
        <w:ind w:right="146"/>
        <w:jc w:val="both"/>
      </w:pPr>
    </w:p>
    <w:p w14:paraId="21FCB88B" w14:textId="77777777" w:rsidR="00BD735A" w:rsidRDefault="00BD735A" w:rsidP="00A5557B">
      <w:pPr>
        <w:ind w:right="146"/>
        <w:jc w:val="both"/>
      </w:pPr>
    </w:p>
    <w:p w14:paraId="77407FD0" w14:textId="77777777" w:rsidR="00A5557B" w:rsidRPr="00BF247E" w:rsidRDefault="00A5557B" w:rsidP="00BF247E">
      <w:pPr>
        <w:tabs>
          <w:tab w:val="left" w:pos="2040"/>
        </w:tabs>
        <w:ind w:right="146"/>
        <w:jc w:val="both"/>
      </w:pPr>
    </w:p>
    <w:p w14:paraId="00744E2B" w14:textId="77777777" w:rsidR="0098373C" w:rsidRPr="001B745A" w:rsidRDefault="00A5557B" w:rsidP="00A5557B">
      <w:pPr>
        <w:pStyle w:val="Default"/>
        <w:spacing w:line="360" w:lineRule="auto"/>
        <w:ind w:right="146"/>
        <w:jc w:val="center"/>
        <w:rPr>
          <w:rFonts w:ascii="Arial" w:hAnsi="Arial"/>
          <w:b/>
          <w:color w:val="4F81BD" w:themeColor="accent1"/>
          <w:sz w:val="28"/>
        </w:rPr>
      </w:pPr>
      <w:r>
        <w:rPr>
          <w:rFonts w:ascii="Arial" w:hAnsi="Arial"/>
          <w:b/>
          <w:color w:val="4F81BD" w:themeColor="accent1"/>
          <w:sz w:val="28"/>
        </w:rPr>
        <w:t>HER2</w:t>
      </w:r>
      <w:r w:rsidR="000B1E9B">
        <w:rPr>
          <w:rFonts w:ascii="Arial" w:hAnsi="Arial"/>
          <w:b/>
          <w:color w:val="4F81BD" w:themeColor="accent1"/>
          <w:sz w:val="28"/>
        </w:rPr>
        <w:t>neu</w:t>
      </w:r>
      <w:r w:rsidR="00A001E9">
        <w:rPr>
          <w:rFonts w:ascii="Arial" w:hAnsi="Arial"/>
          <w:b/>
          <w:color w:val="4F81BD" w:themeColor="accent1"/>
          <w:sz w:val="28"/>
        </w:rPr>
        <w:t xml:space="preserve"> Run 29</w:t>
      </w:r>
      <w:r w:rsidR="00B025FD">
        <w:rPr>
          <w:rFonts w:ascii="Arial" w:hAnsi="Arial"/>
          <w:b/>
          <w:color w:val="4F81BD" w:themeColor="accent1"/>
          <w:sz w:val="28"/>
        </w:rPr>
        <w:t xml:space="preserve"> R</w:t>
      </w:r>
      <w:r w:rsidR="0098373C" w:rsidRPr="001B745A">
        <w:rPr>
          <w:rFonts w:ascii="Arial" w:hAnsi="Arial"/>
          <w:b/>
          <w:color w:val="4F81BD" w:themeColor="accent1"/>
          <w:sz w:val="28"/>
        </w:rPr>
        <w:t>eport</w:t>
      </w:r>
    </w:p>
    <w:p w14:paraId="08E787FD" w14:textId="77777777" w:rsidR="00000244" w:rsidRPr="00B84ED5" w:rsidRDefault="0098373C" w:rsidP="00A5557B">
      <w:pPr>
        <w:spacing w:line="360" w:lineRule="auto"/>
        <w:ind w:right="146"/>
        <w:jc w:val="both"/>
        <w:rPr>
          <w:rFonts w:cs="Calibri"/>
          <w:sz w:val="24"/>
          <w:szCs w:val="24"/>
        </w:rPr>
      </w:pPr>
      <w:r w:rsidRPr="00000244">
        <w:rPr>
          <w:rFonts w:cs="Calibri"/>
          <w:sz w:val="24"/>
          <w:szCs w:val="24"/>
        </w:rPr>
        <w:t xml:space="preserve">We thank all the participants for completing </w:t>
      </w:r>
      <w:r w:rsidR="00311600" w:rsidRPr="00000244">
        <w:rPr>
          <w:rFonts w:cs="Calibri"/>
          <w:sz w:val="24"/>
          <w:szCs w:val="24"/>
        </w:rPr>
        <w:t>NCG EQAS Run 2</w:t>
      </w:r>
      <w:r w:rsidR="00A001E9">
        <w:rPr>
          <w:rFonts w:cs="Calibri"/>
          <w:sz w:val="24"/>
          <w:szCs w:val="24"/>
        </w:rPr>
        <w:t>9</w:t>
      </w:r>
      <w:r w:rsidRPr="00000244">
        <w:rPr>
          <w:rFonts w:cs="Calibri"/>
          <w:sz w:val="24"/>
          <w:szCs w:val="24"/>
        </w:rPr>
        <w:t xml:space="preserve">- Her2neu test. The unstained TMA sections for this run were sent to </w:t>
      </w:r>
      <w:r w:rsidR="00A001E9">
        <w:rPr>
          <w:rFonts w:cs="Calibri"/>
          <w:sz w:val="24"/>
          <w:szCs w:val="24"/>
        </w:rPr>
        <w:t>215</w:t>
      </w:r>
      <w:r w:rsidRPr="00000244">
        <w:rPr>
          <w:rFonts w:cs="Calibri"/>
          <w:sz w:val="24"/>
          <w:szCs w:val="24"/>
        </w:rPr>
        <w:t xml:space="preserve"> centers of which </w:t>
      </w:r>
      <w:r w:rsidR="00A001E9">
        <w:rPr>
          <w:rFonts w:cs="Calibri"/>
          <w:sz w:val="24"/>
          <w:szCs w:val="24"/>
        </w:rPr>
        <w:t>19</w:t>
      </w:r>
      <w:r w:rsidR="00635AE0">
        <w:rPr>
          <w:rFonts w:cs="Calibri"/>
          <w:sz w:val="24"/>
          <w:szCs w:val="24"/>
        </w:rPr>
        <w:t>9</w:t>
      </w:r>
      <w:r w:rsidRPr="00000244">
        <w:rPr>
          <w:rFonts w:cs="Calibri"/>
          <w:sz w:val="24"/>
          <w:szCs w:val="24"/>
        </w:rPr>
        <w:t xml:space="preserve">centers completed </w:t>
      </w:r>
      <w:r w:rsidR="00000244">
        <w:rPr>
          <w:rFonts w:cs="Calibri"/>
          <w:sz w:val="24"/>
          <w:szCs w:val="24"/>
        </w:rPr>
        <w:t xml:space="preserve">the </w:t>
      </w:r>
      <w:r w:rsidRPr="00000244">
        <w:rPr>
          <w:rFonts w:cs="Calibri"/>
          <w:sz w:val="24"/>
          <w:szCs w:val="24"/>
        </w:rPr>
        <w:t xml:space="preserve">testing </w:t>
      </w:r>
      <w:r w:rsidR="00000244">
        <w:rPr>
          <w:rFonts w:cs="Calibri"/>
          <w:sz w:val="24"/>
          <w:szCs w:val="24"/>
        </w:rPr>
        <w:t xml:space="preserve">procedure. </w:t>
      </w:r>
      <w:r w:rsidR="00284855" w:rsidRPr="00000244">
        <w:rPr>
          <w:sz w:val="24"/>
          <w:szCs w:val="24"/>
        </w:rPr>
        <w:t>For</w:t>
      </w:r>
      <w:r w:rsidR="00A8601B" w:rsidRPr="00000244">
        <w:rPr>
          <w:sz w:val="24"/>
          <w:szCs w:val="24"/>
        </w:rPr>
        <w:t xml:space="preserve"> each </w:t>
      </w:r>
      <w:r w:rsidR="00A5557B" w:rsidRPr="00000244">
        <w:rPr>
          <w:sz w:val="24"/>
          <w:szCs w:val="24"/>
        </w:rPr>
        <w:t>center,</w:t>
      </w:r>
      <w:r w:rsidR="003F43F7">
        <w:rPr>
          <w:sz w:val="24"/>
          <w:szCs w:val="24"/>
        </w:rPr>
        <w:t xml:space="preserve"> </w:t>
      </w:r>
      <w:r w:rsidR="00000244">
        <w:rPr>
          <w:sz w:val="24"/>
          <w:szCs w:val="24"/>
        </w:rPr>
        <w:t>the run report carrie</w:t>
      </w:r>
      <w:r w:rsidR="00DF4B36">
        <w:rPr>
          <w:sz w:val="24"/>
          <w:szCs w:val="24"/>
        </w:rPr>
        <w:t xml:space="preserve">d three values, </w:t>
      </w:r>
      <w:r w:rsidR="00EA19CC" w:rsidRPr="00B84ED5">
        <w:rPr>
          <w:sz w:val="24"/>
          <w:szCs w:val="24"/>
        </w:rPr>
        <w:t xml:space="preserve">a) </w:t>
      </w:r>
      <w:r w:rsidR="00EA19CC" w:rsidRPr="00B84ED5">
        <w:rPr>
          <w:b/>
          <w:i/>
          <w:sz w:val="24"/>
          <w:szCs w:val="24"/>
        </w:rPr>
        <w:t>Final Pass rates</w:t>
      </w:r>
      <w:r w:rsidR="00EA19CC" w:rsidRPr="00B84ED5">
        <w:rPr>
          <w:sz w:val="24"/>
          <w:szCs w:val="24"/>
        </w:rPr>
        <w:t xml:space="preserve"> for staining and result based on the stained slide submitted scored by pathologists on EQAS panel</w:t>
      </w:r>
      <w:r w:rsidR="00A5557B" w:rsidRPr="00B84ED5">
        <w:rPr>
          <w:sz w:val="24"/>
          <w:szCs w:val="24"/>
        </w:rPr>
        <w:t xml:space="preserve">, </w:t>
      </w:r>
      <w:r w:rsidR="00A5557B">
        <w:rPr>
          <w:rFonts w:cs="Calibri"/>
          <w:sz w:val="24"/>
          <w:szCs w:val="24"/>
        </w:rPr>
        <w:t>b</w:t>
      </w:r>
      <w:r w:rsidR="00EA19CC" w:rsidRPr="00B84ED5">
        <w:rPr>
          <w:sz w:val="24"/>
          <w:szCs w:val="24"/>
        </w:rPr>
        <w:t xml:space="preserve">) </w:t>
      </w:r>
      <w:r w:rsidR="00EA19CC" w:rsidRPr="00B84ED5">
        <w:rPr>
          <w:b/>
          <w:i/>
          <w:sz w:val="24"/>
          <w:szCs w:val="24"/>
        </w:rPr>
        <w:t>Pass rate for interpretation</w:t>
      </w:r>
      <w:r w:rsidR="00EA19CC" w:rsidRPr="00B84ED5">
        <w:rPr>
          <w:sz w:val="24"/>
          <w:szCs w:val="24"/>
        </w:rPr>
        <w:t xml:space="preserve"> whereby concordance </w:t>
      </w:r>
      <w:r w:rsidR="00284855">
        <w:rPr>
          <w:sz w:val="24"/>
          <w:szCs w:val="24"/>
        </w:rPr>
        <w:t>between</w:t>
      </w:r>
      <w:r w:rsidR="00EA19CC" w:rsidRPr="00B84ED5">
        <w:rPr>
          <w:sz w:val="24"/>
          <w:szCs w:val="24"/>
        </w:rPr>
        <w:t xml:space="preserve"> interpretation by expert panel </w:t>
      </w:r>
      <w:r w:rsidR="00284855">
        <w:rPr>
          <w:sz w:val="24"/>
          <w:szCs w:val="24"/>
        </w:rPr>
        <w:t xml:space="preserve">and </w:t>
      </w:r>
      <w:r w:rsidR="008676FA">
        <w:rPr>
          <w:sz w:val="24"/>
          <w:szCs w:val="24"/>
        </w:rPr>
        <w:t>pathologist &amp; c</w:t>
      </w:r>
      <w:r w:rsidR="00000244">
        <w:rPr>
          <w:sz w:val="24"/>
          <w:szCs w:val="24"/>
        </w:rPr>
        <w:t>)</w:t>
      </w:r>
      <w:r w:rsidR="00000244" w:rsidRPr="00A5557B">
        <w:rPr>
          <w:b/>
          <w:i/>
          <w:sz w:val="24"/>
          <w:szCs w:val="24"/>
        </w:rPr>
        <w:t xml:space="preserve"> Co</w:t>
      </w:r>
      <w:r w:rsidR="008676FA">
        <w:rPr>
          <w:b/>
          <w:i/>
          <w:sz w:val="24"/>
          <w:szCs w:val="24"/>
        </w:rPr>
        <w:t>ncordance for score 1+ staining.</w:t>
      </w:r>
    </w:p>
    <w:p w14:paraId="3558A983" w14:textId="77777777" w:rsidR="00EA19CC" w:rsidRPr="00DF4B36" w:rsidRDefault="00A8601B" w:rsidP="00A5557B">
      <w:pPr>
        <w:spacing w:line="360" w:lineRule="auto"/>
        <w:ind w:right="146"/>
        <w:jc w:val="both"/>
        <w:rPr>
          <w:sz w:val="24"/>
          <w:szCs w:val="24"/>
        </w:rPr>
      </w:pPr>
      <w:r w:rsidRPr="00DF4B36">
        <w:rPr>
          <w:sz w:val="24"/>
          <w:szCs w:val="24"/>
        </w:rPr>
        <w:t>The m</w:t>
      </w:r>
      <w:r w:rsidR="00EA19CC" w:rsidRPr="00DF4B36">
        <w:rPr>
          <w:sz w:val="24"/>
          <w:szCs w:val="24"/>
        </w:rPr>
        <w:t>ed</w:t>
      </w:r>
      <w:r w:rsidRPr="00DF4B36">
        <w:rPr>
          <w:sz w:val="24"/>
          <w:szCs w:val="24"/>
        </w:rPr>
        <w:t>ian p</w:t>
      </w:r>
      <w:r w:rsidR="002F186A" w:rsidRPr="00DF4B36">
        <w:rPr>
          <w:sz w:val="24"/>
          <w:szCs w:val="24"/>
        </w:rPr>
        <w:t xml:space="preserve">ass rate </w:t>
      </w:r>
      <w:r w:rsidRPr="00DF4B36">
        <w:rPr>
          <w:sz w:val="24"/>
          <w:szCs w:val="24"/>
        </w:rPr>
        <w:t xml:space="preserve">of centers for this run was </w:t>
      </w:r>
      <w:r w:rsidR="00A5557B" w:rsidRPr="00DF4B36">
        <w:rPr>
          <w:sz w:val="24"/>
          <w:szCs w:val="24"/>
        </w:rPr>
        <w:t>100</w:t>
      </w:r>
      <w:r w:rsidR="00EA19CC" w:rsidRPr="00DF4B36">
        <w:rPr>
          <w:sz w:val="24"/>
          <w:szCs w:val="24"/>
        </w:rPr>
        <w:t xml:space="preserve">% </w:t>
      </w:r>
      <w:r w:rsidR="006128C2" w:rsidRPr="00DF4B36">
        <w:rPr>
          <w:sz w:val="24"/>
          <w:szCs w:val="24"/>
        </w:rPr>
        <w:t xml:space="preserve">and </w:t>
      </w:r>
      <w:r w:rsidR="00635AE0" w:rsidRPr="00DF4B36">
        <w:rPr>
          <w:sz w:val="24"/>
          <w:szCs w:val="24"/>
        </w:rPr>
        <w:t>mean was 92.6</w:t>
      </w:r>
      <w:r w:rsidR="00A5557B" w:rsidRPr="00DF4B36">
        <w:rPr>
          <w:sz w:val="24"/>
          <w:szCs w:val="24"/>
        </w:rPr>
        <w:t xml:space="preserve">% hence grading of test result for this run is as follows </w:t>
      </w:r>
    </w:p>
    <w:tbl>
      <w:tblPr>
        <w:tblStyle w:val="ListTable3-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392"/>
      </w:tblGrid>
      <w:tr w:rsidR="00A5557B" w:rsidRPr="00DF4B36" w14:paraId="62C00ECA" w14:textId="77777777" w:rsidTr="00A555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Borders>
              <w:bottom w:val="none" w:sz="0" w:space="0" w:color="auto"/>
              <w:right w:val="none" w:sz="0" w:space="0" w:color="auto"/>
            </w:tcBorders>
          </w:tcPr>
          <w:p w14:paraId="256BD933" w14:textId="77777777" w:rsidR="00A5557B" w:rsidRPr="00DF4B36" w:rsidRDefault="00A5557B" w:rsidP="00DF4B36">
            <w:pPr>
              <w:pStyle w:val="NoSpacing"/>
            </w:pPr>
            <w:r w:rsidRPr="00DF4B36">
              <w:t xml:space="preserve">Grade </w:t>
            </w:r>
          </w:p>
        </w:tc>
        <w:tc>
          <w:tcPr>
            <w:tcW w:w="4392" w:type="dxa"/>
          </w:tcPr>
          <w:p w14:paraId="35784A1D" w14:textId="77777777" w:rsidR="00A5557B" w:rsidRPr="00DF4B36" w:rsidRDefault="00A5557B" w:rsidP="00DF4B36">
            <w:pPr>
              <w:pStyle w:val="NoSpacing"/>
              <w:cnfStyle w:val="100000000000" w:firstRow="1" w:lastRow="0" w:firstColumn="0" w:lastColumn="0" w:oddVBand="0" w:evenVBand="0" w:oddHBand="0" w:evenHBand="0" w:firstRowFirstColumn="0" w:firstRowLastColumn="0" w:lastRowFirstColumn="0" w:lastRowLastColumn="0"/>
            </w:pPr>
            <w:r w:rsidRPr="00DF4B36">
              <w:t xml:space="preserve">Pass rate percentage </w:t>
            </w:r>
          </w:p>
        </w:tc>
      </w:tr>
      <w:tr w:rsidR="00A5557B" w:rsidRPr="00DF4B36" w14:paraId="20667F64" w14:textId="77777777" w:rsidTr="00A5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bottom w:val="none" w:sz="0" w:space="0" w:color="auto"/>
              <w:right w:val="none" w:sz="0" w:space="0" w:color="auto"/>
            </w:tcBorders>
          </w:tcPr>
          <w:p w14:paraId="7D045237" w14:textId="77777777" w:rsidR="00A5557B" w:rsidRPr="00DF4B36" w:rsidRDefault="00A5557B" w:rsidP="00DF4B36">
            <w:pPr>
              <w:pStyle w:val="NoSpacing"/>
            </w:pPr>
            <w:r w:rsidRPr="00DF4B36">
              <w:t xml:space="preserve">Excellent </w:t>
            </w:r>
          </w:p>
        </w:tc>
        <w:tc>
          <w:tcPr>
            <w:tcW w:w="4392" w:type="dxa"/>
            <w:tcBorders>
              <w:top w:val="none" w:sz="0" w:space="0" w:color="auto"/>
              <w:bottom w:val="none" w:sz="0" w:space="0" w:color="auto"/>
            </w:tcBorders>
          </w:tcPr>
          <w:p w14:paraId="29D30B55" w14:textId="77777777" w:rsidR="00A5557B" w:rsidRPr="00DF4B36" w:rsidRDefault="00A5557B" w:rsidP="00DF4B36">
            <w:pPr>
              <w:pStyle w:val="NoSpacing"/>
              <w:cnfStyle w:val="000000100000" w:firstRow="0" w:lastRow="0" w:firstColumn="0" w:lastColumn="0" w:oddVBand="0" w:evenVBand="0" w:oddHBand="1" w:evenHBand="0" w:firstRowFirstColumn="0" w:firstRowLastColumn="0" w:lastRowFirstColumn="0" w:lastRowLastColumn="0"/>
            </w:pPr>
            <w:r w:rsidRPr="00DF4B36">
              <w:t>100%</w:t>
            </w:r>
          </w:p>
        </w:tc>
      </w:tr>
      <w:tr w:rsidR="00A5557B" w:rsidRPr="00DF4B36" w14:paraId="4CF88BC5" w14:textId="77777777" w:rsidTr="00A5557B">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14:paraId="1731EC0F" w14:textId="77777777" w:rsidR="00A5557B" w:rsidRPr="00DF4B36" w:rsidRDefault="00A5557B" w:rsidP="00DF4B36">
            <w:pPr>
              <w:pStyle w:val="NoSpacing"/>
            </w:pPr>
            <w:r w:rsidRPr="00DF4B36">
              <w:t>Good</w:t>
            </w:r>
          </w:p>
        </w:tc>
        <w:tc>
          <w:tcPr>
            <w:tcW w:w="4392" w:type="dxa"/>
          </w:tcPr>
          <w:p w14:paraId="7139AEEC" w14:textId="77777777" w:rsidR="00A5557B" w:rsidRPr="00DF4B36" w:rsidRDefault="00C73A7E" w:rsidP="00DF4B36">
            <w:pPr>
              <w:pStyle w:val="NoSpacing"/>
              <w:cnfStyle w:val="000000000000" w:firstRow="0" w:lastRow="0" w:firstColumn="0" w:lastColumn="0" w:oddVBand="0" w:evenVBand="0" w:oddHBand="0" w:evenHBand="0" w:firstRowFirstColumn="0" w:firstRowLastColumn="0" w:lastRowFirstColumn="0" w:lastRowLastColumn="0"/>
            </w:pPr>
            <w:r w:rsidRPr="00DF4B36">
              <w:t>70 to 90</w:t>
            </w:r>
            <w:r w:rsidR="00A5557B" w:rsidRPr="00DF4B36">
              <w:t>%</w:t>
            </w:r>
          </w:p>
        </w:tc>
      </w:tr>
      <w:tr w:rsidR="00A5557B" w14:paraId="2E7A4D1E" w14:textId="77777777" w:rsidTr="00A5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bottom w:val="none" w:sz="0" w:space="0" w:color="auto"/>
              <w:right w:val="none" w:sz="0" w:space="0" w:color="auto"/>
            </w:tcBorders>
          </w:tcPr>
          <w:p w14:paraId="7616DE1A" w14:textId="77777777" w:rsidR="00A5557B" w:rsidRPr="00DF4B36" w:rsidRDefault="00A5557B" w:rsidP="00DF4B36">
            <w:pPr>
              <w:pStyle w:val="NoSpacing"/>
            </w:pPr>
            <w:r w:rsidRPr="00DF4B36">
              <w:t xml:space="preserve">Average </w:t>
            </w:r>
          </w:p>
        </w:tc>
        <w:tc>
          <w:tcPr>
            <w:tcW w:w="4392" w:type="dxa"/>
            <w:tcBorders>
              <w:top w:val="none" w:sz="0" w:space="0" w:color="auto"/>
              <w:bottom w:val="none" w:sz="0" w:space="0" w:color="auto"/>
            </w:tcBorders>
          </w:tcPr>
          <w:p w14:paraId="66538DF8" w14:textId="77777777" w:rsidR="00A5557B" w:rsidRDefault="00C73A7E" w:rsidP="00DF4B36">
            <w:pPr>
              <w:pStyle w:val="NoSpacing"/>
              <w:cnfStyle w:val="000000100000" w:firstRow="0" w:lastRow="0" w:firstColumn="0" w:lastColumn="0" w:oddVBand="0" w:evenVBand="0" w:oddHBand="1" w:evenHBand="0" w:firstRowFirstColumn="0" w:firstRowLastColumn="0" w:lastRowFirstColumn="0" w:lastRowLastColumn="0"/>
            </w:pPr>
            <w:r w:rsidRPr="00DF4B36">
              <w:t>&lt; 6</w:t>
            </w:r>
            <w:r w:rsidR="00A5557B" w:rsidRPr="00DF4B36">
              <w:t>0%</w:t>
            </w:r>
          </w:p>
        </w:tc>
      </w:tr>
    </w:tbl>
    <w:p w14:paraId="24ED5290" w14:textId="77777777" w:rsidR="00A5557B" w:rsidRPr="00A8601B" w:rsidRDefault="00A5557B" w:rsidP="00DF4B36">
      <w:pPr>
        <w:pStyle w:val="NoSpacing"/>
        <w:rPr>
          <w:color w:val="FF0000"/>
        </w:rPr>
      </w:pPr>
    </w:p>
    <w:p w14:paraId="3F852FE9" w14:textId="77777777" w:rsidR="0040735F" w:rsidRPr="00303CAF" w:rsidRDefault="00EA19CC" w:rsidP="00303CAF">
      <w:pPr>
        <w:spacing w:line="360" w:lineRule="auto"/>
        <w:ind w:right="146"/>
        <w:jc w:val="both"/>
        <w:rPr>
          <w:color w:val="FF0000"/>
          <w:sz w:val="24"/>
          <w:szCs w:val="24"/>
        </w:rPr>
      </w:pPr>
      <w:r w:rsidRPr="001649D8">
        <w:rPr>
          <w:rFonts w:cs="Arial"/>
          <w:sz w:val="24"/>
          <w:szCs w:val="24"/>
        </w:rPr>
        <w:t xml:space="preserve">A graph depicting both the test pass rate and Interpretation pass rate for each center is </w:t>
      </w:r>
      <w:r w:rsidR="00A5557B" w:rsidRPr="001649D8">
        <w:rPr>
          <w:rFonts w:cs="Arial"/>
          <w:sz w:val="24"/>
          <w:szCs w:val="24"/>
        </w:rPr>
        <w:t>shown</w:t>
      </w:r>
      <w:r w:rsidRPr="001649D8">
        <w:rPr>
          <w:rFonts w:cs="Arial"/>
          <w:sz w:val="24"/>
          <w:szCs w:val="24"/>
        </w:rPr>
        <w:t xml:space="preserve"> in Fig </w:t>
      </w:r>
      <w:r w:rsidR="008676FA" w:rsidRPr="001649D8">
        <w:rPr>
          <w:rFonts w:cs="Arial"/>
          <w:sz w:val="24"/>
          <w:szCs w:val="24"/>
        </w:rPr>
        <w:t>1.</w:t>
      </w:r>
      <w:r w:rsidR="008676FA" w:rsidRPr="001649D8">
        <w:rPr>
          <w:sz w:val="24"/>
          <w:szCs w:val="24"/>
        </w:rPr>
        <w:t xml:space="preserve"> Of</w:t>
      </w:r>
      <w:r w:rsidR="00504B22" w:rsidRPr="001649D8">
        <w:rPr>
          <w:sz w:val="24"/>
          <w:szCs w:val="24"/>
        </w:rPr>
        <w:t xml:space="preserve"> the 19</w:t>
      </w:r>
      <w:r w:rsidR="008A4F5C" w:rsidRPr="001649D8">
        <w:rPr>
          <w:sz w:val="24"/>
          <w:szCs w:val="24"/>
        </w:rPr>
        <w:t>9</w:t>
      </w:r>
      <w:r w:rsidR="00B53E53" w:rsidRPr="001649D8">
        <w:rPr>
          <w:sz w:val="24"/>
          <w:szCs w:val="24"/>
        </w:rPr>
        <w:t xml:space="preserve"> la</w:t>
      </w:r>
      <w:r w:rsidR="006128C2" w:rsidRPr="001649D8">
        <w:rPr>
          <w:sz w:val="24"/>
          <w:szCs w:val="24"/>
        </w:rPr>
        <w:t>b</w:t>
      </w:r>
      <w:r w:rsidR="00504B22" w:rsidRPr="001649D8">
        <w:rPr>
          <w:sz w:val="24"/>
          <w:szCs w:val="24"/>
        </w:rPr>
        <w:t>oratories that participated, 74</w:t>
      </w:r>
      <w:r w:rsidR="006128C2" w:rsidRPr="001649D8">
        <w:rPr>
          <w:sz w:val="24"/>
          <w:szCs w:val="24"/>
        </w:rPr>
        <w:t xml:space="preserve"> (</w:t>
      </w:r>
      <w:r w:rsidR="00504B22" w:rsidRPr="001649D8">
        <w:rPr>
          <w:sz w:val="24"/>
          <w:szCs w:val="24"/>
        </w:rPr>
        <w:t>37.4</w:t>
      </w:r>
      <w:r w:rsidR="00B53E53" w:rsidRPr="001649D8">
        <w:rPr>
          <w:sz w:val="24"/>
          <w:szCs w:val="24"/>
        </w:rPr>
        <w:t xml:space="preserve">%) laboratories had a 100% </w:t>
      </w:r>
      <w:r w:rsidR="00170782" w:rsidRPr="001649D8">
        <w:rPr>
          <w:sz w:val="24"/>
          <w:szCs w:val="24"/>
        </w:rPr>
        <w:t>pass rate</w:t>
      </w:r>
      <w:r w:rsidR="00504B22" w:rsidRPr="001649D8">
        <w:rPr>
          <w:sz w:val="24"/>
          <w:szCs w:val="24"/>
        </w:rPr>
        <w:t>, 10</w:t>
      </w:r>
      <w:r w:rsidR="008A4F5C" w:rsidRPr="001649D8">
        <w:rPr>
          <w:sz w:val="24"/>
          <w:szCs w:val="24"/>
        </w:rPr>
        <w:t>7</w:t>
      </w:r>
      <w:r w:rsidR="00CA45C9">
        <w:rPr>
          <w:sz w:val="24"/>
          <w:szCs w:val="24"/>
        </w:rPr>
        <w:t xml:space="preserve"> </w:t>
      </w:r>
      <w:r w:rsidR="00504B22" w:rsidRPr="001649D8">
        <w:rPr>
          <w:sz w:val="24"/>
          <w:szCs w:val="24"/>
        </w:rPr>
        <w:t>(53.</w:t>
      </w:r>
      <w:r w:rsidR="008A4F5C" w:rsidRPr="001649D8">
        <w:rPr>
          <w:sz w:val="24"/>
          <w:szCs w:val="24"/>
        </w:rPr>
        <w:t>8%) centers had 70</w:t>
      </w:r>
      <w:r w:rsidR="006128C2" w:rsidRPr="001649D8">
        <w:rPr>
          <w:sz w:val="24"/>
          <w:szCs w:val="24"/>
        </w:rPr>
        <w:t xml:space="preserve"> to 90% and </w:t>
      </w:r>
      <w:r w:rsidR="00504B22" w:rsidRPr="001649D8">
        <w:rPr>
          <w:sz w:val="24"/>
          <w:szCs w:val="24"/>
        </w:rPr>
        <w:t>18 (9.1</w:t>
      </w:r>
      <w:r w:rsidR="00B53E53" w:rsidRPr="001649D8">
        <w:rPr>
          <w:sz w:val="24"/>
          <w:szCs w:val="24"/>
        </w:rPr>
        <w:t xml:space="preserve">%) centers had </w:t>
      </w:r>
      <w:r w:rsidR="00B53E53" w:rsidRPr="001649D8">
        <w:rPr>
          <w:rFonts w:cstheme="minorHAnsi"/>
          <w:sz w:val="24"/>
          <w:szCs w:val="24"/>
        </w:rPr>
        <w:t>≤</w:t>
      </w:r>
      <w:r w:rsidR="00C73A7E" w:rsidRPr="001649D8">
        <w:rPr>
          <w:sz w:val="24"/>
          <w:szCs w:val="24"/>
        </w:rPr>
        <w:t>6</w:t>
      </w:r>
      <w:r w:rsidR="00170782" w:rsidRPr="001649D8">
        <w:rPr>
          <w:sz w:val="24"/>
          <w:szCs w:val="24"/>
        </w:rPr>
        <w:t>0% pass rate</w:t>
      </w:r>
      <w:r w:rsidR="00B53E53" w:rsidRPr="001649D8">
        <w:rPr>
          <w:sz w:val="24"/>
          <w:szCs w:val="24"/>
        </w:rPr>
        <w:t>.</w:t>
      </w:r>
      <w:r w:rsidR="003F43F7">
        <w:rPr>
          <w:sz w:val="24"/>
          <w:szCs w:val="24"/>
        </w:rPr>
        <w:t xml:space="preserve"> </w:t>
      </w:r>
      <w:r w:rsidR="00B53E53" w:rsidRPr="001649D8">
        <w:rPr>
          <w:rFonts w:cs="Arial"/>
          <w:sz w:val="24"/>
          <w:szCs w:val="24"/>
        </w:rPr>
        <w:t xml:space="preserve">For the </w:t>
      </w:r>
      <w:r w:rsidR="00A8601B" w:rsidRPr="001649D8">
        <w:rPr>
          <w:rFonts w:cs="Arial"/>
          <w:sz w:val="24"/>
          <w:szCs w:val="24"/>
        </w:rPr>
        <w:t>interpretation</w:t>
      </w:r>
      <w:r w:rsidR="00C73A7E" w:rsidRPr="001649D8">
        <w:rPr>
          <w:rFonts w:cs="Arial"/>
          <w:sz w:val="24"/>
          <w:szCs w:val="24"/>
        </w:rPr>
        <w:t>, 10</w:t>
      </w:r>
      <w:r w:rsidR="008A4F5C" w:rsidRPr="001649D8">
        <w:rPr>
          <w:rFonts w:cs="Arial"/>
          <w:sz w:val="24"/>
          <w:szCs w:val="24"/>
        </w:rPr>
        <w:t>5</w:t>
      </w:r>
      <w:r w:rsidR="00CA45C9">
        <w:rPr>
          <w:rFonts w:cs="Arial"/>
          <w:sz w:val="24"/>
          <w:szCs w:val="24"/>
        </w:rPr>
        <w:t xml:space="preserve"> </w:t>
      </w:r>
      <w:r w:rsidR="00A5557B" w:rsidRPr="001649D8">
        <w:rPr>
          <w:rFonts w:cs="Arial"/>
          <w:sz w:val="24"/>
          <w:szCs w:val="24"/>
        </w:rPr>
        <w:t>centers</w:t>
      </w:r>
      <w:r w:rsidR="006128C2" w:rsidRPr="001649D8">
        <w:rPr>
          <w:rFonts w:cs="Arial"/>
          <w:sz w:val="24"/>
          <w:szCs w:val="24"/>
        </w:rPr>
        <w:t xml:space="preserve"> (</w:t>
      </w:r>
      <w:r w:rsidR="00C73A7E" w:rsidRPr="001649D8">
        <w:rPr>
          <w:rFonts w:cs="Arial"/>
          <w:sz w:val="24"/>
          <w:szCs w:val="24"/>
        </w:rPr>
        <w:t>52.</w:t>
      </w:r>
      <w:r w:rsidR="008A4F5C" w:rsidRPr="001649D8">
        <w:rPr>
          <w:rFonts w:cs="Arial"/>
          <w:sz w:val="24"/>
          <w:szCs w:val="24"/>
        </w:rPr>
        <w:t>8</w:t>
      </w:r>
      <w:r w:rsidR="00442E6E" w:rsidRPr="001649D8">
        <w:rPr>
          <w:rFonts w:cs="Arial"/>
          <w:sz w:val="24"/>
          <w:szCs w:val="24"/>
        </w:rPr>
        <w:t>%)</w:t>
      </w:r>
      <w:r w:rsidR="00C13222" w:rsidRPr="001649D8">
        <w:rPr>
          <w:rFonts w:cs="Arial"/>
          <w:sz w:val="24"/>
          <w:szCs w:val="24"/>
        </w:rPr>
        <w:t xml:space="preserve"> had a 100% concordance </w:t>
      </w:r>
      <w:r w:rsidR="004930D4" w:rsidRPr="001649D8">
        <w:rPr>
          <w:rFonts w:cs="Arial"/>
          <w:sz w:val="24"/>
          <w:szCs w:val="24"/>
        </w:rPr>
        <w:t>with ideal score</w:t>
      </w:r>
      <w:r w:rsidR="00170782" w:rsidRPr="001649D8">
        <w:rPr>
          <w:rFonts w:cs="Arial"/>
          <w:sz w:val="24"/>
          <w:szCs w:val="24"/>
        </w:rPr>
        <w:t xml:space="preserve">, </w:t>
      </w:r>
      <w:r w:rsidR="00C73A7E" w:rsidRPr="001649D8">
        <w:rPr>
          <w:rFonts w:cs="Arial"/>
          <w:sz w:val="24"/>
          <w:szCs w:val="24"/>
        </w:rPr>
        <w:t>92</w:t>
      </w:r>
      <w:r w:rsidR="00442E6E" w:rsidRPr="001649D8">
        <w:rPr>
          <w:rFonts w:cs="Arial"/>
          <w:sz w:val="24"/>
          <w:szCs w:val="24"/>
        </w:rPr>
        <w:t xml:space="preserve"> centers</w:t>
      </w:r>
      <w:r w:rsidR="006128C2" w:rsidRPr="001649D8">
        <w:rPr>
          <w:rFonts w:cs="Arial"/>
          <w:sz w:val="24"/>
          <w:szCs w:val="24"/>
        </w:rPr>
        <w:t xml:space="preserve"> (</w:t>
      </w:r>
      <w:r w:rsidR="00C73A7E" w:rsidRPr="001649D8">
        <w:rPr>
          <w:rFonts w:cs="Arial"/>
          <w:sz w:val="24"/>
          <w:szCs w:val="24"/>
        </w:rPr>
        <w:t>46.5</w:t>
      </w:r>
      <w:r w:rsidR="00012E60" w:rsidRPr="001649D8">
        <w:rPr>
          <w:rFonts w:cs="Arial"/>
          <w:sz w:val="24"/>
          <w:szCs w:val="24"/>
        </w:rPr>
        <w:t xml:space="preserve">%) </w:t>
      </w:r>
      <w:r w:rsidR="00A8601B" w:rsidRPr="001649D8">
        <w:rPr>
          <w:rFonts w:cs="Arial"/>
          <w:sz w:val="24"/>
          <w:szCs w:val="24"/>
        </w:rPr>
        <w:t xml:space="preserve">had </w:t>
      </w:r>
      <w:r w:rsidR="00170782" w:rsidRPr="001649D8">
        <w:rPr>
          <w:rFonts w:cs="Arial"/>
          <w:sz w:val="24"/>
          <w:szCs w:val="24"/>
        </w:rPr>
        <w:t xml:space="preserve">concordance rates between </w:t>
      </w:r>
      <w:r w:rsidR="00A8601B" w:rsidRPr="001649D8">
        <w:rPr>
          <w:rFonts w:cs="Arial"/>
          <w:sz w:val="24"/>
          <w:szCs w:val="24"/>
        </w:rPr>
        <w:t>80 to 90</w:t>
      </w:r>
      <w:r w:rsidR="00442E6E" w:rsidRPr="001649D8">
        <w:rPr>
          <w:rFonts w:cs="Arial"/>
          <w:sz w:val="24"/>
          <w:szCs w:val="24"/>
        </w:rPr>
        <w:t xml:space="preserve">% </w:t>
      </w:r>
      <w:r w:rsidR="00A8601B" w:rsidRPr="001649D8">
        <w:rPr>
          <w:rFonts w:cs="Arial"/>
          <w:sz w:val="24"/>
          <w:szCs w:val="24"/>
        </w:rPr>
        <w:t xml:space="preserve">concordance rate </w:t>
      </w:r>
      <w:r w:rsidR="00170782" w:rsidRPr="001649D8">
        <w:rPr>
          <w:rFonts w:cs="Arial"/>
          <w:sz w:val="24"/>
          <w:szCs w:val="24"/>
        </w:rPr>
        <w:t>while only</w:t>
      </w:r>
      <w:r w:rsidR="00CA45C9">
        <w:rPr>
          <w:rFonts w:cs="Arial"/>
          <w:sz w:val="24"/>
          <w:szCs w:val="24"/>
        </w:rPr>
        <w:t xml:space="preserve"> </w:t>
      </w:r>
      <w:r w:rsidR="00C73A7E" w:rsidRPr="001649D8">
        <w:rPr>
          <w:rFonts w:cs="Arial"/>
          <w:sz w:val="24"/>
          <w:szCs w:val="24"/>
        </w:rPr>
        <w:t>2</w:t>
      </w:r>
      <w:r w:rsidR="006128C2" w:rsidRPr="001649D8">
        <w:rPr>
          <w:rFonts w:cs="Arial"/>
          <w:sz w:val="24"/>
          <w:szCs w:val="24"/>
        </w:rPr>
        <w:t xml:space="preserve"> (</w:t>
      </w:r>
      <w:r w:rsidR="00C73A7E" w:rsidRPr="001649D8">
        <w:rPr>
          <w:rFonts w:cs="Arial"/>
          <w:sz w:val="24"/>
          <w:szCs w:val="24"/>
        </w:rPr>
        <w:t>1.0</w:t>
      </w:r>
      <w:r w:rsidR="00012E60" w:rsidRPr="001649D8">
        <w:rPr>
          <w:rFonts w:cs="Arial"/>
          <w:sz w:val="24"/>
          <w:szCs w:val="24"/>
        </w:rPr>
        <w:t xml:space="preserve">%) centers had </w:t>
      </w:r>
      <w:r w:rsidR="00170782" w:rsidRPr="001649D8">
        <w:rPr>
          <w:rFonts w:cs="Arial"/>
          <w:sz w:val="24"/>
          <w:szCs w:val="24"/>
        </w:rPr>
        <w:t>&lt;80%</w:t>
      </w:r>
      <w:r w:rsidR="00CA45C9">
        <w:rPr>
          <w:rFonts w:cs="Arial"/>
          <w:sz w:val="24"/>
          <w:szCs w:val="24"/>
        </w:rPr>
        <w:t xml:space="preserve"> </w:t>
      </w:r>
      <w:r w:rsidR="00442E6E" w:rsidRPr="001649D8">
        <w:rPr>
          <w:rFonts w:cs="Arial"/>
          <w:sz w:val="24"/>
          <w:szCs w:val="24"/>
        </w:rPr>
        <w:t>interpretation concordance rate.</w:t>
      </w:r>
      <w:r w:rsidR="003F43F7">
        <w:rPr>
          <w:rFonts w:cs="Arial"/>
          <w:sz w:val="24"/>
          <w:szCs w:val="24"/>
        </w:rPr>
        <w:t xml:space="preserve"> </w:t>
      </w:r>
      <w:r w:rsidR="00012E60" w:rsidRPr="00752633">
        <w:rPr>
          <w:rFonts w:cs="Arial"/>
          <w:sz w:val="24"/>
          <w:szCs w:val="24"/>
        </w:rPr>
        <w:t xml:space="preserve">Interpretation of immunohistochemistry largely depends upon </w:t>
      </w:r>
      <w:r w:rsidR="001649D8" w:rsidRPr="00752633">
        <w:rPr>
          <w:rFonts w:cs="Arial"/>
          <w:sz w:val="24"/>
          <w:szCs w:val="24"/>
        </w:rPr>
        <w:t xml:space="preserve">understanding the </w:t>
      </w:r>
      <w:r w:rsidR="00012E60" w:rsidRPr="00752633">
        <w:rPr>
          <w:rFonts w:cs="Arial"/>
          <w:sz w:val="24"/>
          <w:szCs w:val="24"/>
        </w:rPr>
        <w:t xml:space="preserve">inherent staining for a given antibody in a given laboratory, as staining pattern varies across institutes. </w:t>
      </w:r>
      <w:r w:rsidR="001649D8" w:rsidRPr="00752633">
        <w:rPr>
          <w:rFonts w:cs="Arial"/>
          <w:sz w:val="24"/>
          <w:szCs w:val="24"/>
        </w:rPr>
        <w:t xml:space="preserve">At the EQAS we use controls submitted as benchmarks to report final </w:t>
      </w:r>
      <w:r w:rsidR="008676FA" w:rsidRPr="00752633">
        <w:rPr>
          <w:rFonts w:cs="Arial"/>
          <w:sz w:val="24"/>
          <w:szCs w:val="24"/>
        </w:rPr>
        <w:t>scores</w:t>
      </w:r>
      <w:r w:rsidR="008676FA">
        <w:rPr>
          <w:rFonts w:cs="Arial"/>
          <w:sz w:val="24"/>
          <w:szCs w:val="24"/>
        </w:rPr>
        <w:t xml:space="preserve"> (See fig 4).</w:t>
      </w:r>
      <w:r w:rsidR="00CA45C9">
        <w:rPr>
          <w:rFonts w:cs="Arial"/>
          <w:sz w:val="24"/>
          <w:szCs w:val="24"/>
        </w:rPr>
        <w:t xml:space="preserve"> </w:t>
      </w:r>
      <w:r w:rsidRPr="00752633">
        <w:rPr>
          <w:rFonts w:cs="Arial"/>
          <w:sz w:val="24"/>
          <w:szCs w:val="24"/>
        </w:rPr>
        <w:t>Centers are encouraged to provide a composite control which includes Score 3+, Score 2+</w:t>
      </w:r>
      <w:r w:rsidR="00526A5A" w:rsidRPr="00752633">
        <w:rPr>
          <w:rFonts w:cs="Arial"/>
          <w:sz w:val="24"/>
          <w:szCs w:val="24"/>
        </w:rPr>
        <w:t>, Score 1+</w:t>
      </w:r>
      <w:r w:rsidRPr="00752633">
        <w:rPr>
          <w:rFonts w:cs="Arial"/>
          <w:sz w:val="24"/>
          <w:szCs w:val="24"/>
        </w:rPr>
        <w:t xml:space="preserve"> and a negative control as this helps the EQA experts und</w:t>
      </w:r>
      <w:r w:rsidR="00F926D7" w:rsidRPr="00752633">
        <w:rPr>
          <w:rFonts w:cs="Arial"/>
          <w:sz w:val="24"/>
          <w:szCs w:val="24"/>
        </w:rPr>
        <w:t xml:space="preserve">erstand the inherent </w:t>
      </w:r>
      <w:r w:rsidRPr="00752633">
        <w:rPr>
          <w:rFonts w:cs="Arial"/>
          <w:sz w:val="24"/>
          <w:szCs w:val="24"/>
        </w:rPr>
        <w:t xml:space="preserve">staining </w:t>
      </w:r>
      <w:r w:rsidR="00F926D7" w:rsidRPr="00752633">
        <w:rPr>
          <w:rFonts w:cs="Arial"/>
          <w:sz w:val="24"/>
          <w:szCs w:val="24"/>
        </w:rPr>
        <w:t xml:space="preserve">pattern </w:t>
      </w:r>
      <w:r w:rsidRPr="00752633">
        <w:rPr>
          <w:rFonts w:cs="Arial"/>
          <w:sz w:val="24"/>
          <w:szCs w:val="24"/>
        </w:rPr>
        <w:t>in a given laboratory.</w:t>
      </w:r>
      <w:r w:rsidR="003F43F7">
        <w:rPr>
          <w:rFonts w:cs="Arial"/>
          <w:sz w:val="24"/>
          <w:szCs w:val="24"/>
        </w:rPr>
        <w:t xml:space="preserve"> </w:t>
      </w:r>
      <w:r w:rsidR="00B25782" w:rsidRPr="00752633">
        <w:rPr>
          <w:rFonts w:cs="Arial"/>
          <w:sz w:val="24"/>
          <w:szCs w:val="24"/>
        </w:rPr>
        <w:t>Of the 199 centers 34</w:t>
      </w:r>
      <w:r w:rsidR="00CA45C9">
        <w:rPr>
          <w:rFonts w:cs="Arial"/>
          <w:sz w:val="24"/>
          <w:szCs w:val="24"/>
        </w:rPr>
        <w:t xml:space="preserve"> </w:t>
      </w:r>
      <w:r w:rsidR="00B25782" w:rsidRPr="00752633">
        <w:rPr>
          <w:rFonts w:cs="Arial"/>
          <w:sz w:val="24"/>
          <w:szCs w:val="24"/>
        </w:rPr>
        <w:t>(</w:t>
      </w:r>
      <w:r w:rsidR="00C019F9" w:rsidRPr="00752633">
        <w:rPr>
          <w:rFonts w:cs="Arial"/>
          <w:sz w:val="24"/>
          <w:szCs w:val="24"/>
        </w:rPr>
        <w:t>17.1</w:t>
      </w:r>
      <w:r w:rsidR="00C65807" w:rsidRPr="00752633">
        <w:rPr>
          <w:rFonts w:cs="Arial"/>
          <w:sz w:val="24"/>
          <w:szCs w:val="24"/>
        </w:rPr>
        <w:t>%) prov</w:t>
      </w:r>
      <w:r w:rsidR="00C019F9" w:rsidRPr="00752633">
        <w:rPr>
          <w:rFonts w:cs="Arial"/>
          <w:sz w:val="24"/>
          <w:szCs w:val="24"/>
        </w:rPr>
        <w:t>ided composite contr</w:t>
      </w:r>
      <w:r w:rsidR="001649D8" w:rsidRPr="00752633">
        <w:rPr>
          <w:rFonts w:cs="Arial"/>
          <w:sz w:val="24"/>
          <w:szCs w:val="24"/>
        </w:rPr>
        <w:t xml:space="preserve">ols, </w:t>
      </w:r>
      <w:r w:rsidR="00C019F9" w:rsidRPr="00752633">
        <w:rPr>
          <w:rFonts w:cs="Arial"/>
          <w:sz w:val="24"/>
          <w:szCs w:val="24"/>
        </w:rPr>
        <w:t>133</w:t>
      </w:r>
      <w:r w:rsidR="00CA45C9">
        <w:rPr>
          <w:rFonts w:cs="Arial"/>
          <w:sz w:val="24"/>
          <w:szCs w:val="24"/>
        </w:rPr>
        <w:t xml:space="preserve"> </w:t>
      </w:r>
      <w:r w:rsidR="00C019F9" w:rsidRPr="00752633">
        <w:rPr>
          <w:rFonts w:cs="Arial"/>
          <w:sz w:val="24"/>
          <w:szCs w:val="24"/>
        </w:rPr>
        <w:t>(66.8</w:t>
      </w:r>
      <w:r w:rsidR="00C65807" w:rsidRPr="00752633">
        <w:rPr>
          <w:rFonts w:cs="Arial"/>
          <w:sz w:val="24"/>
          <w:szCs w:val="24"/>
        </w:rPr>
        <w:t xml:space="preserve">%) centers sent </w:t>
      </w:r>
      <w:r w:rsidR="00821425" w:rsidRPr="00752633">
        <w:rPr>
          <w:rFonts w:cs="Arial"/>
          <w:sz w:val="24"/>
          <w:szCs w:val="24"/>
        </w:rPr>
        <w:t>separate</w:t>
      </w:r>
      <w:r w:rsidR="003F43F7">
        <w:rPr>
          <w:rFonts w:cs="Arial"/>
          <w:sz w:val="24"/>
          <w:szCs w:val="24"/>
        </w:rPr>
        <w:t xml:space="preserve"> </w:t>
      </w:r>
      <w:r w:rsidR="00C65807" w:rsidRPr="00752633">
        <w:rPr>
          <w:rFonts w:cs="Arial"/>
          <w:sz w:val="24"/>
          <w:szCs w:val="24"/>
        </w:rPr>
        <w:t>po</w:t>
      </w:r>
      <w:r w:rsidR="00C019F9" w:rsidRPr="00752633">
        <w:rPr>
          <w:rFonts w:cs="Arial"/>
          <w:sz w:val="24"/>
          <w:szCs w:val="24"/>
        </w:rPr>
        <w:t>sitive and negative controls, 20</w:t>
      </w:r>
      <w:r w:rsidR="00CA45C9">
        <w:rPr>
          <w:rFonts w:cs="Arial"/>
          <w:sz w:val="24"/>
          <w:szCs w:val="24"/>
        </w:rPr>
        <w:t xml:space="preserve"> </w:t>
      </w:r>
      <w:r w:rsidR="00C019F9" w:rsidRPr="00752633">
        <w:rPr>
          <w:rFonts w:cs="Arial"/>
          <w:sz w:val="24"/>
          <w:szCs w:val="24"/>
        </w:rPr>
        <w:t>(10.1</w:t>
      </w:r>
      <w:r w:rsidR="00C65807" w:rsidRPr="00752633">
        <w:rPr>
          <w:rFonts w:cs="Arial"/>
          <w:sz w:val="24"/>
          <w:szCs w:val="24"/>
        </w:rPr>
        <w:t xml:space="preserve">%) centers </w:t>
      </w:r>
      <w:r w:rsidR="00821425" w:rsidRPr="00752633">
        <w:rPr>
          <w:rFonts w:cs="Arial"/>
          <w:sz w:val="24"/>
          <w:szCs w:val="24"/>
        </w:rPr>
        <w:t>used</w:t>
      </w:r>
      <w:r w:rsidR="00EC10DF" w:rsidRPr="00752633">
        <w:rPr>
          <w:rFonts w:cs="Arial"/>
          <w:sz w:val="24"/>
          <w:szCs w:val="24"/>
        </w:rPr>
        <w:t xml:space="preserve"> only positive controls</w:t>
      </w:r>
      <w:r w:rsidR="00D152C8" w:rsidRPr="00752633">
        <w:rPr>
          <w:rFonts w:cs="Arial"/>
          <w:sz w:val="24"/>
          <w:szCs w:val="24"/>
        </w:rPr>
        <w:t xml:space="preserve">, </w:t>
      </w:r>
      <w:r w:rsidR="00821425" w:rsidRPr="00752633">
        <w:rPr>
          <w:rFonts w:cs="Arial"/>
          <w:sz w:val="24"/>
          <w:szCs w:val="24"/>
        </w:rPr>
        <w:t xml:space="preserve">while </w:t>
      </w:r>
      <w:r w:rsidR="00C019F9" w:rsidRPr="00752633">
        <w:rPr>
          <w:rFonts w:cs="Arial"/>
          <w:sz w:val="24"/>
          <w:szCs w:val="24"/>
        </w:rPr>
        <w:t>12</w:t>
      </w:r>
      <w:r w:rsidR="00CA45C9">
        <w:rPr>
          <w:rFonts w:cs="Arial"/>
          <w:sz w:val="24"/>
          <w:szCs w:val="24"/>
        </w:rPr>
        <w:t xml:space="preserve"> </w:t>
      </w:r>
      <w:r w:rsidR="006B216B" w:rsidRPr="00752633">
        <w:rPr>
          <w:rFonts w:cs="Arial"/>
          <w:sz w:val="24"/>
          <w:szCs w:val="24"/>
        </w:rPr>
        <w:t>(</w:t>
      </w:r>
      <w:r w:rsidR="00C019F9" w:rsidRPr="00752633">
        <w:rPr>
          <w:rFonts w:cs="Arial"/>
          <w:sz w:val="24"/>
          <w:szCs w:val="24"/>
        </w:rPr>
        <w:t>6</w:t>
      </w:r>
      <w:r w:rsidR="00C65807" w:rsidRPr="00752633">
        <w:rPr>
          <w:rFonts w:cs="Arial"/>
          <w:sz w:val="24"/>
          <w:szCs w:val="24"/>
        </w:rPr>
        <w:t xml:space="preserve">%) centers </w:t>
      </w:r>
      <w:r w:rsidR="00D152C8" w:rsidRPr="00752633">
        <w:rPr>
          <w:rFonts w:cs="Arial"/>
          <w:sz w:val="24"/>
          <w:szCs w:val="24"/>
        </w:rPr>
        <w:t>did not provide controls</w:t>
      </w:r>
      <w:r w:rsidR="0040735F" w:rsidRPr="00752633">
        <w:rPr>
          <w:rFonts w:cs="Arial"/>
          <w:sz w:val="24"/>
          <w:szCs w:val="24"/>
        </w:rPr>
        <w:t>.</w:t>
      </w:r>
      <w:r w:rsidR="003F43F7">
        <w:rPr>
          <w:rFonts w:cs="Arial"/>
          <w:sz w:val="24"/>
          <w:szCs w:val="24"/>
        </w:rPr>
        <w:t xml:space="preserve"> </w:t>
      </w:r>
      <w:r w:rsidR="00303CAF" w:rsidRPr="00752633">
        <w:rPr>
          <w:rFonts w:cs="Arial"/>
          <w:sz w:val="24"/>
          <w:szCs w:val="24"/>
        </w:rPr>
        <w:t>Special care by NCGEQAS team was taken for distinguishing score 1+ from score 0. Score 1+ is defined as &gt;</w:t>
      </w:r>
      <w:r w:rsidR="005542F5" w:rsidRPr="00752633">
        <w:rPr>
          <w:rFonts w:cs="Arial"/>
          <w:sz w:val="24"/>
          <w:szCs w:val="24"/>
        </w:rPr>
        <w:t>10% incomplete staining and &lt;</w:t>
      </w:r>
      <w:r w:rsidR="00303CAF" w:rsidRPr="00752633">
        <w:rPr>
          <w:rFonts w:cs="Arial"/>
          <w:sz w:val="24"/>
          <w:szCs w:val="24"/>
        </w:rPr>
        <w:t>10% complete staining. The ultra-low staining &lt;10% incomplete staining was clubbed with score 0.</w:t>
      </w:r>
    </w:p>
    <w:p w14:paraId="738BD010" w14:textId="77777777" w:rsidR="00EA19CC" w:rsidRDefault="00EA19CC" w:rsidP="00A5557B">
      <w:pPr>
        <w:tabs>
          <w:tab w:val="left" w:pos="2190"/>
        </w:tabs>
        <w:spacing w:line="360" w:lineRule="auto"/>
        <w:ind w:right="146"/>
        <w:jc w:val="both"/>
        <w:rPr>
          <w:rFonts w:cs="Arial"/>
          <w:b/>
          <w:color w:val="1F497D" w:themeColor="text2"/>
          <w:sz w:val="24"/>
          <w:szCs w:val="24"/>
        </w:rPr>
      </w:pPr>
      <w:r w:rsidRPr="00EA3733">
        <w:rPr>
          <w:rFonts w:cs="Arial"/>
          <w:b/>
          <w:noProof/>
          <w:color w:val="1F497D" w:themeColor="text2"/>
          <w:sz w:val="24"/>
          <w:szCs w:val="24"/>
        </w:rPr>
        <w:drawing>
          <wp:inline distT="0" distB="0" distL="0" distR="0" wp14:anchorId="157650EB" wp14:editId="770B0EED">
            <wp:extent cx="5953125" cy="3676650"/>
            <wp:effectExtent l="19050" t="0" r="9525" b="0"/>
            <wp:docPr id="2"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5B9EE85" w14:textId="77777777" w:rsidR="00EA19CC" w:rsidRPr="00B32DAF" w:rsidRDefault="00EA19CC" w:rsidP="00A5557B">
      <w:pPr>
        <w:spacing w:line="360" w:lineRule="auto"/>
        <w:ind w:right="146"/>
        <w:jc w:val="both"/>
        <w:rPr>
          <w:rFonts w:cs="Arial"/>
          <w:sz w:val="24"/>
          <w:szCs w:val="24"/>
        </w:rPr>
      </w:pPr>
    </w:p>
    <w:p w14:paraId="59005622" w14:textId="77777777" w:rsidR="00EA19CC" w:rsidRDefault="00EA19CC" w:rsidP="00A5557B">
      <w:pPr>
        <w:tabs>
          <w:tab w:val="left" w:pos="2190"/>
        </w:tabs>
        <w:spacing w:line="360" w:lineRule="auto"/>
        <w:ind w:right="146"/>
        <w:jc w:val="both"/>
        <w:rPr>
          <w:rFonts w:cs="Arial"/>
          <w:b/>
          <w:color w:val="1F497D" w:themeColor="text2"/>
          <w:sz w:val="24"/>
          <w:szCs w:val="24"/>
        </w:rPr>
      </w:pPr>
      <w:r w:rsidRPr="00EA3733">
        <w:rPr>
          <w:rFonts w:cs="Arial"/>
          <w:b/>
          <w:color w:val="1F497D" w:themeColor="text2"/>
          <w:sz w:val="24"/>
          <w:szCs w:val="24"/>
        </w:rPr>
        <w:t>Performances of each core in TMA:</w:t>
      </w:r>
    </w:p>
    <w:p w14:paraId="7CF52CD1" w14:textId="77777777" w:rsidR="00D55081" w:rsidRPr="00D55081" w:rsidRDefault="00D55081" w:rsidP="00A5557B">
      <w:pPr>
        <w:tabs>
          <w:tab w:val="left" w:pos="2190"/>
        </w:tabs>
        <w:spacing w:line="360" w:lineRule="auto"/>
        <w:ind w:right="146"/>
        <w:jc w:val="both"/>
        <w:rPr>
          <w:rFonts w:cs="Arial"/>
          <w:sz w:val="24"/>
          <w:szCs w:val="24"/>
        </w:rPr>
      </w:pPr>
      <w:r w:rsidRPr="00D55081">
        <w:rPr>
          <w:rFonts w:cs="Arial"/>
          <w:sz w:val="24"/>
          <w:szCs w:val="24"/>
        </w:rPr>
        <w:t xml:space="preserve">The reporting was more complex </w:t>
      </w:r>
      <w:r w:rsidR="00A94E49">
        <w:rPr>
          <w:rFonts w:cs="Arial"/>
          <w:sz w:val="24"/>
          <w:szCs w:val="24"/>
        </w:rPr>
        <w:t>this time because</w:t>
      </w:r>
      <w:r>
        <w:rPr>
          <w:rFonts w:cs="Arial"/>
          <w:sz w:val="24"/>
          <w:szCs w:val="24"/>
        </w:rPr>
        <w:t xml:space="preserve"> we separated score 0 and score 1+ in keeping with the trend </w:t>
      </w:r>
      <w:r w:rsidR="00A94E49">
        <w:rPr>
          <w:rFonts w:cs="Arial"/>
          <w:sz w:val="24"/>
          <w:szCs w:val="24"/>
        </w:rPr>
        <w:t xml:space="preserve">but a center that marked score 1+ as negative was still given a concordant result. </w:t>
      </w:r>
    </w:p>
    <w:p w14:paraId="64C53F4A" w14:textId="77777777" w:rsidR="00E26E21" w:rsidRPr="00E26E21" w:rsidRDefault="00EA19CC" w:rsidP="00E26E21">
      <w:pPr>
        <w:tabs>
          <w:tab w:val="left" w:pos="2190"/>
        </w:tabs>
        <w:spacing w:line="360" w:lineRule="auto"/>
        <w:ind w:right="146"/>
        <w:jc w:val="both"/>
        <w:rPr>
          <w:rFonts w:cs="Arial"/>
          <w:sz w:val="24"/>
          <w:szCs w:val="24"/>
        </w:rPr>
      </w:pPr>
      <w:r w:rsidRPr="00E26E21">
        <w:rPr>
          <w:rFonts w:cs="Arial"/>
          <w:sz w:val="24"/>
          <w:szCs w:val="24"/>
        </w:rPr>
        <w:t>Fig 2 gives a summary of the</w:t>
      </w:r>
      <w:r w:rsidR="000A1816">
        <w:rPr>
          <w:rFonts w:cs="Arial"/>
          <w:sz w:val="24"/>
          <w:szCs w:val="24"/>
        </w:rPr>
        <w:t xml:space="preserve"> pass rates</w:t>
      </w:r>
      <w:r w:rsidR="003F43F7">
        <w:rPr>
          <w:rFonts w:cs="Arial"/>
          <w:sz w:val="24"/>
          <w:szCs w:val="24"/>
        </w:rPr>
        <w:t xml:space="preserve"> </w:t>
      </w:r>
      <w:r w:rsidR="00D73D20" w:rsidRPr="00E26E21">
        <w:rPr>
          <w:rFonts w:cs="Arial"/>
          <w:sz w:val="24"/>
          <w:szCs w:val="24"/>
        </w:rPr>
        <w:t>across the cores within the TMA</w:t>
      </w:r>
      <w:r w:rsidRPr="00E26E21">
        <w:rPr>
          <w:rFonts w:cs="Arial"/>
          <w:sz w:val="24"/>
          <w:szCs w:val="24"/>
        </w:rPr>
        <w:t xml:space="preserve">. </w:t>
      </w:r>
      <w:r w:rsidR="00E26E21" w:rsidRPr="00E26E21">
        <w:rPr>
          <w:rFonts w:cs="Arial"/>
          <w:color w:val="000000" w:themeColor="text1"/>
          <w:sz w:val="24"/>
          <w:szCs w:val="24"/>
        </w:rPr>
        <w:t>As seen from this figure concordance of</w:t>
      </w:r>
      <w:r w:rsidR="00CA45C9">
        <w:rPr>
          <w:rFonts w:cs="Arial"/>
          <w:color w:val="000000" w:themeColor="text1"/>
          <w:sz w:val="24"/>
          <w:szCs w:val="24"/>
        </w:rPr>
        <w:t xml:space="preserve"> &gt;</w:t>
      </w:r>
      <w:r w:rsidR="00E26E21" w:rsidRPr="00E26E21">
        <w:rPr>
          <w:rFonts w:cs="Arial"/>
          <w:color w:val="000000" w:themeColor="text1"/>
          <w:sz w:val="24"/>
          <w:szCs w:val="24"/>
        </w:rPr>
        <w:t xml:space="preserve">90% was seen for core 2, core 8, core 12, core 4 and core 9 which were frank negative and positive cores.  For the Positive cores, 80.9% (161 centers) reported core 2 accurately while 99.0% (197 centers) reported the core 8 accurately and 97.5% (194 centers) reported the core 12 accurately. For the equivocal cores, </w:t>
      </w:r>
      <w:r w:rsidR="00BE6B11">
        <w:rPr>
          <w:rFonts w:cs="Arial"/>
          <w:color w:val="000000" w:themeColor="text1"/>
          <w:sz w:val="24"/>
          <w:szCs w:val="24"/>
        </w:rPr>
        <w:t>82</w:t>
      </w:r>
      <w:r w:rsidR="00E26E21" w:rsidRPr="00E26E21">
        <w:rPr>
          <w:rFonts w:cs="Arial"/>
          <w:color w:val="000000" w:themeColor="text1"/>
          <w:sz w:val="24"/>
          <w:szCs w:val="24"/>
        </w:rPr>
        <w:t>% (163 centers) reported core 3 accurately while 75.4% (150 centers) reported core 7 and 51.3% (102</w:t>
      </w:r>
      <w:r w:rsidR="00CA45C9">
        <w:rPr>
          <w:rFonts w:cs="Arial"/>
          <w:color w:val="000000" w:themeColor="text1"/>
          <w:sz w:val="24"/>
          <w:szCs w:val="24"/>
        </w:rPr>
        <w:t xml:space="preserve"> centers</w:t>
      </w:r>
      <w:r w:rsidR="00E26E21" w:rsidRPr="00E26E21">
        <w:rPr>
          <w:rFonts w:cs="Arial"/>
          <w:color w:val="000000" w:themeColor="text1"/>
          <w:sz w:val="24"/>
          <w:szCs w:val="24"/>
        </w:rPr>
        <w:t>) reported core 10 as equivocal. Concordance for score 1+ staining was poor. Core 5 was reported as score 1+ by only 12.1% (24</w:t>
      </w:r>
      <w:r w:rsidR="00CA45C9">
        <w:rPr>
          <w:rFonts w:cs="Arial"/>
          <w:color w:val="000000" w:themeColor="text1"/>
          <w:sz w:val="24"/>
          <w:szCs w:val="24"/>
        </w:rPr>
        <w:t xml:space="preserve"> </w:t>
      </w:r>
      <w:r w:rsidR="00CA45C9" w:rsidRPr="00E26E21">
        <w:rPr>
          <w:rFonts w:cs="Arial"/>
          <w:color w:val="000000" w:themeColor="text1"/>
          <w:sz w:val="24"/>
          <w:szCs w:val="24"/>
        </w:rPr>
        <w:t>centers</w:t>
      </w:r>
      <w:r w:rsidR="00E26E21" w:rsidRPr="00E26E21">
        <w:rPr>
          <w:rFonts w:cs="Arial"/>
          <w:color w:val="000000" w:themeColor="text1"/>
          <w:sz w:val="24"/>
          <w:szCs w:val="24"/>
        </w:rPr>
        <w:t>) and core 11 was even worse with only 6% (12</w:t>
      </w:r>
      <w:r w:rsidR="00CA45C9">
        <w:rPr>
          <w:rFonts w:cs="Arial"/>
          <w:color w:val="000000" w:themeColor="text1"/>
          <w:sz w:val="24"/>
          <w:szCs w:val="24"/>
        </w:rPr>
        <w:t xml:space="preserve"> </w:t>
      </w:r>
      <w:r w:rsidR="00CA45C9" w:rsidRPr="00E26E21">
        <w:rPr>
          <w:rFonts w:cs="Arial"/>
          <w:color w:val="000000" w:themeColor="text1"/>
          <w:sz w:val="24"/>
          <w:szCs w:val="24"/>
        </w:rPr>
        <w:t>centers</w:t>
      </w:r>
      <w:r w:rsidR="00E26E21" w:rsidRPr="00E26E21">
        <w:rPr>
          <w:rFonts w:cs="Arial"/>
          <w:color w:val="000000" w:themeColor="text1"/>
          <w:sz w:val="24"/>
          <w:szCs w:val="24"/>
        </w:rPr>
        <w:t xml:space="preserve">) reporting this as score 1+. </w:t>
      </w:r>
      <w:r w:rsidR="00BE6B11">
        <w:rPr>
          <w:rFonts w:cs="Arial"/>
          <w:color w:val="000000" w:themeColor="text1"/>
          <w:sz w:val="24"/>
          <w:szCs w:val="24"/>
        </w:rPr>
        <w:t>Core 4 which was a negative core 10 centers gave an equivocal result and one called it positive</w:t>
      </w:r>
      <w:r w:rsidR="00CA45C9">
        <w:rPr>
          <w:rFonts w:cs="Arial"/>
          <w:color w:val="000000" w:themeColor="text1"/>
          <w:sz w:val="24"/>
          <w:szCs w:val="24"/>
        </w:rPr>
        <w:t xml:space="preserve"> </w:t>
      </w:r>
      <w:r w:rsidR="00BE6B11">
        <w:rPr>
          <w:rFonts w:cs="Arial"/>
          <w:color w:val="000000" w:themeColor="text1"/>
          <w:sz w:val="24"/>
          <w:szCs w:val="24"/>
        </w:rPr>
        <w:t>(score 3+)</w:t>
      </w:r>
      <w:r w:rsidR="00C130A7">
        <w:rPr>
          <w:rFonts w:cs="Arial"/>
          <w:color w:val="000000" w:themeColor="text1"/>
          <w:sz w:val="24"/>
          <w:szCs w:val="24"/>
        </w:rPr>
        <w:t xml:space="preserve"> (Fig </w:t>
      </w:r>
      <w:r w:rsidR="008676FA">
        <w:rPr>
          <w:rFonts w:cs="Arial"/>
          <w:color w:val="000000" w:themeColor="text1"/>
          <w:sz w:val="24"/>
          <w:szCs w:val="24"/>
        </w:rPr>
        <w:t>3 &amp; Fig</w:t>
      </w:r>
      <w:r w:rsidR="00C130A7">
        <w:rPr>
          <w:rFonts w:cs="Arial"/>
          <w:color w:val="000000" w:themeColor="text1"/>
          <w:sz w:val="24"/>
          <w:szCs w:val="24"/>
        </w:rPr>
        <w:t xml:space="preserve"> </w:t>
      </w:r>
      <w:r w:rsidR="008676FA">
        <w:rPr>
          <w:rFonts w:cs="Arial"/>
          <w:color w:val="000000" w:themeColor="text1"/>
          <w:sz w:val="24"/>
          <w:szCs w:val="24"/>
        </w:rPr>
        <w:t>4)</w:t>
      </w:r>
      <w:r w:rsidR="00BE6B11">
        <w:rPr>
          <w:rFonts w:cs="Arial"/>
          <w:color w:val="000000" w:themeColor="text1"/>
          <w:sz w:val="24"/>
          <w:szCs w:val="24"/>
        </w:rPr>
        <w:t>. Of these 7 had performed manual staining with less common antibodies which showed cytoplasmic blush and four had used automated platform with different antibodies. Similar pattern was seen with the frankly negative core 9 where 9 centers gave equivocal</w:t>
      </w:r>
      <w:r w:rsidR="00C130A7">
        <w:rPr>
          <w:rFonts w:cs="Arial"/>
          <w:color w:val="000000" w:themeColor="text1"/>
          <w:sz w:val="24"/>
          <w:szCs w:val="24"/>
        </w:rPr>
        <w:t xml:space="preserve"> (</w:t>
      </w:r>
      <w:r w:rsidR="008676FA">
        <w:rPr>
          <w:rFonts w:cs="Arial"/>
          <w:color w:val="000000" w:themeColor="text1"/>
          <w:sz w:val="24"/>
          <w:szCs w:val="24"/>
        </w:rPr>
        <w:t>score 2+)</w:t>
      </w:r>
      <w:r w:rsidR="00BE6B11">
        <w:rPr>
          <w:rFonts w:cs="Arial"/>
          <w:color w:val="000000" w:themeColor="text1"/>
          <w:sz w:val="24"/>
          <w:szCs w:val="24"/>
        </w:rPr>
        <w:t xml:space="preserve"> result. One center showed dense cytoplasmic staining and uninterpretable outcome</w:t>
      </w:r>
      <w:r w:rsidR="008676FA">
        <w:rPr>
          <w:rFonts w:cs="Arial"/>
          <w:color w:val="000000" w:themeColor="text1"/>
          <w:sz w:val="24"/>
          <w:szCs w:val="24"/>
        </w:rPr>
        <w:t>.</w:t>
      </w:r>
    </w:p>
    <w:p w14:paraId="7E19F357" w14:textId="77777777" w:rsidR="006F6332" w:rsidRPr="00EA3733" w:rsidRDefault="006F6332" w:rsidP="00A5557B">
      <w:pPr>
        <w:tabs>
          <w:tab w:val="left" w:pos="2190"/>
        </w:tabs>
        <w:spacing w:line="360" w:lineRule="auto"/>
        <w:ind w:right="146"/>
        <w:jc w:val="both"/>
        <w:rPr>
          <w:rFonts w:cs="Arial"/>
          <w:b/>
          <w:color w:val="1F497D" w:themeColor="text2"/>
          <w:sz w:val="24"/>
          <w:szCs w:val="24"/>
        </w:rPr>
      </w:pPr>
      <w:r w:rsidRPr="00EA3733">
        <w:rPr>
          <w:rFonts w:cs="Arial"/>
          <w:b/>
          <w:color w:val="1F497D" w:themeColor="text2"/>
          <w:sz w:val="24"/>
          <w:szCs w:val="24"/>
        </w:rPr>
        <w:t>S</w:t>
      </w:r>
      <w:r w:rsidR="00755469">
        <w:rPr>
          <w:rFonts w:cs="Arial"/>
          <w:b/>
          <w:color w:val="1F497D" w:themeColor="text2"/>
          <w:sz w:val="24"/>
          <w:szCs w:val="24"/>
        </w:rPr>
        <w:t>taining Protocols used in Run 29</w:t>
      </w:r>
      <w:r w:rsidRPr="00EA3733">
        <w:rPr>
          <w:rFonts w:cs="Arial"/>
          <w:b/>
          <w:color w:val="1F497D" w:themeColor="text2"/>
          <w:sz w:val="24"/>
          <w:szCs w:val="24"/>
        </w:rPr>
        <w:t xml:space="preserve"> Her2neu </w:t>
      </w:r>
    </w:p>
    <w:p w14:paraId="44993B4E" w14:textId="77777777" w:rsidR="00147D4C" w:rsidRDefault="00EC10DF" w:rsidP="00A5557B">
      <w:pPr>
        <w:tabs>
          <w:tab w:val="left" w:pos="2190"/>
        </w:tabs>
        <w:spacing w:line="360" w:lineRule="auto"/>
        <w:ind w:right="146"/>
        <w:jc w:val="both"/>
        <w:rPr>
          <w:rFonts w:cs="Arial"/>
          <w:sz w:val="24"/>
          <w:szCs w:val="24"/>
        </w:rPr>
      </w:pPr>
      <w:r w:rsidRPr="00147D4C">
        <w:rPr>
          <w:rFonts w:cs="Arial"/>
          <w:sz w:val="24"/>
          <w:szCs w:val="24"/>
        </w:rPr>
        <w:t xml:space="preserve">In the present </w:t>
      </w:r>
      <w:r w:rsidR="00F926D7" w:rsidRPr="00147D4C">
        <w:rPr>
          <w:rFonts w:cs="Arial"/>
          <w:sz w:val="24"/>
          <w:szCs w:val="24"/>
        </w:rPr>
        <w:t>HER2</w:t>
      </w:r>
      <w:r w:rsidR="00755469" w:rsidRPr="00147D4C">
        <w:rPr>
          <w:rFonts w:cs="Arial"/>
          <w:sz w:val="24"/>
          <w:szCs w:val="24"/>
        </w:rPr>
        <w:t xml:space="preserve"> Run 29</w:t>
      </w:r>
      <w:r w:rsidR="006F6332" w:rsidRPr="00147D4C">
        <w:rPr>
          <w:rFonts w:cs="Arial"/>
          <w:sz w:val="24"/>
          <w:szCs w:val="24"/>
        </w:rPr>
        <w:t xml:space="preserve">, </w:t>
      </w:r>
      <w:r w:rsidR="00755469" w:rsidRPr="00147D4C">
        <w:rPr>
          <w:rFonts w:cs="Arial"/>
          <w:sz w:val="24"/>
          <w:szCs w:val="24"/>
        </w:rPr>
        <w:t>8</w:t>
      </w:r>
      <w:r w:rsidR="00B325C2" w:rsidRPr="00147D4C">
        <w:rPr>
          <w:rFonts w:cs="Arial"/>
          <w:sz w:val="24"/>
          <w:szCs w:val="24"/>
        </w:rPr>
        <w:t>7</w:t>
      </w:r>
      <w:r w:rsidR="00C130A7">
        <w:rPr>
          <w:rFonts w:cs="Arial"/>
          <w:sz w:val="24"/>
          <w:szCs w:val="24"/>
        </w:rPr>
        <w:t xml:space="preserve"> centers </w:t>
      </w:r>
      <w:r w:rsidR="00755469" w:rsidRPr="00147D4C">
        <w:rPr>
          <w:rFonts w:cs="Arial"/>
          <w:sz w:val="24"/>
          <w:szCs w:val="24"/>
        </w:rPr>
        <w:t>(43</w:t>
      </w:r>
      <w:r w:rsidR="002D2816" w:rsidRPr="00147D4C">
        <w:rPr>
          <w:rFonts w:cs="Arial"/>
          <w:sz w:val="24"/>
          <w:szCs w:val="24"/>
        </w:rPr>
        <w:t>.</w:t>
      </w:r>
      <w:r w:rsidR="00C91052" w:rsidRPr="00147D4C">
        <w:rPr>
          <w:rFonts w:cs="Arial"/>
          <w:sz w:val="24"/>
          <w:szCs w:val="24"/>
        </w:rPr>
        <w:t>7</w:t>
      </w:r>
      <w:r w:rsidR="00C130A7">
        <w:rPr>
          <w:rFonts w:cs="Arial"/>
          <w:sz w:val="24"/>
          <w:szCs w:val="24"/>
        </w:rPr>
        <w:t xml:space="preserve">%) </w:t>
      </w:r>
      <w:r w:rsidR="008B4FAC" w:rsidRPr="00147D4C">
        <w:rPr>
          <w:rFonts w:cs="Arial"/>
          <w:sz w:val="24"/>
          <w:szCs w:val="24"/>
        </w:rPr>
        <w:t xml:space="preserve">used manual </w:t>
      </w:r>
      <w:r w:rsidR="00755469" w:rsidRPr="00147D4C">
        <w:rPr>
          <w:rFonts w:cs="Arial"/>
          <w:sz w:val="24"/>
          <w:szCs w:val="24"/>
        </w:rPr>
        <w:t>protocol and 112 (56.</w:t>
      </w:r>
      <w:r w:rsidR="00C91052" w:rsidRPr="00147D4C">
        <w:rPr>
          <w:rFonts w:cs="Arial"/>
          <w:sz w:val="24"/>
          <w:szCs w:val="24"/>
        </w:rPr>
        <w:t>3</w:t>
      </w:r>
      <w:r w:rsidR="006F6332" w:rsidRPr="00147D4C">
        <w:rPr>
          <w:rFonts w:cs="Arial"/>
          <w:sz w:val="24"/>
          <w:szCs w:val="24"/>
        </w:rPr>
        <w:t>%) used an automated staining platform</w:t>
      </w:r>
      <w:r w:rsidR="00AC1449">
        <w:rPr>
          <w:rFonts w:cs="Arial"/>
          <w:sz w:val="24"/>
          <w:szCs w:val="24"/>
        </w:rPr>
        <w:t xml:space="preserve">. </w:t>
      </w:r>
      <w:r w:rsidR="003341E4" w:rsidRPr="00147D4C">
        <w:rPr>
          <w:rFonts w:cs="Arial"/>
          <w:sz w:val="24"/>
          <w:szCs w:val="24"/>
        </w:rPr>
        <w:t xml:space="preserve">All automated based HER2 immunohistochemistry gave </w:t>
      </w:r>
      <w:r w:rsidR="00146055">
        <w:rPr>
          <w:rFonts w:cs="Arial"/>
          <w:sz w:val="24"/>
          <w:szCs w:val="24"/>
        </w:rPr>
        <w:t>better results</w:t>
      </w:r>
      <w:r w:rsidR="003341E4" w:rsidRPr="00147D4C">
        <w:rPr>
          <w:rFonts w:cs="Arial"/>
          <w:sz w:val="24"/>
          <w:szCs w:val="24"/>
        </w:rPr>
        <w:t xml:space="preserve"> when compared to manual stainin</w:t>
      </w:r>
      <w:r w:rsidR="00714C66" w:rsidRPr="00147D4C">
        <w:rPr>
          <w:rFonts w:cs="Arial"/>
          <w:sz w:val="24"/>
          <w:szCs w:val="24"/>
        </w:rPr>
        <w:t xml:space="preserve">g. </w:t>
      </w:r>
      <w:r w:rsidR="00146055">
        <w:rPr>
          <w:rFonts w:cs="Arial"/>
          <w:sz w:val="24"/>
          <w:szCs w:val="24"/>
        </w:rPr>
        <w:t xml:space="preserve">A </w:t>
      </w:r>
      <w:r w:rsidR="00714C66" w:rsidRPr="00147D4C">
        <w:rPr>
          <w:rFonts w:cs="Arial"/>
          <w:sz w:val="24"/>
          <w:szCs w:val="24"/>
        </w:rPr>
        <w:t>100% pass rate was seen in 63.</w:t>
      </w:r>
      <w:r w:rsidR="00C91052" w:rsidRPr="00147D4C">
        <w:rPr>
          <w:rFonts w:cs="Arial"/>
          <w:sz w:val="24"/>
          <w:szCs w:val="24"/>
        </w:rPr>
        <w:t>5</w:t>
      </w:r>
      <w:r w:rsidR="003341E4" w:rsidRPr="00147D4C">
        <w:rPr>
          <w:rFonts w:cs="Arial"/>
          <w:sz w:val="24"/>
          <w:szCs w:val="24"/>
        </w:rPr>
        <w:t>% centers</w:t>
      </w:r>
      <w:r w:rsidR="00714C66" w:rsidRPr="00147D4C">
        <w:rPr>
          <w:rFonts w:cs="Arial"/>
          <w:sz w:val="24"/>
          <w:szCs w:val="24"/>
        </w:rPr>
        <w:t xml:space="preserve"> using automated platforms Vs 3</w:t>
      </w:r>
      <w:r w:rsidR="00C91052" w:rsidRPr="00147D4C">
        <w:rPr>
          <w:rFonts w:cs="Arial"/>
          <w:sz w:val="24"/>
          <w:szCs w:val="24"/>
        </w:rPr>
        <w:t>6.5</w:t>
      </w:r>
      <w:r w:rsidR="003341E4" w:rsidRPr="00147D4C">
        <w:rPr>
          <w:rFonts w:cs="Arial"/>
          <w:sz w:val="24"/>
          <w:szCs w:val="24"/>
        </w:rPr>
        <w:t xml:space="preserve">% centers using manual platforms. </w:t>
      </w:r>
      <w:r w:rsidR="007A5C11" w:rsidRPr="00147D4C">
        <w:rPr>
          <w:rFonts w:cs="Arial"/>
          <w:sz w:val="24"/>
          <w:szCs w:val="24"/>
        </w:rPr>
        <w:t>Of the 19</w:t>
      </w:r>
      <w:r w:rsidR="00C91052" w:rsidRPr="00147D4C">
        <w:rPr>
          <w:rFonts w:cs="Arial"/>
          <w:sz w:val="24"/>
          <w:szCs w:val="24"/>
        </w:rPr>
        <w:t>9</w:t>
      </w:r>
      <w:r w:rsidR="005542F5" w:rsidRPr="00147D4C">
        <w:rPr>
          <w:rFonts w:cs="Arial"/>
          <w:sz w:val="24"/>
          <w:szCs w:val="24"/>
        </w:rPr>
        <w:t xml:space="preserve"> centers, </w:t>
      </w:r>
      <w:r w:rsidR="007A5C11" w:rsidRPr="00147D4C">
        <w:rPr>
          <w:rFonts w:cs="Arial"/>
          <w:sz w:val="24"/>
          <w:szCs w:val="24"/>
        </w:rPr>
        <w:t>72</w:t>
      </w:r>
      <w:r w:rsidR="00C130A7">
        <w:rPr>
          <w:rFonts w:cs="Arial"/>
          <w:sz w:val="24"/>
          <w:szCs w:val="24"/>
        </w:rPr>
        <w:t xml:space="preserve"> </w:t>
      </w:r>
      <w:r w:rsidR="00147D4C" w:rsidRPr="00147D4C">
        <w:rPr>
          <w:rFonts w:cs="Arial"/>
          <w:sz w:val="24"/>
          <w:szCs w:val="24"/>
        </w:rPr>
        <w:t xml:space="preserve">centers </w:t>
      </w:r>
      <w:r w:rsidR="005542F5" w:rsidRPr="00147D4C">
        <w:rPr>
          <w:rFonts w:cs="Arial"/>
          <w:sz w:val="24"/>
          <w:szCs w:val="24"/>
        </w:rPr>
        <w:t>(</w:t>
      </w:r>
      <w:r w:rsidR="007A5C11" w:rsidRPr="00147D4C">
        <w:rPr>
          <w:rFonts w:cs="Arial"/>
          <w:sz w:val="24"/>
          <w:szCs w:val="24"/>
        </w:rPr>
        <w:t>36.</w:t>
      </w:r>
      <w:r w:rsidR="00C91052" w:rsidRPr="00147D4C">
        <w:rPr>
          <w:rFonts w:cs="Arial"/>
          <w:sz w:val="24"/>
          <w:szCs w:val="24"/>
        </w:rPr>
        <w:t>2</w:t>
      </w:r>
      <w:r w:rsidR="0056193B" w:rsidRPr="00147D4C">
        <w:rPr>
          <w:rFonts w:cs="Arial"/>
          <w:sz w:val="24"/>
          <w:szCs w:val="24"/>
        </w:rPr>
        <w:t>%)</w:t>
      </w:r>
      <w:r w:rsidR="006F6332" w:rsidRPr="00147D4C">
        <w:rPr>
          <w:rFonts w:cs="Arial"/>
          <w:sz w:val="24"/>
          <w:szCs w:val="24"/>
        </w:rPr>
        <w:t xml:space="preserve"> used Ventana </w:t>
      </w:r>
      <w:r w:rsidR="003341E4" w:rsidRPr="00147D4C">
        <w:rPr>
          <w:rFonts w:cs="Arial"/>
          <w:sz w:val="24"/>
          <w:szCs w:val="24"/>
        </w:rPr>
        <w:t xml:space="preserve">4B5 </w:t>
      </w:r>
      <w:r w:rsidR="00146055">
        <w:rPr>
          <w:rFonts w:cs="Arial"/>
          <w:sz w:val="24"/>
          <w:szCs w:val="24"/>
        </w:rPr>
        <w:t xml:space="preserve">HER2 </w:t>
      </w:r>
      <w:r w:rsidR="003341E4" w:rsidRPr="00147D4C">
        <w:rPr>
          <w:rFonts w:cs="Arial"/>
          <w:sz w:val="24"/>
          <w:szCs w:val="24"/>
        </w:rPr>
        <w:t>antibody on Ventana machine</w:t>
      </w:r>
      <w:r w:rsidR="005253D0" w:rsidRPr="00147D4C">
        <w:rPr>
          <w:rFonts w:cs="Arial"/>
          <w:sz w:val="24"/>
          <w:szCs w:val="24"/>
        </w:rPr>
        <w:t>,</w:t>
      </w:r>
      <w:r w:rsidR="007A5C11" w:rsidRPr="00147D4C">
        <w:rPr>
          <w:rFonts w:cs="Arial"/>
          <w:sz w:val="24"/>
          <w:szCs w:val="24"/>
        </w:rPr>
        <w:t xml:space="preserve"> 4</w:t>
      </w:r>
      <w:r w:rsidR="00C91052" w:rsidRPr="00147D4C">
        <w:rPr>
          <w:rFonts w:cs="Arial"/>
          <w:sz w:val="24"/>
          <w:szCs w:val="24"/>
        </w:rPr>
        <w:t>3</w:t>
      </w:r>
      <w:r w:rsidR="005542F5" w:rsidRPr="00147D4C">
        <w:rPr>
          <w:rFonts w:cs="Arial"/>
          <w:sz w:val="24"/>
          <w:szCs w:val="24"/>
        </w:rPr>
        <w:t xml:space="preserve"> (</w:t>
      </w:r>
      <w:r w:rsidR="007A5C11" w:rsidRPr="00147D4C">
        <w:rPr>
          <w:rFonts w:cs="Arial"/>
          <w:sz w:val="24"/>
          <w:szCs w:val="24"/>
        </w:rPr>
        <w:t>21.</w:t>
      </w:r>
      <w:r w:rsidR="00C91052" w:rsidRPr="00147D4C">
        <w:rPr>
          <w:rFonts w:cs="Arial"/>
          <w:sz w:val="24"/>
          <w:szCs w:val="24"/>
        </w:rPr>
        <w:t>6</w:t>
      </w:r>
      <w:r w:rsidR="003341E4" w:rsidRPr="00147D4C">
        <w:rPr>
          <w:rFonts w:cs="Arial"/>
          <w:sz w:val="24"/>
          <w:szCs w:val="24"/>
        </w:rPr>
        <w:t xml:space="preserve">%) centers used Manual method using Path in situ </w:t>
      </w:r>
      <w:r w:rsidR="00146055">
        <w:rPr>
          <w:rFonts w:cs="Arial"/>
          <w:sz w:val="24"/>
          <w:szCs w:val="24"/>
        </w:rPr>
        <w:t xml:space="preserve">HER2 </w:t>
      </w:r>
      <w:r w:rsidR="003341E4" w:rsidRPr="00147D4C">
        <w:rPr>
          <w:rFonts w:cs="Arial"/>
          <w:sz w:val="24"/>
          <w:szCs w:val="24"/>
        </w:rPr>
        <w:t>EP3 antibody,</w:t>
      </w:r>
      <w:r w:rsidR="005253D0" w:rsidRPr="00147D4C">
        <w:rPr>
          <w:rFonts w:cs="Arial"/>
          <w:sz w:val="24"/>
          <w:szCs w:val="24"/>
        </w:rPr>
        <w:t xml:space="preserve"> 1</w:t>
      </w:r>
      <w:r w:rsidR="007A5C11" w:rsidRPr="00147D4C">
        <w:rPr>
          <w:rFonts w:cs="Arial"/>
          <w:sz w:val="24"/>
          <w:szCs w:val="24"/>
        </w:rPr>
        <w:t>7</w:t>
      </w:r>
      <w:r w:rsidR="006F6332" w:rsidRPr="00147D4C">
        <w:rPr>
          <w:rFonts w:cs="Arial"/>
          <w:sz w:val="24"/>
          <w:szCs w:val="24"/>
        </w:rPr>
        <w:t>centers used manual</w:t>
      </w:r>
      <w:r w:rsidR="0056193B" w:rsidRPr="00147D4C">
        <w:rPr>
          <w:rFonts w:cs="Arial"/>
          <w:sz w:val="24"/>
          <w:szCs w:val="24"/>
        </w:rPr>
        <w:t>/ automated</w:t>
      </w:r>
      <w:r w:rsidR="006F6332" w:rsidRPr="00147D4C">
        <w:rPr>
          <w:rFonts w:cs="Arial"/>
          <w:sz w:val="24"/>
          <w:szCs w:val="24"/>
        </w:rPr>
        <w:t xml:space="preserve"> staining with</w:t>
      </w:r>
      <w:r w:rsidR="003341E4" w:rsidRPr="00147D4C">
        <w:rPr>
          <w:rFonts w:cs="Arial"/>
          <w:sz w:val="24"/>
          <w:szCs w:val="24"/>
        </w:rPr>
        <w:t xml:space="preserve"> DAKO</w:t>
      </w:r>
      <w:r w:rsidR="003F43F7">
        <w:rPr>
          <w:rFonts w:cs="Arial"/>
          <w:sz w:val="24"/>
          <w:szCs w:val="24"/>
        </w:rPr>
        <w:t xml:space="preserve"> </w:t>
      </w:r>
      <w:r w:rsidR="0056193B" w:rsidRPr="00147D4C">
        <w:rPr>
          <w:rFonts w:cs="Arial"/>
          <w:sz w:val="24"/>
          <w:szCs w:val="24"/>
        </w:rPr>
        <w:t>antibody</w:t>
      </w:r>
      <w:r w:rsidR="007A5C11" w:rsidRPr="00147D4C">
        <w:rPr>
          <w:rFonts w:cs="Arial"/>
          <w:sz w:val="24"/>
          <w:szCs w:val="24"/>
        </w:rPr>
        <w:t xml:space="preserve">, </w:t>
      </w:r>
      <w:r w:rsidR="008E7070">
        <w:rPr>
          <w:rFonts w:cs="Arial"/>
          <w:sz w:val="24"/>
          <w:szCs w:val="24"/>
        </w:rPr>
        <w:t xml:space="preserve">8 centers used DBS antibody manually, </w:t>
      </w:r>
      <w:r w:rsidR="007A5C11" w:rsidRPr="00147D4C">
        <w:rPr>
          <w:rFonts w:cs="Arial"/>
          <w:sz w:val="24"/>
          <w:szCs w:val="24"/>
        </w:rPr>
        <w:t>9</w:t>
      </w:r>
      <w:r w:rsidR="003341E4" w:rsidRPr="00147D4C">
        <w:rPr>
          <w:rFonts w:cs="Arial"/>
          <w:sz w:val="24"/>
          <w:szCs w:val="24"/>
        </w:rPr>
        <w:t xml:space="preserve"> centers used the Biogenex antibody on automated or manual platform,</w:t>
      </w:r>
      <w:r w:rsidR="007A5C11" w:rsidRPr="00147D4C">
        <w:rPr>
          <w:rFonts w:cs="Arial"/>
          <w:sz w:val="24"/>
          <w:szCs w:val="24"/>
        </w:rPr>
        <w:t xml:space="preserve"> 4 </w:t>
      </w:r>
      <w:r w:rsidR="003341E4" w:rsidRPr="00147D4C">
        <w:rPr>
          <w:rFonts w:cs="Arial"/>
          <w:sz w:val="24"/>
          <w:szCs w:val="24"/>
        </w:rPr>
        <w:t>centers used master diagnostica antibody ma</w:t>
      </w:r>
      <w:r w:rsidR="007A5C11" w:rsidRPr="00147D4C">
        <w:rPr>
          <w:rFonts w:cs="Arial"/>
          <w:sz w:val="24"/>
          <w:szCs w:val="24"/>
        </w:rPr>
        <w:t>nually or on automated method, 9</w:t>
      </w:r>
      <w:r w:rsidR="003341E4" w:rsidRPr="00147D4C">
        <w:rPr>
          <w:rFonts w:cs="Arial"/>
          <w:sz w:val="24"/>
          <w:szCs w:val="24"/>
        </w:rPr>
        <w:t xml:space="preserve"> used Path in situ EP3 on automated platform, </w:t>
      </w:r>
      <w:r w:rsidR="007A5C11" w:rsidRPr="00147D4C">
        <w:rPr>
          <w:rFonts w:cs="Arial"/>
          <w:sz w:val="24"/>
          <w:szCs w:val="24"/>
        </w:rPr>
        <w:t xml:space="preserve">19 centers used manual platform with others antibodies </w:t>
      </w:r>
      <w:r w:rsidR="003341E4" w:rsidRPr="00147D4C">
        <w:rPr>
          <w:rFonts w:cs="Arial"/>
          <w:sz w:val="24"/>
          <w:szCs w:val="24"/>
        </w:rPr>
        <w:t>and</w:t>
      </w:r>
      <w:r w:rsidR="007A5C11" w:rsidRPr="00147D4C">
        <w:rPr>
          <w:rFonts w:cs="Arial"/>
          <w:sz w:val="24"/>
          <w:szCs w:val="24"/>
        </w:rPr>
        <w:t xml:space="preserve"> 1</w:t>
      </w:r>
      <w:r w:rsidR="008E7070">
        <w:rPr>
          <w:rFonts w:cs="Arial"/>
          <w:sz w:val="24"/>
          <w:szCs w:val="24"/>
        </w:rPr>
        <w:t>8</w:t>
      </w:r>
      <w:r w:rsidR="007A5C11" w:rsidRPr="00147D4C">
        <w:rPr>
          <w:rFonts w:cs="Arial"/>
          <w:sz w:val="24"/>
          <w:szCs w:val="24"/>
        </w:rPr>
        <w:t xml:space="preserve"> centers used automated platform</w:t>
      </w:r>
      <w:r w:rsidR="008E7070">
        <w:rPr>
          <w:rFonts w:cs="Arial"/>
          <w:sz w:val="24"/>
          <w:szCs w:val="24"/>
        </w:rPr>
        <w:t>s</w:t>
      </w:r>
      <w:r w:rsidR="007A5C11" w:rsidRPr="00147D4C">
        <w:rPr>
          <w:rFonts w:cs="Arial"/>
          <w:sz w:val="24"/>
          <w:szCs w:val="24"/>
        </w:rPr>
        <w:t xml:space="preserve"> with</w:t>
      </w:r>
      <w:r w:rsidR="00147D4C">
        <w:rPr>
          <w:rFonts w:cs="Arial"/>
          <w:sz w:val="24"/>
          <w:szCs w:val="24"/>
        </w:rPr>
        <w:t xml:space="preserve"> range of</w:t>
      </w:r>
      <w:r w:rsidR="007A5C11" w:rsidRPr="00147D4C">
        <w:rPr>
          <w:rFonts w:cs="Arial"/>
          <w:sz w:val="24"/>
          <w:szCs w:val="24"/>
        </w:rPr>
        <w:t xml:space="preserve"> antibodies</w:t>
      </w:r>
      <w:r w:rsidR="00147D4C" w:rsidRPr="00147D4C">
        <w:rPr>
          <w:rFonts w:cs="Arial"/>
          <w:sz w:val="24"/>
          <w:szCs w:val="24"/>
        </w:rPr>
        <w:t>.</w:t>
      </w:r>
    </w:p>
    <w:p w14:paraId="4584EBFD" w14:textId="77777777" w:rsidR="00EA19CC" w:rsidRPr="00EA3733" w:rsidRDefault="003341E4" w:rsidP="00A5557B">
      <w:pPr>
        <w:tabs>
          <w:tab w:val="left" w:pos="2190"/>
        </w:tabs>
        <w:spacing w:line="360" w:lineRule="auto"/>
        <w:ind w:right="146"/>
        <w:jc w:val="both"/>
        <w:rPr>
          <w:rFonts w:cs="Arial"/>
          <w:b/>
          <w:color w:val="1F497D" w:themeColor="text2"/>
          <w:sz w:val="24"/>
          <w:szCs w:val="24"/>
        </w:rPr>
      </w:pPr>
      <w:r>
        <w:rPr>
          <w:rFonts w:cs="Arial"/>
          <w:b/>
          <w:noProof/>
          <w:color w:val="1F497D" w:themeColor="text2"/>
          <w:sz w:val="24"/>
          <w:szCs w:val="24"/>
        </w:rPr>
        <w:drawing>
          <wp:anchor distT="0" distB="0" distL="114300" distR="114300" simplePos="0" relativeHeight="251658752" behindDoc="1" locked="0" layoutInCell="1" allowOverlap="1" wp14:anchorId="7E4885D7" wp14:editId="3F43911A">
            <wp:simplePos x="0" y="0"/>
            <wp:positionH relativeFrom="column">
              <wp:posOffset>15875</wp:posOffset>
            </wp:positionH>
            <wp:positionV relativeFrom="paragraph">
              <wp:posOffset>292735</wp:posOffset>
            </wp:positionV>
            <wp:extent cx="5960745" cy="4467860"/>
            <wp:effectExtent l="19050" t="0" r="20955" b="8890"/>
            <wp:wrapThrough wrapText="bothSides">
              <wp:wrapPolygon edited="0">
                <wp:start x="0" y="0"/>
                <wp:lineTo x="0" y="21551"/>
                <wp:lineTo x="21538" y="21551"/>
                <wp:lineTo x="21538" y="0"/>
                <wp:lineTo x="0" y="0"/>
              </wp:wrapPolygon>
            </wp:wrapThrough>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EA19CC" w:rsidRPr="00EA3733">
        <w:rPr>
          <w:rFonts w:cs="Arial"/>
          <w:b/>
          <w:color w:val="1F497D" w:themeColor="text2"/>
          <w:sz w:val="24"/>
          <w:szCs w:val="24"/>
        </w:rPr>
        <w:t xml:space="preserve">Fig </w:t>
      </w:r>
      <w:r w:rsidR="00EA19CC">
        <w:rPr>
          <w:rFonts w:cs="Arial"/>
          <w:b/>
          <w:color w:val="1F497D" w:themeColor="text2"/>
          <w:sz w:val="24"/>
          <w:szCs w:val="24"/>
        </w:rPr>
        <w:t xml:space="preserve">2: </w:t>
      </w:r>
      <w:r w:rsidR="008C387D">
        <w:rPr>
          <w:rFonts w:cs="Arial"/>
          <w:b/>
          <w:color w:val="1F497D" w:themeColor="text2"/>
          <w:sz w:val="24"/>
          <w:szCs w:val="24"/>
        </w:rPr>
        <w:t>Concordance rates</w:t>
      </w:r>
      <w:r w:rsidR="00EA19CC">
        <w:rPr>
          <w:rFonts w:cs="Arial"/>
          <w:b/>
          <w:color w:val="1F497D" w:themeColor="text2"/>
          <w:sz w:val="24"/>
          <w:szCs w:val="24"/>
        </w:rPr>
        <w:t xml:space="preserve"> in different cores</w:t>
      </w:r>
    </w:p>
    <w:p w14:paraId="175E1BC9" w14:textId="77777777" w:rsidR="00EA19CC" w:rsidRPr="00BF62F4" w:rsidRDefault="007F5D06" w:rsidP="00A5557B">
      <w:pPr>
        <w:spacing w:line="360" w:lineRule="auto"/>
        <w:ind w:right="146"/>
        <w:jc w:val="both"/>
        <w:rPr>
          <w:rFonts w:cs="Arial"/>
          <w:sz w:val="24"/>
          <w:szCs w:val="24"/>
        </w:rPr>
      </w:pPr>
      <w:r>
        <w:rPr>
          <w:rFonts w:cs="Arial"/>
          <w:noProof/>
          <w:sz w:val="24"/>
          <w:szCs w:val="24"/>
          <w:lang w:val="en-IN" w:eastAsia="en-IN"/>
        </w:rPr>
        <w:pict w14:anchorId="1E226000">
          <v:shapetype id="_x0000_t202" coordsize="21600,21600" o:spt="202" path="m,l,21600r21600,l21600,xe">
            <v:stroke joinstyle="miter"/>
            <v:path gradientshapeok="t" o:connecttype="rect"/>
          </v:shapetype>
          <v:shape id="_x0000_s1026" type="#_x0000_t202" style="position:absolute;left:0;text-align:left;margin-left:324pt;margin-top:109.2pt;width:174pt;height:227pt;z-index:251660800">
            <v:textbox>
              <w:txbxContent>
                <w:p w14:paraId="522D05C3" w14:textId="77777777" w:rsidR="008676FA" w:rsidRPr="002313B8" w:rsidRDefault="008676FA">
                  <w:pPr>
                    <w:rPr>
                      <w:b/>
                      <w:sz w:val="28"/>
                    </w:rPr>
                  </w:pPr>
                  <w:r w:rsidRPr="002313B8">
                    <w:rPr>
                      <w:b/>
                      <w:sz w:val="28"/>
                    </w:rPr>
                    <w:t>Fig 3</w:t>
                  </w:r>
                </w:p>
                <w:p w14:paraId="2442F750" w14:textId="77777777" w:rsidR="008676FA" w:rsidRPr="002313B8" w:rsidRDefault="008676FA" w:rsidP="00621C31">
                  <w:pPr>
                    <w:pStyle w:val="ListParagraph"/>
                    <w:numPr>
                      <w:ilvl w:val="0"/>
                      <w:numId w:val="8"/>
                    </w:numPr>
                    <w:rPr>
                      <w:sz w:val="24"/>
                    </w:rPr>
                  </w:pPr>
                  <w:r w:rsidRPr="002313B8">
                    <w:rPr>
                      <w:sz w:val="24"/>
                    </w:rPr>
                    <w:t>Ideal stained TMA from one participant</w:t>
                  </w:r>
                </w:p>
                <w:p w14:paraId="38167A00" w14:textId="77777777" w:rsidR="008676FA" w:rsidRPr="002313B8" w:rsidRDefault="008676FA" w:rsidP="00621C31">
                  <w:pPr>
                    <w:pStyle w:val="ListParagraph"/>
                    <w:numPr>
                      <w:ilvl w:val="0"/>
                      <w:numId w:val="8"/>
                    </w:numPr>
                    <w:rPr>
                      <w:sz w:val="24"/>
                    </w:rPr>
                  </w:pPr>
                  <w:r w:rsidRPr="002313B8">
                    <w:rPr>
                      <w:sz w:val="24"/>
                    </w:rPr>
                    <w:t xml:space="preserve">Participant with failed run where no cores stained </w:t>
                  </w:r>
                </w:p>
                <w:p w14:paraId="515325D8" w14:textId="77777777" w:rsidR="008676FA" w:rsidRPr="002313B8" w:rsidRDefault="008676FA" w:rsidP="00621C31">
                  <w:pPr>
                    <w:pStyle w:val="ListParagraph"/>
                    <w:numPr>
                      <w:ilvl w:val="0"/>
                      <w:numId w:val="8"/>
                    </w:numPr>
                    <w:rPr>
                      <w:sz w:val="24"/>
                    </w:rPr>
                  </w:pPr>
                  <w:r w:rsidRPr="002313B8">
                    <w:rPr>
                      <w:sz w:val="24"/>
                    </w:rPr>
                    <w:t xml:space="preserve">Participant with overstained cores giving false positive </w:t>
                  </w:r>
                  <w:r w:rsidR="002313B8" w:rsidRPr="002313B8">
                    <w:rPr>
                      <w:sz w:val="24"/>
                    </w:rPr>
                    <w:t>(Polyclonal</w:t>
                  </w:r>
                  <w:r w:rsidRPr="002313B8">
                    <w:rPr>
                      <w:sz w:val="24"/>
                    </w:rPr>
                    <w:t xml:space="preserve"> DAKO antibody on manual platform)</w:t>
                  </w:r>
                </w:p>
              </w:txbxContent>
            </v:textbox>
          </v:shape>
        </w:pict>
      </w:r>
      <w:r w:rsidR="00621C31">
        <w:rPr>
          <w:rFonts w:cs="Arial"/>
          <w:noProof/>
          <w:sz w:val="24"/>
          <w:szCs w:val="24"/>
        </w:rPr>
        <w:drawing>
          <wp:anchor distT="0" distB="0" distL="114300" distR="114300" simplePos="0" relativeHeight="251659776" behindDoc="0" locked="0" layoutInCell="1" allowOverlap="1" wp14:anchorId="27C99367" wp14:editId="7B28A11E">
            <wp:simplePos x="0" y="0"/>
            <wp:positionH relativeFrom="column">
              <wp:posOffset>-1104900</wp:posOffset>
            </wp:positionH>
            <wp:positionV relativeFrom="paragraph">
              <wp:posOffset>793115</wp:posOffset>
            </wp:positionV>
            <wp:extent cx="5943600" cy="4375150"/>
            <wp:effectExtent l="0" t="781050" r="0" b="768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 ruun 29.jpg"/>
                    <pic:cNvPicPr/>
                  </pic:nvPicPr>
                  <pic:blipFill>
                    <a:blip r:embed="rId10">
                      <a:extLst>
                        <a:ext uri="{28A0092B-C50C-407E-A947-70E740481C1C}">
                          <a14:useLocalDpi xmlns:a14="http://schemas.microsoft.com/office/drawing/2010/main" val="0"/>
                        </a:ext>
                      </a:extLst>
                    </a:blip>
                    <a:stretch>
                      <a:fillRect/>
                    </a:stretch>
                  </pic:blipFill>
                  <pic:spPr>
                    <a:xfrm rot="5400000">
                      <a:off x="0" y="0"/>
                      <a:ext cx="5943600" cy="4375150"/>
                    </a:xfrm>
                    <a:prstGeom prst="rect">
                      <a:avLst/>
                    </a:prstGeom>
                  </pic:spPr>
                </pic:pic>
              </a:graphicData>
            </a:graphic>
          </wp:anchor>
        </w:drawing>
      </w:r>
    </w:p>
    <w:p w14:paraId="105C9D74" w14:textId="77777777" w:rsidR="00BF247E" w:rsidRDefault="00146055" w:rsidP="00A5557B">
      <w:pPr>
        <w:tabs>
          <w:tab w:val="left" w:pos="2190"/>
        </w:tabs>
        <w:spacing w:line="360" w:lineRule="auto"/>
        <w:ind w:right="146"/>
        <w:jc w:val="both"/>
        <w:rPr>
          <w:rFonts w:cstheme="minorHAnsi"/>
          <w:sz w:val="24"/>
          <w:shd w:val="clear" w:color="auto" w:fill="FFFFFF"/>
        </w:rPr>
      </w:pPr>
      <w:r>
        <w:rPr>
          <w:rFonts w:cs="Arial"/>
          <w:sz w:val="24"/>
          <w:szCs w:val="24"/>
        </w:rPr>
        <w:t xml:space="preserve">Fig </w:t>
      </w:r>
      <w:r w:rsidR="008676FA">
        <w:rPr>
          <w:rFonts w:cs="Arial"/>
          <w:sz w:val="24"/>
          <w:szCs w:val="24"/>
        </w:rPr>
        <w:t>5</w:t>
      </w:r>
      <w:r>
        <w:rPr>
          <w:rFonts w:cs="Arial"/>
          <w:sz w:val="24"/>
          <w:szCs w:val="24"/>
        </w:rPr>
        <w:t xml:space="preserve"> gives antibodies and their test performance rates. </w:t>
      </w:r>
      <w:r w:rsidR="00BC427E">
        <w:rPr>
          <w:rFonts w:cs="Arial"/>
          <w:sz w:val="24"/>
          <w:szCs w:val="24"/>
        </w:rPr>
        <w:t>As seen due to licensing issues</w:t>
      </w:r>
      <w:r w:rsidR="003D56EC">
        <w:rPr>
          <w:rFonts w:cs="Arial"/>
          <w:sz w:val="24"/>
          <w:szCs w:val="24"/>
        </w:rPr>
        <w:t>,</w:t>
      </w:r>
      <w:r w:rsidR="00BC427E">
        <w:rPr>
          <w:rFonts w:cs="Arial"/>
          <w:sz w:val="24"/>
          <w:szCs w:val="24"/>
        </w:rPr>
        <w:t xml:space="preserve"> numerous non IVD antibodies have been used by participants and this is not recommended for a predictive marker like HER2. </w:t>
      </w:r>
      <w:r w:rsidR="006F6332">
        <w:rPr>
          <w:rFonts w:cs="Arial"/>
          <w:sz w:val="24"/>
          <w:szCs w:val="24"/>
        </w:rPr>
        <w:t xml:space="preserve">Use of IVD is recommended for </w:t>
      </w:r>
      <w:r w:rsidR="008C387D">
        <w:rPr>
          <w:rFonts w:cs="Arial"/>
          <w:sz w:val="24"/>
          <w:szCs w:val="24"/>
        </w:rPr>
        <w:t xml:space="preserve">testing </w:t>
      </w:r>
      <w:r w:rsidR="006F6332">
        <w:rPr>
          <w:rFonts w:cs="Arial"/>
          <w:sz w:val="24"/>
          <w:szCs w:val="24"/>
        </w:rPr>
        <w:t xml:space="preserve">a predictive marker like </w:t>
      </w:r>
      <w:r w:rsidR="002A487D" w:rsidRPr="00EA3733">
        <w:rPr>
          <w:rFonts w:cs="Arial"/>
          <w:sz w:val="24"/>
          <w:szCs w:val="24"/>
        </w:rPr>
        <w:t>HER2</w:t>
      </w:r>
      <w:r w:rsidR="006F6332">
        <w:rPr>
          <w:rFonts w:cs="Arial"/>
          <w:sz w:val="24"/>
          <w:szCs w:val="24"/>
        </w:rPr>
        <w:t xml:space="preserve"> as they give </w:t>
      </w:r>
      <w:r w:rsidR="00074F2A">
        <w:rPr>
          <w:rFonts w:cs="Arial"/>
          <w:sz w:val="24"/>
          <w:szCs w:val="24"/>
        </w:rPr>
        <w:t>results that are more consistent</w:t>
      </w:r>
      <w:r w:rsidR="006F6332">
        <w:rPr>
          <w:rFonts w:cs="Arial"/>
          <w:sz w:val="24"/>
          <w:szCs w:val="24"/>
        </w:rPr>
        <w:t>. It is observed that most new launches supply research use antibodies and are not able to maintain consistency. So while they may be pocket friendly in the long run they reduce test performances. Fa</w:t>
      </w:r>
      <w:r w:rsidR="00BC427E">
        <w:rPr>
          <w:rFonts w:cs="Arial"/>
          <w:sz w:val="24"/>
          <w:szCs w:val="24"/>
        </w:rPr>
        <w:t xml:space="preserve">ilure of FDA approved antibody to meet a benchmark of excellence reveals that even the best methods may fail for several reasons. </w:t>
      </w:r>
      <w:r w:rsidR="006F6332" w:rsidRPr="002A487D">
        <w:rPr>
          <w:rFonts w:cstheme="minorHAnsi"/>
          <w:color w:val="000000" w:themeColor="text1"/>
          <w:sz w:val="24"/>
          <w:szCs w:val="24"/>
        </w:rPr>
        <w:t>One chief cause of this variation is</w:t>
      </w:r>
      <w:r w:rsidR="003F43F7">
        <w:rPr>
          <w:rFonts w:cstheme="minorHAnsi"/>
          <w:color w:val="000000" w:themeColor="text1"/>
          <w:sz w:val="24"/>
          <w:szCs w:val="24"/>
        </w:rPr>
        <w:t xml:space="preserve"> </w:t>
      </w:r>
      <w:r w:rsidR="006F6332" w:rsidRPr="009846AF">
        <w:rPr>
          <w:rFonts w:cstheme="minorHAnsi"/>
          <w:sz w:val="24"/>
        </w:rPr>
        <w:t>conductivity of water, which may cause failed runs.</w:t>
      </w:r>
      <w:r w:rsidR="003F43F7">
        <w:rPr>
          <w:rFonts w:cstheme="minorHAnsi"/>
          <w:sz w:val="24"/>
        </w:rPr>
        <w:t xml:space="preserve"> </w:t>
      </w:r>
      <w:r w:rsidR="009846AF" w:rsidRPr="009846AF">
        <w:rPr>
          <w:rFonts w:cstheme="minorHAnsi"/>
          <w:sz w:val="24"/>
        </w:rPr>
        <w:t>Conductivity of water for Ventana</w:t>
      </w:r>
      <w:r w:rsidR="003F43F7">
        <w:rPr>
          <w:rFonts w:cstheme="minorHAnsi"/>
          <w:sz w:val="24"/>
        </w:rPr>
        <w:t xml:space="preserve"> </w:t>
      </w:r>
      <w:r w:rsidR="009846AF" w:rsidRPr="009846AF">
        <w:rPr>
          <w:rFonts w:cstheme="minorHAnsi"/>
          <w:sz w:val="24"/>
        </w:rPr>
        <w:t xml:space="preserve">machine should be </w:t>
      </w:r>
      <w:r w:rsidR="00442E6E" w:rsidRPr="009846AF">
        <w:rPr>
          <w:rFonts w:cstheme="minorHAnsi"/>
          <w:sz w:val="24"/>
        </w:rPr>
        <w:t>&lt;1</w:t>
      </w:r>
      <w:r w:rsidR="00442E6E" w:rsidRPr="009846AF">
        <w:rPr>
          <w:rFonts w:cstheme="minorHAnsi"/>
          <w:sz w:val="24"/>
          <w:shd w:val="clear" w:color="auto" w:fill="FFFFFF"/>
        </w:rPr>
        <w:t>muS/cm</w:t>
      </w:r>
      <w:r w:rsidR="009846AF" w:rsidRPr="009846AF">
        <w:rPr>
          <w:rFonts w:cstheme="minorHAnsi"/>
          <w:sz w:val="24"/>
          <w:shd w:val="clear" w:color="auto" w:fill="FFFFFF"/>
        </w:rPr>
        <w:t xml:space="preserve"> and</w:t>
      </w:r>
      <w:r w:rsidR="00442E6E" w:rsidRPr="009846AF">
        <w:rPr>
          <w:rFonts w:cstheme="minorHAnsi"/>
          <w:sz w:val="24"/>
          <w:shd w:val="clear" w:color="auto" w:fill="FFFFFF"/>
        </w:rPr>
        <w:t xml:space="preserve"> type II water </w:t>
      </w:r>
      <w:r w:rsidR="009846AF" w:rsidRPr="009846AF">
        <w:rPr>
          <w:rFonts w:cstheme="minorHAnsi"/>
          <w:sz w:val="24"/>
          <w:shd w:val="clear" w:color="auto" w:fill="FFFFFF"/>
        </w:rPr>
        <w:t>is preferred for immuno</w:t>
      </w:r>
      <w:r w:rsidR="002A487D">
        <w:rPr>
          <w:rFonts w:cstheme="minorHAnsi"/>
          <w:sz w:val="24"/>
          <w:shd w:val="clear" w:color="auto" w:fill="FFFFFF"/>
        </w:rPr>
        <w:t>-</w:t>
      </w:r>
      <w:r w:rsidRPr="009846AF">
        <w:rPr>
          <w:rFonts w:cstheme="minorHAnsi"/>
          <w:sz w:val="24"/>
          <w:shd w:val="clear" w:color="auto" w:fill="FFFFFF"/>
        </w:rPr>
        <w:t>strainers</w:t>
      </w:r>
      <w:r w:rsidR="009846AF" w:rsidRPr="009846AF">
        <w:rPr>
          <w:rFonts w:cstheme="minorHAnsi"/>
          <w:sz w:val="24"/>
          <w:shd w:val="clear" w:color="auto" w:fill="FFFFFF"/>
        </w:rPr>
        <w:t>.</w:t>
      </w:r>
      <w:r w:rsidR="008C387D">
        <w:rPr>
          <w:rFonts w:cstheme="minorHAnsi"/>
          <w:sz w:val="24"/>
          <w:shd w:val="clear" w:color="auto" w:fill="FFFFFF"/>
        </w:rPr>
        <w:t xml:space="preserve"> Use of charged slides is essential in Ventana platforms to ensure test accuracy. </w:t>
      </w:r>
      <w:r w:rsidR="00A537CC">
        <w:rPr>
          <w:rFonts w:cstheme="minorHAnsi"/>
          <w:sz w:val="24"/>
          <w:shd w:val="clear" w:color="auto" w:fill="FFFFFF"/>
        </w:rPr>
        <w:t xml:space="preserve">There are a whole lot of vendors that supply charged slides and in our experience all do not give optimal results. </w:t>
      </w:r>
    </w:p>
    <w:p w14:paraId="4C111DCB" w14:textId="77777777" w:rsidR="00381230" w:rsidRDefault="007F5D06" w:rsidP="00A5557B">
      <w:pPr>
        <w:tabs>
          <w:tab w:val="left" w:pos="2190"/>
        </w:tabs>
        <w:spacing w:line="360" w:lineRule="auto"/>
        <w:ind w:right="146"/>
        <w:jc w:val="both"/>
        <w:rPr>
          <w:rFonts w:cstheme="minorHAnsi"/>
          <w:sz w:val="24"/>
          <w:shd w:val="clear" w:color="auto" w:fill="FFFFFF"/>
        </w:rPr>
      </w:pPr>
      <w:r>
        <w:rPr>
          <w:rFonts w:cstheme="minorHAnsi"/>
          <w:noProof/>
          <w:sz w:val="24"/>
          <w:lang w:val="en-IN" w:eastAsia="en-IN"/>
        </w:rPr>
        <w:pict w14:anchorId="60B9FFC5">
          <v:shape id="_x0000_s1028" type="#_x0000_t202" style="position:absolute;left:0;text-align:left;margin-left:11.5pt;margin-top:258.35pt;width:459.5pt;height:61.5pt;z-index:251661824" stroked="f">
            <v:textbox>
              <w:txbxContent>
                <w:p w14:paraId="09E79C6F" w14:textId="77777777" w:rsidR="008676FA" w:rsidRDefault="008676FA" w:rsidP="008676FA">
                  <w:pPr>
                    <w:pStyle w:val="NoSpacing"/>
                  </w:pPr>
                  <w:r>
                    <w:t>Fig 4: A) Core 4 which was negative</w:t>
                  </w:r>
                  <w:r w:rsidR="00DE2047">
                    <w:t>, was</w:t>
                  </w:r>
                  <w:r>
                    <w:t xml:space="preserve"> labeled as equivocal by one participant B) Core 2 which was positive reported as score 1+ by a center C) core 3 was called as score 3+ but on comparison with D) which was the positive control EQAS team labeled as equivocal, thus </w:t>
                  </w:r>
                  <w:r w:rsidR="00DE2047">
                    <w:t xml:space="preserve">in house </w:t>
                  </w:r>
                  <w:r>
                    <w:t>control</w:t>
                  </w:r>
                  <w:r w:rsidR="00DE2047">
                    <w:t>s</w:t>
                  </w:r>
                  <w:r>
                    <w:t xml:space="preserve"> helps us to evaluate</w:t>
                  </w:r>
                  <w:r w:rsidR="00DE2047">
                    <w:t xml:space="preserve"> TMA slide</w:t>
                  </w:r>
                  <w:r>
                    <w:t xml:space="preserve"> better </w:t>
                  </w:r>
                </w:p>
              </w:txbxContent>
            </v:textbox>
          </v:shape>
        </w:pict>
      </w:r>
      <w:r w:rsidR="00381230">
        <w:rPr>
          <w:rFonts w:cstheme="minorHAnsi"/>
          <w:noProof/>
          <w:sz w:val="24"/>
          <w:shd w:val="clear" w:color="auto" w:fill="FFFFFF"/>
        </w:rPr>
        <w:drawing>
          <wp:inline distT="0" distB="0" distL="0" distR="0" wp14:anchorId="5A961CC7" wp14:editId="4BDAF3EE">
            <wp:extent cx="5943600" cy="3343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2run29.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7B0C67E" w14:textId="77777777" w:rsidR="00381230" w:rsidRDefault="00381230" w:rsidP="00BC427E">
      <w:pPr>
        <w:tabs>
          <w:tab w:val="left" w:pos="2190"/>
        </w:tabs>
        <w:spacing w:line="360" w:lineRule="auto"/>
        <w:ind w:right="146"/>
        <w:jc w:val="both"/>
        <w:rPr>
          <w:rFonts w:cs="Arial"/>
          <w:color w:val="FF0000"/>
          <w:sz w:val="24"/>
          <w:szCs w:val="24"/>
          <w:highlight w:val="yellow"/>
        </w:rPr>
      </w:pPr>
    </w:p>
    <w:p w14:paraId="63BBB021" w14:textId="77777777" w:rsidR="00381230" w:rsidRPr="008676FA" w:rsidRDefault="00381230" w:rsidP="00BC427E">
      <w:pPr>
        <w:tabs>
          <w:tab w:val="left" w:pos="2190"/>
        </w:tabs>
        <w:spacing w:line="360" w:lineRule="auto"/>
        <w:ind w:right="146"/>
        <w:jc w:val="both"/>
        <w:rPr>
          <w:rFonts w:cs="Arial"/>
          <w:sz w:val="24"/>
          <w:szCs w:val="24"/>
        </w:rPr>
      </w:pPr>
    </w:p>
    <w:p w14:paraId="3260D275" w14:textId="77777777" w:rsidR="00DE2047" w:rsidRDefault="00DE2047" w:rsidP="00BC427E">
      <w:pPr>
        <w:tabs>
          <w:tab w:val="left" w:pos="2190"/>
        </w:tabs>
        <w:spacing w:line="360" w:lineRule="auto"/>
        <w:ind w:right="146"/>
        <w:jc w:val="both"/>
        <w:rPr>
          <w:rFonts w:cs="Arial"/>
          <w:sz w:val="24"/>
          <w:szCs w:val="24"/>
        </w:rPr>
      </w:pPr>
    </w:p>
    <w:p w14:paraId="47769EA2" w14:textId="77777777" w:rsidR="00BC427E" w:rsidRPr="008676FA" w:rsidRDefault="00BC427E" w:rsidP="00BC427E">
      <w:pPr>
        <w:tabs>
          <w:tab w:val="left" w:pos="2190"/>
        </w:tabs>
        <w:spacing w:line="360" w:lineRule="auto"/>
        <w:ind w:right="146"/>
        <w:jc w:val="both"/>
        <w:rPr>
          <w:rFonts w:cs="Arial"/>
          <w:sz w:val="24"/>
          <w:szCs w:val="24"/>
        </w:rPr>
      </w:pPr>
      <w:r w:rsidRPr="008676FA">
        <w:rPr>
          <w:rFonts w:cs="Arial"/>
          <w:sz w:val="24"/>
          <w:szCs w:val="24"/>
        </w:rPr>
        <w:t xml:space="preserve">Some issues observed in staining reaction </w:t>
      </w:r>
      <w:r w:rsidR="00BF247E" w:rsidRPr="008676FA">
        <w:rPr>
          <w:rFonts w:cs="Arial"/>
          <w:sz w:val="24"/>
          <w:szCs w:val="24"/>
        </w:rPr>
        <w:t xml:space="preserve">in the run </w:t>
      </w:r>
      <w:r w:rsidRPr="008676FA">
        <w:rPr>
          <w:rFonts w:cs="Arial"/>
          <w:sz w:val="24"/>
          <w:szCs w:val="24"/>
        </w:rPr>
        <w:t xml:space="preserve">were </w:t>
      </w:r>
    </w:p>
    <w:p w14:paraId="2CB0754F" w14:textId="77777777" w:rsidR="00AC2C0C" w:rsidRPr="008676FA" w:rsidRDefault="002877E5" w:rsidP="00BC427E">
      <w:pPr>
        <w:pStyle w:val="ListParagraph"/>
        <w:numPr>
          <w:ilvl w:val="0"/>
          <w:numId w:val="5"/>
        </w:numPr>
        <w:tabs>
          <w:tab w:val="left" w:pos="2190"/>
        </w:tabs>
        <w:spacing w:line="360" w:lineRule="auto"/>
        <w:ind w:right="146"/>
        <w:jc w:val="both"/>
        <w:rPr>
          <w:rFonts w:cs="Arial"/>
          <w:sz w:val="24"/>
          <w:szCs w:val="24"/>
        </w:rPr>
      </w:pPr>
      <w:r w:rsidRPr="008676FA">
        <w:rPr>
          <w:rFonts w:cs="Arial"/>
          <w:sz w:val="24"/>
          <w:szCs w:val="24"/>
        </w:rPr>
        <w:t xml:space="preserve">Core 2, core 8 and core 12 </w:t>
      </w:r>
      <w:r w:rsidR="001A3D91">
        <w:rPr>
          <w:rFonts w:cs="Arial"/>
          <w:sz w:val="24"/>
          <w:szCs w:val="24"/>
        </w:rPr>
        <w:t>were</w:t>
      </w:r>
      <w:r w:rsidRPr="008676FA">
        <w:rPr>
          <w:rFonts w:cs="Arial"/>
          <w:sz w:val="24"/>
          <w:szCs w:val="24"/>
        </w:rPr>
        <w:t xml:space="preserve"> expected </w:t>
      </w:r>
      <w:r w:rsidR="001A3D91">
        <w:rPr>
          <w:rFonts w:cs="Arial"/>
          <w:sz w:val="24"/>
          <w:szCs w:val="24"/>
        </w:rPr>
        <w:t>to be</w:t>
      </w:r>
      <w:r w:rsidR="00DA6143" w:rsidRPr="008676FA">
        <w:rPr>
          <w:rFonts w:cs="Arial"/>
          <w:sz w:val="24"/>
          <w:szCs w:val="24"/>
        </w:rPr>
        <w:t xml:space="preserve"> positive </w:t>
      </w:r>
      <w:r w:rsidR="001A3D91">
        <w:rPr>
          <w:rFonts w:cs="Arial"/>
          <w:sz w:val="24"/>
          <w:szCs w:val="24"/>
        </w:rPr>
        <w:t xml:space="preserve">score </w:t>
      </w:r>
      <w:r w:rsidR="00DA6143" w:rsidRPr="008676FA">
        <w:rPr>
          <w:rFonts w:cs="Arial"/>
          <w:sz w:val="24"/>
          <w:szCs w:val="24"/>
        </w:rPr>
        <w:t xml:space="preserve">3+ but </w:t>
      </w:r>
      <w:r w:rsidR="008676FA" w:rsidRPr="008676FA">
        <w:rPr>
          <w:rFonts w:cs="Arial"/>
          <w:sz w:val="24"/>
          <w:szCs w:val="24"/>
        </w:rPr>
        <w:t>seven</w:t>
      </w:r>
      <w:r w:rsidRPr="008676FA">
        <w:rPr>
          <w:rFonts w:cs="Arial"/>
          <w:sz w:val="24"/>
          <w:szCs w:val="24"/>
        </w:rPr>
        <w:t xml:space="preserve"> ce</w:t>
      </w:r>
      <w:r w:rsidR="008676FA" w:rsidRPr="008676FA">
        <w:rPr>
          <w:rFonts w:cs="Arial"/>
          <w:sz w:val="24"/>
          <w:szCs w:val="24"/>
        </w:rPr>
        <w:t xml:space="preserve">nters got the negative staining </w:t>
      </w:r>
      <w:r w:rsidR="001A3D91">
        <w:rPr>
          <w:rFonts w:cs="Arial"/>
          <w:sz w:val="24"/>
          <w:szCs w:val="24"/>
        </w:rPr>
        <w:t>using</w:t>
      </w:r>
      <w:r w:rsidR="008676FA" w:rsidRPr="008676FA">
        <w:rPr>
          <w:rFonts w:cs="Arial"/>
          <w:sz w:val="24"/>
          <w:szCs w:val="24"/>
        </w:rPr>
        <w:t xml:space="preserve"> manual method. The antibodies used were </w:t>
      </w:r>
      <w:r w:rsidRPr="008676FA">
        <w:rPr>
          <w:rFonts w:cs="Arial"/>
          <w:sz w:val="24"/>
          <w:szCs w:val="24"/>
        </w:rPr>
        <w:t xml:space="preserve">EP3 clone </w:t>
      </w:r>
      <w:r w:rsidR="00AC2C0C" w:rsidRPr="008676FA">
        <w:rPr>
          <w:rFonts w:cs="Arial"/>
          <w:sz w:val="24"/>
          <w:szCs w:val="24"/>
        </w:rPr>
        <w:t xml:space="preserve">of </w:t>
      </w:r>
      <w:r w:rsidRPr="008676FA">
        <w:rPr>
          <w:rFonts w:cs="Arial"/>
          <w:sz w:val="24"/>
          <w:szCs w:val="24"/>
        </w:rPr>
        <w:t>master Diagnostica</w:t>
      </w:r>
      <w:r w:rsidR="00C130A7">
        <w:rPr>
          <w:rFonts w:cs="Arial"/>
          <w:sz w:val="24"/>
          <w:szCs w:val="24"/>
        </w:rPr>
        <w:t xml:space="preserve"> </w:t>
      </w:r>
      <w:r w:rsidR="00DA6143" w:rsidRPr="008676FA">
        <w:rPr>
          <w:rFonts w:cs="Arial"/>
          <w:sz w:val="24"/>
          <w:szCs w:val="24"/>
        </w:rPr>
        <w:t>(n=1)</w:t>
      </w:r>
      <w:r w:rsidR="00AC2C0C" w:rsidRPr="008676FA">
        <w:rPr>
          <w:rFonts w:cs="Arial"/>
          <w:sz w:val="24"/>
          <w:szCs w:val="24"/>
        </w:rPr>
        <w:t>,</w:t>
      </w:r>
      <w:r w:rsidRPr="008676FA">
        <w:rPr>
          <w:rFonts w:cs="Arial"/>
          <w:sz w:val="24"/>
          <w:szCs w:val="24"/>
        </w:rPr>
        <w:t xml:space="preserve"> Diagnostic biosystem</w:t>
      </w:r>
      <w:r w:rsidR="00C130A7">
        <w:rPr>
          <w:rFonts w:cs="Arial"/>
          <w:sz w:val="24"/>
          <w:szCs w:val="24"/>
        </w:rPr>
        <w:t xml:space="preserve"> </w:t>
      </w:r>
      <w:r w:rsidR="00DA6143" w:rsidRPr="008676FA">
        <w:rPr>
          <w:rFonts w:cs="Arial"/>
          <w:sz w:val="24"/>
          <w:szCs w:val="24"/>
        </w:rPr>
        <w:t>(n=1)</w:t>
      </w:r>
      <w:r w:rsidR="00A53877">
        <w:rPr>
          <w:rFonts w:cs="Arial"/>
          <w:sz w:val="24"/>
          <w:szCs w:val="24"/>
        </w:rPr>
        <w:t>, B</w:t>
      </w:r>
      <w:r w:rsidRPr="008676FA">
        <w:rPr>
          <w:rFonts w:cs="Arial"/>
          <w:sz w:val="24"/>
          <w:szCs w:val="24"/>
        </w:rPr>
        <w:t>iogenex</w:t>
      </w:r>
      <w:r w:rsidR="00DA6143" w:rsidRPr="008676FA">
        <w:rPr>
          <w:rFonts w:cs="Arial"/>
          <w:sz w:val="24"/>
          <w:szCs w:val="24"/>
        </w:rPr>
        <w:t xml:space="preserve"> (n=1) and path in situ (n=4) </w:t>
      </w:r>
      <w:r w:rsidR="008676FA" w:rsidRPr="008676FA">
        <w:rPr>
          <w:rFonts w:cs="Arial"/>
          <w:sz w:val="24"/>
          <w:szCs w:val="24"/>
        </w:rPr>
        <w:t>antibody</w:t>
      </w:r>
      <w:r w:rsidR="00AC2C0C" w:rsidRPr="008676FA">
        <w:rPr>
          <w:rFonts w:cs="Arial"/>
          <w:sz w:val="24"/>
          <w:szCs w:val="24"/>
        </w:rPr>
        <w:t>. Less retrieval time and manual platforms result in underreporti</w:t>
      </w:r>
      <w:r w:rsidR="00941C94">
        <w:rPr>
          <w:rFonts w:cs="Arial"/>
          <w:sz w:val="24"/>
          <w:szCs w:val="24"/>
        </w:rPr>
        <w:t xml:space="preserve">ng of positive staining and </w:t>
      </w:r>
      <w:r w:rsidR="00AC2C0C" w:rsidRPr="008676FA">
        <w:rPr>
          <w:rFonts w:cs="Arial"/>
          <w:sz w:val="24"/>
          <w:szCs w:val="24"/>
        </w:rPr>
        <w:t>interpretation issues.</w:t>
      </w:r>
    </w:p>
    <w:p w14:paraId="089123FB" w14:textId="77777777" w:rsidR="00BC427E" w:rsidRPr="00F65BC0" w:rsidRDefault="00A53877" w:rsidP="00F65BC0">
      <w:pPr>
        <w:pStyle w:val="ListParagraph"/>
        <w:numPr>
          <w:ilvl w:val="0"/>
          <w:numId w:val="5"/>
        </w:numPr>
        <w:tabs>
          <w:tab w:val="left" w:pos="2190"/>
        </w:tabs>
        <w:spacing w:line="360" w:lineRule="auto"/>
        <w:ind w:right="146"/>
        <w:jc w:val="both"/>
        <w:rPr>
          <w:rFonts w:cs="Arial"/>
          <w:sz w:val="24"/>
          <w:szCs w:val="24"/>
        </w:rPr>
      </w:pPr>
      <w:r>
        <w:rPr>
          <w:rFonts w:cs="Arial"/>
          <w:sz w:val="24"/>
          <w:szCs w:val="24"/>
        </w:rPr>
        <w:t>The cores expected to give negative result (</w:t>
      </w:r>
      <w:r w:rsidR="00835740" w:rsidRPr="009F7DB1">
        <w:rPr>
          <w:rFonts w:cs="Arial"/>
          <w:sz w:val="24"/>
          <w:szCs w:val="24"/>
        </w:rPr>
        <w:t>core 4 and core 9</w:t>
      </w:r>
      <w:r>
        <w:rPr>
          <w:rFonts w:cs="Arial"/>
          <w:sz w:val="24"/>
          <w:szCs w:val="24"/>
        </w:rPr>
        <w:t>) showed stronger staining and an equivocal pattern in ten participant TMA.</w:t>
      </w:r>
      <w:r w:rsidR="00C130A7">
        <w:rPr>
          <w:rFonts w:cs="Arial"/>
          <w:sz w:val="24"/>
          <w:szCs w:val="24"/>
        </w:rPr>
        <w:t xml:space="preserve"> </w:t>
      </w:r>
      <w:r>
        <w:rPr>
          <w:rFonts w:cs="Arial"/>
          <w:sz w:val="24"/>
          <w:szCs w:val="24"/>
        </w:rPr>
        <w:t xml:space="preserve">Again these were manual staining with following </w:t>
      </w:r>
      <w:r w:rsidR="001A3D91">
        <w:rPr>
          <w:rFonts w:cs="Arial"/>
          <w:sz w:val="24"/>
          <w:szCs w:val="24"/>
        </w:rPr>
        <w:t>antibodies: -</w:t>
      </w:r>
      <w:r w:rsidR="00DA6143" w:rsidRPr="009F7DB1">
        <w:rPr>
          <w:rFonts w:cs="Arial"/>
          <w:sz w:val="24"/>
          <w:szCs w:val="24"/>
        </w:rPr>
        <w:t>SP</w:t>
      </w:r>
      <w:r>
        <w:rPr>
          <w:rFonts w:cs="Arial"/>
          <w:sz w:val="24"/>
          <w:szCs w:val="24"/>
        </w:rPr>
        <w:t>3 clone of Diagnostic Biosystem</w:t>
      </w:r>
      <w:r w:rsidR="00C130A7">
        <w:rPr>
          <w:rFonts w:cs="Arial"/>
          <w:sz w:val="24"/>
          <w:szCs w:val="24"/>
        </w:rPr>
        <w:t xml:space="preserve"> (</w:t>
      </w:r>
      <w:r>
        <w:rPr>
          <w:rFonts w:cs="Arial"/>
          <w:sz w:val="24"/>
          <w:szCs w:val="24"/>
        </w:rPr>
        <w:t xml:space="preserve">n=2), </w:t>
      </w:r>
      <w:r w:rsidR="00DA6143" w:rsidRPr="009F7DB1">
        <w:rPr>
          <w:rFonts w:cs="Arial"/>
          <w:sz w:val="24"/>
          <w:szCs w:val="24"/>
        </w:rPr>
        <w:t xml:space="preserve">master </w:t>
      </w:r>
      <w:r w:rsidRPr="009F7DB1">
        <w:rPr>
          <w:rFonts w:cs="Arial"/>
          <w:sz w:val="24"/>
          <w:szCs w:val="24"/>
        </w:rPr>
        <w:t>Diagnostic</w:t>
      </w:r>
      <w:r>
        <w:rPr>
          <w:rFonts w:cs="Arial"/>
          <w:sz w:val="24"/>
          <w:szCs w:val="24"/>
        </w:rPr>
        <w:t>a</w:t>
      </w:r>
      <w:r w:rsidR="00C130A7">
        <w:rPr>
          <w:rFonts w:cs="Arial"/>
          <w:sz w:val="24"/>
          <w:szCs w:val="24"/>
        </w:rPr>
        <w:t xml:space="preserve"> (</w:t>
      </w:r>
      <w:r>
        <w:rPr>
          <w:rFonts w:cs="Arial"/>
          <w:sz w:val="24"/>
          <w:szCs w:val="24"/>
        </w:rPr>
        <w:t xml:space="preserve">n=3), </w:t>
      </w:r>
      <w:r w:rsidR="00DA6143" w:rsidRPr="009F7DB1">
        <w:rPr>
          <w:rFonts w:cs="Arial"/>
          <w:sz w:val="24"/>
          <w:szCs w:val="24"/>
        </w:rPr>
        <w:t>Dianova</w:t>
      </w:r>
      <w:r w:rsidR="00C130A7">
        <w:rPr>
          <w:rFonts w:cs="Arial"/>
          <w:sz w:val="24"/>
          <w:szCs w:val="24"/>
        </w:rPr>
        <w:t xml:space="preserve"> (</w:t>
      </w:r>
      <w:r>
        <w:rPr>
          <w:rFonts w:cs="Arial"/>
          <w:sz w:val="24"/>
          <w:szCs w:val="24"/>
        </w:rPr>
        <w:t xml:space="preserve">n=1) antibody, </w:t>
      </w:r>
      <w:r w:rsidR="005778C4" w:rsidRPr="009F7DB1">
        <w:rPr>
          <w:rFonts w:cs="Arial"/>
          <w:sz w:val="24"/>
          <w:szCs w:val="24"/>
        </w:rPr>
        <w:t>Dako antibody with polyclonal clone</w:t>
      </w:r>
      <w:r w:rsidR="00C130A7">
        <w:rPr>
          <w:rFonts w:cs="Arial"/>
          <w:sz w:val="24"/>
          <w:szCs w:val="24"/>
        </w:rPr>
        <w:t xml:space="preserve"> (</w:t>
      </w:r>
      <w:r>
        <w:rPr>
          <w:rFonts w:cs="Arial"/>
          <w:sz w:val="24"/>
          <w:szCs w:val="24"/>
        </w:rPr>
        <w:t>n=1)</w:t>
      </w:r>
      <w:r w:rsidR="005778C4" w:rsidRPr="009F7DB1">
        <w:rPr>
          <w:rFonts w:cs="Arial"/>
          <w:sz w:val="24"/>
          <w:szCs w:val="24"/>
        </w:rPr>
        <w:t>, IHC042-1 clone of Genome</w:t>
      </w:r>
      <w:r w:rsidR="00C130A7">
        <w:rPr>
          <w:rFonts w:cs="Arial"/>
          <w:sz w:val="24"/>
          <w:szCs w:val="24"/>
        </w:rPr>
        <w:t xml:space="preserve"> (</w:t>
      </w:r>
      <w:r>
        <w:rPr>
          <w:rFonts w:cs="Arial"/>
          <w:sz w:val="24"/>
          <w:szCs w:val="24"/>
        </w:rPr>
        <w:t>n=2)</w:t>
      </w:r>
      <w:r w:rsidR="005778C4" w:rsidRPr="009F7DB1">
        <w:rPr>
          <w:rFonts w:cs="Arial"/>
          <w:sz w:val="24"/>
          <w:szCs w:val="24"/>
        </w:rPr>
        <w:t xml:space="preserve"> and Bio-SB</w:t>
      </w:r>
      <w:r w:rsidR="00C130A7">
        <w:rPr>
          <w:rFonts w:cs="Arial"/>
          <w:sz w:val="24"/>
          <w:szCs w:val="24"/>
        </w:rPr>
        <w:t xml:space="preserve"> (</w:t>
      </w:r>
      <w:r>
        <w:rPr>
          <w:rFonts w:cs="Arial"/>
          <w:sz w:val="24"/>
          <w:szCs w:val="24"/>
        </w:rPr>
        <w:t>n=1)</w:t>
      </w:r>
      <w:r w:rsidR="005778C4" w:rsidRPr="009F7DB1">
        <w:rPr>
          <w:rFonts w:cs="Arial"/>
          <w:sz w:val="24"/>
          <w:szCs w:val="24"/>
        </w:rPr>
        <w:t xml:space="preserve"> antibody.</w:t>
      </w:r>
      <w:r w:rsidR="00C130A7">
        <w:rPr>
          <w:rFonts w:cs="Arial"/>
          <w:sz w:val="24"/>
          <w:szCs w:val="24"/>
        </w:rPr>
        <w:t xml:space="preserve"> </w:t>
      </w:r>
      <w:r w:rsidR="00835740" w:rsidRPr="00A53877">
        <w:rPr>
          <w:rFonts w:cs="Arial"/>
          <w:sz w:val="24"/>
          <w:szCs w:val="24"/>
        </w:rPr>
        <w:t>Because of the long incubation time</w:t>
      </w:r>
      <w:r>
        <w:rPr>
          <w:rFonts w:cs="Arial"/>
          <w:sz w:val="24"/>
          <w:szCs w:val="24"/>
        </w:rPr>
        <w:t xml:space="preserve"> these antibodies resulted in</w:t>
      </w:r>
      <w:r w:rsidR="00835740" w:rsidRPr="00A53877">
        <w:rPr>
          <w:rFonts w:cs="Arial"/>
          <w:sz w:val="24"/>
          <w:szCs w:val="24"/>
        </w:rPr>
        <w:t xml:space="preserve"> overstraining and cytoplasmic blush pattern</w:t>
      </w:r>
      <w:r w:rsidR="00BD7093" w:rsidRPr="00A53877">
        <w:rPr>
          <w:rFonts w:cs="Arial"/>
          <w:sz w:val="24"/>
          <w:szCs w:val="24"/>
        </w:rPr>
        <w:t>.</w:t>
      </w:r>
      <w:r w:rsidR="00382C50">
        <w:rPr>
          <w:rFonts w:cs="Arial"/>
          <w:sz w:val="24"/>
          <w:szCs w:val="24"/>
        </w:rPr>
        <w:t xml:space="preserve"> </w:t>
      </w:r>
      <w:r w:rsidR="00F65BC0">
        <w:rPr>
          <w:rFonts w:cs="Arial"/>
          <w:sz w:val="24"/>
          <w:szCs w:val="24"/>
        </w:rPr>
        <w:t>D</w:t>
      </w:r>
      <w:r w:rsidR="00835740" w:rsidRPr="00A53877">
        <w:rPr>
          <w:rFonts w:cs="Arial"/>
          <w:sz w:val="24"/>
          <w:szCs w:val="24"/>
        </w:rPr>
        <w:t xml:space="preserve">rying out of sections </w:t>
      </w:r>
      <w:r w:rsidR="00F65BC0">
        <w:rPr>
          <w:rFonts w:cs="Arial"/>
          <w:sz w:val="24"/>
          <w:szCs w:val="24"/>
        </w:rPr>
        <w:t xml:space="preserve">on racks </w:t>
      </w:r>
      <w:r w:rsidR="00835740" w:rsidRPr="00A53877">
        <w:rPr>
          <w:rFonts w:cs="Arial"/>
          <w:sz w:val="24"/>
          <w:szCs w:val="24"/>
        </w:rPr>
        <w:t xml:space="preserve">or air bubbles can also contribute to over staining. Water and reagent contamination are </w:t>
      </w:r>
      <w:r w:rsidR="00F65BC0">
        <w:rPr>
          <w:rFonts w:cs="Arial"/>
          <w:sz w:val="24"/>
          <w:szCs w:val="24"/>
        </w:rPr>
        <w:t xml:space="preserve">also additional </w:t>
      </w:r>
      <w:r w:rsidR="00835740" w:rsidRPr="00A53877">
        <w:rPr>
          <w:rFonts w:cs="Arial"/>
          <w:sz w:val="24"/>
          <w:szCs w:val="24"/>
        </w:rPr>
        <w:t>causes, so participants should check for them.</w:t>
      </w:r>
    </w:p>
    <w:p w14:paraId="431E0436" w14:textId="77777777" w:rsidR="00A21962" w:rsidRDefault="00BA1388" w:rsidP="00A21962">
      <w:pPr>
        <w:keepNext/>
        <w:spacing w:line="360" w:lineRule="auto"/>
        <w:ind w:right="146"/>
        <w:jc w:val="both"/>
      </w:pPr>
      <w:r w:rsidRPr="0083080D">
        <w:rPr>
          <w:noProof/>
          <w:color w:val="FFFFFF" w:themeColor="background1"/>
          <w:sz w:val="24"/>
          <w:szCs w:val="24"/>
          <w:shd w:val="clear" w:color="auto" w:fill="FFFF00"/>
        </w:rPr>
        <w:drawing>
          <wp:inline distT="0" distB="0" distL="0" distR="0" wp14:anchorId="29CCD20C" wp14:editId="31A2CF02">
            <wp:extent cx="6010275" cy="4286250"/>
            <wp:effectExtent l="1905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1947603" w14:textId="77777777" w:rsidR="009100E1" w:rsidRDefault="009100E1" w:rsidP="00A5557B">
      <w:pPr>
        <w:tabs>
          <w:tab w:val="left" w:pos="2190"/>
        </w:tabs>
        <w:spacing w:line="360" w:lineRule="auto"/>
        <w:ind w:right="146"/>
        <w:jc w:val="both"/>
        <w:rPr>
          <w:rFonts w:cs="Arial"/>
          <w:sz w:val="24"/>
          <w:szCs w:val="24"/>
        </w:rPr>
      </w:pPr>
    </w:p>
    <w:p w14:paraId="67804E98" w14:textId="77777777" w:rsidR="00FC1D9F" w:rsidRPr="008F4E37" w:rsidRDefault="00A93563" w:rsidP="00A5557B">
      <w:pPr>
        <w:tabs>
          <w:tab w:val="left" w:pos="2190"/>
        </w:tabs>
        <w:spacing w:line="360" w:lineRule="auto"/>
        <w:ind w:right="146"/>
        <w:jc w:val="both"/>
        <w:rPr>
          <w:rFonts w:cs="Arial"/>
          <w:b/>
          <w:i/>
          <w:sz w:val="24"/>
          <w:szCs w:val="24"/>
        </w:rPr>
      </w:pPr>
      <w:r w:rsidRPr="00A93563">
        <w:rPr>
          <w:rFonts w:cs="Arial"/>
          <w:b/>
          <w:i/>
          <w:sz w:val="24"/>
          <w:szCs w:val="24"/>
        </w:rPr>
        <w:t xml:space="preserve">Centers please note </w:t>
      </w:r>
      <w:r w:rsidR="006D1B0D">
        <w:rPr>
          <w:rFonts w:cs="Arial"/>
          <w:b/>
          <w:i/>
          <w:sz w:val="24"/>
          <w:szCs w:val="24"/>
        </w:rPr>
        <w:t>that</w:t>
      </w:r>
      <w:r>
        <w:rPr>
          <w:rFonts w:cs="Arial"/>
          <w:b/>
          <w:i/>
          <w:sz w:val="24"/>
          <w:szCs w:val="24"/>
        </w:rPr>
        <w:t xml:space="preserve"> differentiating score 0 and score 1</w:t>
      </w:r>
      <w:r w:rsidR="006D1B0D">
        <w:rPr>
          <w:rFonts w:cs="Arial"/>
          <w:b/>
          <w:i/>
          <w:sz w:val="24"/>
          <w:szCs w:val="24"/>
        </w:rPr>
        <w:t xml:space="preserve">+ </w:t>
      </w:r>
      <w:r w:rsidR="006D1B0D" w:rsidRPr="00A93563">
        <w:rPr>
          <w:rFonts w:cs="Arial"/>
          <w:b/>
          <w:i/>
          <w:sz w:val="24"/>
          <w:szCs w:val="24"/>
        </w:rPr>
        <w:t>is</w:t>
      </w:r>
      <w:r w:rsidRPr="00A93563">
        <w:rPr>
          <w:rFonts w:cs="Arial"/>
          <w:b/>
          <w:i/>
          <w:sz w:val="24"/>
          <w:szCs w:val="24"/>
        </w:rPr>
        <w:t xml:space="preserve"> just an exercise done by NCGEQAS</w:t>
      </w:r>
      <w:r>
        <w:rPr>
          <w:rFonts w:cs="Arial"/>
          <w:b/>
          <w:i/>
          <w:sz w:val="24"/>
          <w:szCs w:val="24"/>
        </w:rPr>
        <w:t xml:space="preserve"> in keeping with</w:t>
      </w:r>
      <w:r w:rsidR="004752D4">
        <w:rPr>
          <w:rFonts w:cs="Arial"/>
          <w:b/>
          <w:i/>
          <w:sz w:val="24"/>
          <w:szCs w:val="24"/>
        </w:rPr>
        <w:t xml:space="preserve"> the</w:t>
      </w:r>
      <w:r>
        <w:rPr>
          <w:rFonts w:cs="Arial"/>
          <w:b/>
          <w:i/>
          <w:sz w:val="24"/>
          <w:szCs w:val="24"/>
        </w:rPr>
        <w:t xml:space="preserve"> demand</w:t>
      </w:r>
      <w:r w:rsidR="003F43F7">
        <w:rPr>
          <w:rFonts w:cs="Arial"/>
          <w:b/>
          <w:i/>
          <w:sz w:val="24"/>
          <w:szCs w:val="24"/>
        </w:rPr>
        <w:t xml:space="preserve"> </w:t>
      </w:r>
      <w:r>
        <w:rPr>
          <w:rFonts w:cs="Arial"/>
          <w:b/>
          <w:i/>
          <w:sz w:val="24"/>
          <w:szCs w:val="24"/>
        </w:rPr>
        <w:t>but</w:t>
      </w:r>
      <w:r w:rsidRPr="00A93563">
        <w:rPr>
          <w:rFonts w:cs="Arial"/>
          <w:b/>
          <w:i/>
          <w:sz w:val="24"/>
          <w:szCs w:val="24"/>
        </w:rPr>
        <w:t xml:space="preserve"> does not connote poor performance if the score 1+ cores are marked as negative. </w:t>
      </w:r>
    </w:p>
    <w:p w14:paraId="405400A6" w14:textId="77777777" w:rsidR="002D7FBD" w:rsidRDefault="00FC1D9F" w:rsidP="00A5557B">
      <w:pPr>
        <w:tabs>
          <w:tab w:val="left" w:pos="2190"/>
        </w:tabs>
        <w:spacing w:line="360" w:lineRule="auto"/>
        <w:ind w:right="146"/>
        <w:jc w:val="both"/>
        <w:rPr>
          <w:rFonts w:cs="Arial"/>
          <w:b/>
          <w:color w:val="0070C0"/>
          <w:sz w:val="24"/>
          <w:szCs w:val="24"/>
        </w:rPr>
      </w:pPr>
      <w:r w:rsidRPr="004E7E45">
        <w:rPr>
          <w:rFonts w:cs="Arial"/>
          <w:b/>
          <w:sz w:val="24"/>
          <w:szCs w:val="24"/>
        </w:rPr>
        <w:t>Performances across seven Cycles of Her2neu EQAS:-</w:t>
      </w:r>
      <w:r w:rsidR="00C130A7">
        <w:rPr>
          <w:rFonts w:cs="Arial"/>
          <w:b/>
          <w:sz w:val="24"/>
          <w:szCs w:val="24"/>
        </w:rPr>
        <w:t xml:space="preserve"> </w:t>
      </w:r>
      <w:r w:rsidRPr="004E7E45">
        <w:rPr>
          <w:rFonts w:cs="Arial"/>
          <w:sz w:val="24"/>
          <w:szCs w:val="24"/>
        </w:rPr>
        <w:t xml:space="preserve">As the NCGEQAS </w:t>
      </w:r>
      <w:r>
        <w:rPr>
          <w:rFonts w:cs="Arial"/>
          <w:sz w:val="24"/>
          <w:szCs w:val="24"/>
        </w:rPr>
        <w:t xml:space="preserve">has been operating for five years now we have given the median pass rates across the seven cycles of </w:t>
      </w:r>
      <w:r w:rsidR="00BF49B7">
        <w:rPr>
          <w:rFonts w:cs="Arial"/>
          <w:sz w:val="24"/>
          <w:szCs w:val="24"/>
        </w:rPr>
        <w:t>NCG</w:t>
      </w:r>
      <w:r>
        <w:rPr>
          <w:rFonts w:cs="Arial"/>
          <w:sz w:val="24"/>
          <w:szCs w:val="24"/>
        </w:rPr>
        <w:t>E</w:t>
      </w:r>
      <w:r w:rsidR="00BF49B7">
        <w:rPr>
          <w:rFonts w:cs="Arial"/>
          <w:sz w:val="24"/>
          <w:szCs w:val="24"/>
        </w:rPr>
        <w:t>Q</w:t>
      </w:r>
      <w:r>
        <w:rPr>
          <w:rFonts w:cs="Arial"/>
          <w:sz w:val="24"/>
          <w:szCs w:val="24"/>
        </w:rPr>
        <w:t xml:space="preserve">AS. As seen from Fig </w:t>
      </w:r>
      <w:r w:rsidR="006D1B0D">
        <w:rPr>
          <w:rFonts w:cs="Arial"/>
          <w:sz w:val="24"/>
          <w:szCs w:val="24"/>
        </w:rPr>
        <w:t>6</w:t>
      </w:r>
      <w:r w:rsidR="00C130A7">
        <w:rPr>
          <w:rFonts w:cs="Arial"/>
          <w:sz w:val="24"/>
          <w:szCs w:val="24"/>
        </w:rPr>
        <w:t xml:space="preserve"> </w:t>
      </w:r>
      <w:r w:rsidR="00A93563">
        <w:rPr>
          <w:rFonts w:cs="Arial"/>
          <w:sz w:val="24"/>
          <w:szCs w:val="24"/>
        </w:rPr>
        <w:t>the pass rate has remained same</w:t>
      </w:r>
      <w:r w:rsidR="00673174">
        <w:rPr>
          <w:rFonts w:cs="Arial"/>
          <w:sz w:val="24"/>
          <w:szCs w:val="24"/>
        </w:rPr>
        <w:t xml:space="preserve"> at 90% over</w:t>
      </w:r>
      <w:r w:rsidR="00A93563">
        <w:rPr>
          <w:rFonts w:cs="Arial"/>
          <w:sz w:val="24"/>
          <w:szCs w:val="24"/>
        </w:rPr>
        <w:t xml:space="preserve"> past runs inspite of having new participants, which is encouraging.</w:t>
      </w:r>
    </w:p>
    <w:p w14:paraId="71A9BB91" w14:textId="77777777" w:rsidR="006228F1" w:rsidRPr="006D1B0D" w:rsidRDefault="00FC1D9F" w:rsidP="00A5557B">
      <w:pPr>
        <w:tabs>
          <w:tab w:val="left" w:pos="2190"/>
        </w:tabs>
        <w:spacing w:line="360" w:lineRule="auto"/>
        <w:ind w:right="146"/>
        <w:jc w:val="both"/>
        <w:rPr>
          <w:rFonts w:cs="Arial"/>
          <w:b/>
          <w:sz w:val="24"/>
          <w:szCs w:val="24"/>
        </w:rPr>
      </w:pPr>
      <w:r w:rsidRPr="006D1B0D">
        <w:rPr>
          <w:rFonts w:cs="Arial"/>
          <w:b/>
          <w:sz w:val="24"/>
          <w:szCs w:val="24"/>
        </w:rPr>
        <w:t xml:space="preserve">Fig </w:t>
      </w:r>
      <w:r w:rsidR="006D1B0D" w:rsidRPr="006D1B0D">
        <w:rPr>
          <w:rFonts w:cs="Arial"/>
          <w:b/>
          <w:sz w:val="24"/>
          <w:szCs w:val="24"/>
        </w:rPr>
        <w:t>6</w:t>
      </w:r>
      <w:r w:rsidR="004E7E45" w:rsidRPr="006D1B0D">
        <w:rPr>
          <w:rFonts w:cs="Arial"/>
          <w:b/>
          <w:sz w:val="24"/>
          <w:szCs w:val="24"/>
        </w:rPr>
        <w:t>: Pas</w:t>
      </w:r>
      <w:r w:rsidR="006D1B0D">
        <w:rPr>
          <w:rFonts w:cs="Arial"/>
          <w:b/>
          <w:sz w:val="24"/>
          <w:szCs w:val="24"/>
        </w:rPr>
        <w:t>s rates across NCEGEQAS Her2</w:t>
      </w:r>
      <w:r w:rsidR="00AB7E5D">
        <w:rPr>
          <w:rFonts w:cs="Arial"/>
          <w:b/>
          <w:sz w:val="24"/>
          <w:szCs w:val="24"/>
        </w:rPr>
        <w:t>neu</w:t>
      </w:r>
      <w:r w:rsidR="006D1B0D">
        <w:rPr>
          <w:rFonts w:cs="Arial"/>
          <w:b/>
          <w:sz w:val="24"/>
          <w:szCs w:val="24"/>
        </w:rPr>
        <w:t xml:space="preserve"> </w:t>
      </w:r>
      <w:r w:rsidR="004E7E45" w:rsidRPr="006D1B0D">
        <w:rPr>
          <w:rFonts w:cs="Arial"/>
          <w:b/>
          <w:sz w:val="24"/>
          <w:szCs w:val="24"/>
        </w:rPr>
        <w:t>cycles.</w:t>
      </w:r>
    </w:p>
    <w:p w14:paraId="178D8CA9" w14:textId="77777777" w:rsidR="00A3775A" w:rsidRDefault="006228F1" w:rsidP="00A5557B">
      <w:pPr>
        <w:tabs>
          <w:tab w:val="left" w:pos="2190"/>
        </w:tabs>
        <w:spacing w:line="360" w:lineRule="auto"/>
        <w:ind w:right="146"/>
        <w:jc w:val="both"/>
        <w:rPr>
          <w:rFonts w:cs="Arial"/>
          <w:b/>
          <w:sz w:val="24"/>
          <w:szCs w:val="24"/>
        </w:rPr>
      </w:pPr>
      <w:r w:rsidRPr="006228F1">
        <w:rPr>
          <w:rFonts w:cs="Arial"/>
          <w:b/>
          <w:noProof/>
          <w:sz w:val="24"/>
          <w:szCs w:val="24"/>
        </w:rPr>
        <w:drawing>
          <wp:inline distT="0" distB="0" distL="0" distR="0" wp14:anchorId="4DEC3F7D" wp14:editId="7B4C8E5A">
            <wp:extent cx="6130456" cy="2582600"/>
            <wp:effectExtent l="19050" t="0" r="22694" b="8200"/>
            <wp:docPr id="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C59E0EC" w14:textId="77777777" w:rsidR="008F4E37" w:rsidRDefault="008F4E37" w:rsidP="00A5557B">
      <w:pPr>
        <w:tabs>
          <w:tab w:val="left" w:pos="2190"/>
        </w:tabs>
        <w:spacing w:line="360" w:lineRule="auto"/>
        <w:ind w:right="146"/>
        <w:jc w:val="both"/>
        <w:rPr>
          <w:rFonts w:cs="Arial"/>
          <w:b/>
          <w:sz w:val="24"/>
          <w:szCs w:val="24"/>
        </w:rPr>
      </w:pPr>
    </w:p>
    <w:p w14:paraId="0F169A0D" w14:textId="77777777" w:rsidR="00EB3ADD" w:rsidRPr="00196894" w:rsidRDefault="00EB3ADD" w:rsidP="00A5557B">
      <w:pPr>
        <w:tabs>
          <w:tab w:val="left" w:pos="2190"/>
        </w:tabs>
        <w:spacing w:line="360" w:lineRule="auto"/>
        <w:ind w:right="146"/>
        <w:jc w:val="both"/>
        <w:rPr>
          <w:rFonts w:cs="Arial"/>
          <w:b/>
          <w:sz w:val="24"/>
          <w:szCs w:val="24"/>
        </w:rPr>
      </w:pPr>
      <w:r w:rsidRPr="00EA3733">
        <w:rPr>
          <w:rFonts w:cs="Arial"/>
          <w:b/>
          <w:sz w:val="24"/>
          <w:szCs w:val="24"/>
        </w:rPr>
        <w:t>Recommended Protocols:</w:t>
      </w:r>
    </w:p>
    <w:tbl>
      <w:tblPr>
        <w:tblStyle w:val="TableGrid"/>
        <w:tblW w:w="9671" w:type="dxa"/>
        <w:tblLook w:val="04A0" w:firstRow="1" w:lastRow="0" w:firstColumn="1" w:lastColumn="0" w:noHBand="0" w:noVBand="1"/>
      </w:tblPr>
      <w:tblGrid>
        <w:gridCol w:w="1795"/>
        <w:gridCol w:w="2147"/>
        <w:gridCol w:w="2127"/>
        <w:gridCol w:w="1925"/>
        <w:gridCol w:w="1677"/>
      </w:tblGrid>
      <w:tr w:rsidR="00EB3ADD" w14:paraId="47D3AB1A" w14:textId="77777777" w:rsidTr="00C130A7">
        <w:trPr>
          <w:trHeight w:val="1143"/>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7365D" w:themeFill="text2" w:themeFillShade="BF"/>
          </w:tcPr>
          <w:p w14:paraId="71208FCE" w14:textId="77777777" w:rsidR="00EB3ADD" w:rsidRDefault="00EB3ADD" w:rsidP="00A5557B">
            <w:pPr>
              <w:tabs>
                <w:tab w:val="left" w:pos="2190"/>
              </w:tabs>
              <w:spacing w:line="360" w:lineRule="auto"/>
              <w:ind w:right="146"/>
              <w:jc w:val="both"/>
              <w:rPr>
                <w:rFonts w:cs="Arial"/>
                <w:color w:val="FFFFFF" w:themeColor="background1"/>
                <w:sz w:val="24"/>
                <w:szCs w:val="24"/>
              </w:rPr>
            </w:pPr>
          </w:p>
        </w:tc>
        <w:tc>
          <w:tcPr>
            <w:tcW w:w="2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7365D" w:themeFill="text2" w:themeFillShade="BF"/>
            <w:vAlign w:val="center"/>
            <w:hideMark/>
          </w:tcPr>
          <w:p w14:paraId="0939BCB0" w14:textId="77777777" w:rsidR="00EB3ADD" w:rsidRDefault="00EB3ADD" w:rsidP="00A5557B">
            <w:pPr>
              <w:tabs>
                <w:tab w:val="left" w:pos="2190"/>
              </w:tabs>
              <w:spacing w:line="360" w:lineRule="auto"/>
              <w:ind w:right="146"/>
              <w:jc w:val="both"/>
              <w:rPr>
                <w:rFonts w:cs="Arial"/>
                <w:color w:val="FFFFFF" w:themeColor="background1"/>
                <w:sz w:val="24"/>
                <w:szCs w:val="24"/>
              </w:rPr>
            </w:pPr>
            <w:r>
              <w:rPr>
                <w:rFonts w:cs="Arial"/>
                <w:color w:val="FFFFFF" w:themeColor="background1"/>
                <w:sz w:val="24"/>
                <w:szCs w:val="24"/>
              </w:rPr>
              <w:t>Ventana 4B5</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7365D" w:themeFill="text2" w:themeFillShade="BF"/>
            <w:vAlign w:val="center"/>
            <w:hideMark/>
          </w:tcPr>
          <w:p w14:paraId="07086051" w14:textId="77777777" w:rsidR="00EB3ADD" w:rsidRDefault="00EB3ADD" w:rsidP="00A5557B">
            <w:pPr>
              <w:tabs>
                <w:tab w:val="left" w:pos="2190"/>
              </w:tabs>
              <w:spacing w:line="360" w:lineRule="auto"/>
              <w:ind w:right="146"/>
              <w:jc w:val="both"/>
              <w:rPr>
                <w:rFonts w:cs="Arial"/>
                <w:color w:val="FFFFFF" w:themeColor="background1"/>
                <w:sz w:val="24"/>
                <w:szCs w:val="24"/>
              </w:rPr>
            </w:pPr>
            <w:r>
              <w:rPr>
                <w:rFonts w:cs="Arial"/>
                <w:color w:val="FFFFFF" w:themeColor="background1"/>
                <w:sz w:val="24"/>
                <w:szCs w:val="24"/>
              </w:rPr>
              <w:t>Hercep Test</w:t>
            </w:r>
          </w:p>
        </w:tc>
        <w:tc>
          <w:tcPr>
            <w:tcW w:w="19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7365D" w:themeFill="text2" w:themeFillShade="BF"/>
            <w:hideMark/>
          </w:tcPr>
          <w:p w14:paraId="6763B5A0" w14:textId="77777777" w:rsidR="00EB3ADD" w:rsidRDefault="00EB3ADD" w:rsidP="00A5557B">
            <w:pPr>
              <w:tabs>
                <w:tab w:val="left" w:pos="2190"/>
              </w:tabs>
              <w:spacing w:line="360" w:lineRule="auto"/>
              <w:ind w:right="146"/>
              <w:jc w:val="both"/>
              <w:rPr>
                <w:rFonts w:cs="Arial"/>
                <w:color w:val="FFFFFF" w:themeColor="background1"/>
                <w:sz w:val="24"/>
                <w:szCs w:val="24"/>
              </w:rPr>
            </w:pPr>
            <w:r>
              <w:rPr>
                <w:rFonts w:cs="Arial"/>
                <w:color w:val="FFFFFF" w:themeColor="background1"/>
                <w:sz w:val="24"/>
                <w:szCs w:val="24"/>
              </w:rPr>
              <w:t xml:space="preserve">Manual </w:t>
            </w:r>
            <w:r w:rsidR="00664FD7">
              <w:rPr>
                <w:rFonts w:cs="Arial"/>
                <w:color w:val="FFFFFF" w:themeColor="background1"/>
                <w:sz w:val="24"/>
                <w:szCs w:val="24"/>
              </w:rPr>
              <w:t>Path in situ EP3</w:t>
            </w:r>
          </w:p>
        </w:tc>
        <w:tc>
          <w:tcPr>
            <w:tcW w:w="1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7365D" w:themeFill="text2" w:themeFillShade="BF"/>
          </w:tcPr>
          <w:p w14:paraId="773BAFC9" w14:textId="77777777" w:rsidR="00EB3ADD" w:rsidRDefault="00EB3ADD" w:rsidP="0030752F">
            <w:pPr>
              <w:tabs>
                <w:tab w:val="left" w:pos="2190"/>
              </w:tabs>
              <w:spacing w:line="360" w:lineRule="auto"/>
              <w:ind w:right="146"/>
              <w:jc w:val="both"/>
              <w:rPr>
                <w:rFonts w:cs="Arial"/>
                <w:color w:val="FFFFFF" w:themeColor="background1"/>
                <w:sz w:val="24"/>
                <w:szCs w:val="24"/>
              </w:rPr>
            </w:pPr>
            <w:r>
              <w:rPr>
                <w:rFonts w:cs="Arial"/>
                <w:color w:val="FFFFFF" w:themeColor="background1"/>
                <w:sz w:val="24"/>
                <w:szCs w:val="24"/>
              </w:rPr>
              <w:t xml:space="preserve">Manual Dako </w:t>
            </w:r>
            <w:r w:rsidR="0030752F">
              <w:rPr>
                <w:rFonts w:cs="Arial"/>
                <w:color w:val="FFFFFF" w:themeColor="background1"/>
                <w:sz w:val="24"/>
                <w:szCs w:val="24"/>
              </w:rPr>
              <w:t>Cerb-B2</w:t>
            </w:r>
          </w:p>
        </w:tc>
      </w:tr>
      <w:tr w:rsidR="00EB3ADD" w14:paraId="74FC3762" w14:textId="77777777" w:rsidTr="00C130A7">
        <w:trPr>
          <w:trHeight w:val="2855"/>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57F2AB" w14:textId="77777777" w:rsidR="00EB3ADD" w:rsidRPr="00DC027B" w:rsidRDefault="00EB3ADD" w:rsidP="00A5557B">
            <w:pPr>
              <w:tabs>
                <w:tab w:val="left" w:pos="2190"/>
              </w:tabs>
              <w:spacing w:line="360" w:lineRule="auto"/>
              <w:ind w:right="146"/>
              <w:jc w:val="both"/>
              <w:rPr>
                <w:rFonts w:cs="Arial"/>
                <w:b/>
                <w:sz w:val="24"/>
                <w:szCs w:val="24"/>
              </w:rPr>
            </w:pPr>
            <w:r w:rsidRPr="00DC027B">
              <w:rPr>
                <w:rFonts w:cs="Arial"/>
                <w:b/>
                <w:sz w:val="24"/>
                <w:szCs w:val="24"/>
              </w:rPr>
              <w:t>Antigen Retrieval</w:t>
            </w:r>
          </w:p>
        </w:tc>
        <w:tc>
          <w:tcPr>
            <w:tcW w:w="21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054504" w14:textId="77777777" w:rsidR="00EB3ADD" w:rsidRDefault="00EB3ADD" w:rsidP="00E44E51">
            <w:pPr>
              <w:tabs>
                <w:tab w:val="left" w:pos="2190"/>
              </w:tabs>
              <w:spacing w:line="360" w:lineRule="auto"/>
              <w:ind w:right="146"/>
              <w:rPr>
                <w:rFonts w:cs="Arial"/>
                <w:sz w:val="24"/>
                <w:szCs w:val="24"/>
              </w:rPr>
            </w:pPr>
            <w:r>
              <w:rPr>
                <w:rFonts w:cs="Arial"/>
                <w:sz w:val="24"/>
                <w:szCs w:val="24"/>
              </w:rPr>
              <w:t>For 30 minutes on board</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357B73" w14:textId="77777777" w:rsidR="00EB3ADD" w:rsidRDefault="00EB3ADD" w:rsidP="00E44E51">
            <w:pPr>
              <w:tabs>
                <w:tab w:val="left" w:pos="2190"/>
              </w:tabs>
              <w:spacing w:line="360" w:lineRule="auto"/>
              <w:ind w:right="146"/>
              <w:rPr>
                <w:rFonts w:cs="Arial"/>
                <w:sz w:val="24"/>
                <w:szCs w:val="24"/>
              </w:rPr>
            </w:pPr>
            <w:r>
              <w:rPr>
                <w:rFonts w:cs="Arial"/>
                <w:sz w:val="24"/>
                <w:szCs w:val="24"/>
              </w:rPr>
              <w:t>Epitope retrieval solution 40mins in water bath at 98°C</w:t>
            </w:r>
          </w:p>
        </w:tc>
        <w:tc>
          <w:tcPr>
            <w:tcW w:w="19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6CDD22E" w14:textId="77777777" w:rsidR="00EB3ADD" w:rsidRDefault="00C5156A" w:rsidP="00E44E51">
            <w:pPr>
              <w:tabs>
                <w:tab w:val="left" w:pos="2190"/>
              </w:tabs>
              <w:spacing w:line="360" w:lineRule="auto"/>
              <w:ind w:right="146"/>
              <w:rPr>
                <w:rFonts w:cs="Arial"/>
                <w:sz w:val="24"/>
                <w:szCs w:val="24"/>
              </w:rPr>
            </w:pPr>
            <w:r>
              <w:rPr>
                <w:rFonts w:cs="Arial"/>
                <w:sz w:val="24"/>
                <w:szCs w:val="24"/>
              </w:rPr>
              <w:t>Tris EDTA pH – 9</w:t>
            </w:r>
            <w:r w:rsidR="00EB3ADD">
              <w:rPr>
                <w:rFonts w:cs="Arial"/>
                <w:sz w:val="24"/>
                <w:szCs w:val="24"/>
              </w:rPr>
              <w:t xml:space="preserve"> in pressure cooker (two whistles)</w:t>
            </w:r>
          </w:p>
        </w:tc>
        <w:tc>
          <w:tcPr>
            <w:tcW w:w="1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04FBAA" w14:textId="77777777" w:rsidR="00EB3ADD" w:rsidRPr="00196894" w:rsidRDefault="00EB3ADD" w:rsidP="00E44E51">
            <w:pPr>
              <w:spacing w:line="360" w:lineRule="auto"/>
              <w:ind w:right="146"/>
              <w:rPr>
                <w:sz w:val="24"/>
                <w:szCs w:val="24"/>
              </w:rPr>
            </w:pPr>
            <w:r w:rsidRPr="00196894">
              <w:rPr>
                <w:sz w:val="24"/>
                <w:szCs w:val="24"/>
              </w:rPr>
              <w:t xml:space="preserve">Tris EDTA </w:t>
            </w:r>
          </w:p>
          <w:p w14:paraId="07377124" w14:textId="77777777" w:rsidR="00EB3ADD" w:rsidRDefault="00EB3ADD" w:rsidP="00E44E51">
            <w:pPr>
              <w:spacing w:line="360" w:lineRule="auto"/>
              <w:ind w:right="146"/>
            </w:pPr>
            <w:r w:rsidRPr="00196894">
              <w:rPr>
                <w:sz w:val="24"/>
                <w:szCs w:val="24"/>
              </w:rPr>
              <w:t>pH –9 in pressure cooker (two whistles)</w:t>
            </w:r>
          </w:p>
        </w:tc>
      </w:tr>
      <w:tr w:rsidR="00EB3ADD" w14:paraId="0F06B7E0" w14:textId="77777777" w:rsidTr="00C130A7">
        <w:trPr>
          <w:trHeight w:val="1714"/>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5AB7B" w14:textId="77777777" w:rsidR="00EB3ADD" w:rsidRPr="00DC027B" w:rsidRDefault="00EB3ADD" w:rsidP="00A5557B">
            <w:pPr>
              <w:tabs>
                <w:tab w:val="left" w:pos="2190"/>
              </w:tabs>
              <w:spacing w:line="360" w:lineRule="auto"/>
              <w:ind w:right="146"/>
              <w:jc w:val="both"/>
              <w:rPr>
                <w:rFonts w:cs="Arial"/>
                <w:b/>
                <w:sz w:val="24"/>
                <w:szCs w:val="24"/>
              </w:rPr>
            </w:pPr>
            <w:r w:rsidRPr="00DC027B">
              <w:rPr>
                <w:rFonts w:cs="Arial"/>
                <w:b/>
                <w:sz w:val="24"/>
                <w:szCs w:val="24"/>
              </w:rPr>
              <w:t xml:space="preserve">Primary Antibody Incubation </w:t>
            </w:r>
          </w:p>
        </w:tc>
        <w:tc>
          <w:tcPr>
            <w:tcW w:w="21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F05158" w14:textId="77777777" w:rsidR="00EB3ADD" w:rsidRDefault="00EB3ADD" w:rsidP="00E44E51">
            <w:pPr>
              <w:tabs>
                <w:tab w:val="left" w:pos="2190"/>
              </w:tabs>
              <w:spacing w:line="360" w:lineRule="auto"/>
              <w:ind w:right="146"/>
              <w:rPr>
                <w:rFonts w:cs="Arial"/>
                <w:sz w:val="24"/>
                <w:szCs w:val="24"/>
              </w:rPr>
            </w:pPr>
            <w:r>
              <w:rPr>
                <w:rFonts w:cs="Arial"/>
                <w:sz w:val="24"/>
                <w:szCs w:val="24"/>
              </w:rPr>
              <w:t>16 minutes at 37°C</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6D77A2" w14:textId="77777777" w:rsidR="00EB3ADD" w:rsidRDefault="00EB3ADD" w:rsidP="00E44E51">
            <w:pPr>
              <w:tabs>
                <w:tab w:val="left" w:pos="2190"/>
              </w:tabs>
              <w:spacing w:line="360" w:lineRule="auto"/>
              <w:ind w:right="146"/>
              <w:rPr>
                <w:rFonts w:cs="Arial"/>
                <w:sz w:val="24"/>
                <w:szCs w:val="24"/>
              </w:rPr>
            </w:pPr>
            <w:r>
              <w:rPr>
                <w:rFonts w:cs="Arial"/>
                <w:sz w:val="24"/>
                <w:szCs w:val="24"/>
              </w:rPr>
              <w:t xml:space="preserve">For 70mins at Room temperature </w:t>
            </w:r>
          </w:p>
        </w:tc>
        <w:tc>
          <w:tcPr>
            <w:tcW w:w="19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7935374" w14:textId="77777777" w:rsidR="00EB3ADD" w:rsidRDefault="00EB3ADD" w:rsidP="00E44E51">
            <w:pPr>
              <w:tabs>
                <w:tab w:val="left" w:pos="2190"/>
              </w:tabs>
              <w:spacing w:line="360" w:lineRule="auto"/>
              <w:ind w:right="146"/>
              <w:rPr>
                <w:rFonts w:cs="Arial"/>
                <w:sz w:val="24"/>
                <w:szCs w:val="24"/>
              </w:rPr>
            </w:pPr>
            <w:r>
              <w:rPr>
                <w:rFonts w:cs="Arial"/>
                <w:sz w:val="24"/>
                <w:szCs w:val="24"/>
              </w:rPr>
              <w:t>For 1 hour at 37°C</w:t>
            </w:r>
          </w:p>
        </w:tc>
        <w:tc>
          <w:tcPr>
            <w:tcW w:w="1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53533" w14:textId="77777777" w:rsidR="00EB3ADD" w:rsidRDefault="00EB3ADD" w:rsidP="00E44E51">
            <w:pPr>
              <w:pStyle w:val="NoSpacing"/>
            </w:pPr>
            <w:r>
              <w:t>For 1 hour at 37°C</w:t>
            </w:r>
          </w:p>
        </w:tc>
      </w:tr>
      <w:tr w:rsidR="00EB3ADD" w14:paraId="5EB30921" w14:textId="77777777" w:rsidTr="00C130A7">
        <w:trPr>
          <w:trHeight w:val="571"/>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C8D7C2" w14:textId="77777777" w:rsidR="00EB3ADD" w:rsidRPr="00DC027B" w:rsidRDefault="00EB3ADD" w:rsidP="00A5557B">
            <w:pPr>
              <w:tabs>
                <w:tab w:val="left" w:pos="2190"/>
              </w:tabs>
              <w:spacing w:line="360" w:lineRule="auto"/>
              <w:ind w:right="146"/>
              <w:jc w:val="both"/>
              <w:rPr>
                <w:rFonts w:cs="Arial"/>
                <w:b/>
                <w:sz w:val="24"/>
                <w:szCs w:val="24"/>
              </w:rPr>
            </w:pPr>
            <w:r w:rsidRPr="00DC027B">
              <w:rPr>
                <w:rFonts w:cs="Arial"/>
                <w:b/>
                <w:sz w:val="24"/>
                <w:szCs w:val="24"/>
              </w:rPr>
              <w:t xml:space="preserve">Dilution </w:t>
            </w:r>
          </w:p>
        </w:tc>
        <w:tc>
          <w:tcPr>
            <w:tcW w:w="21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709D69D" w14:textId="77777777" w:rsidR="00EB3ADD" w:rsidRDefault="00EB3ADD" w:rsidP="00A5557B">
            <w:pPr>
              <w:tabs>
                <w:tab w:val="left" w:pos="2190"/>
              </w:tabs>
              <w:spacing w:line="360" w:lineRule="auto"/>
              <w:ind w:right="146"/>
              <w:jc w:val="both"/>
              <w:rPr>
                <w:rFonts w:cs="Arial"/>
                <w:sz w:val="24"/>
                <w:szCs w:val="24"/>
              </w:rPr>
            </w:pPr>
            <w:r>
              <w:rPr>
                <w:rFonts w:cs="Arial"/>
                <w:sz w:val="24"/>
                <w:szCs w:val="24"/>
              </w:rPr>
              <w:t xml:space="preserve">Ready to use </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7B1429" w14:textId="77777777" w:rsidR="00EB3ADD" w:rsidRDefault="00EB3ADD" w:rsidP="00A5557B">
            <w:pPr>
              <w:tabs>
                <w:tab w:val="left" w:pos="2190"/>
              </w:tabs>
              <w:spacing w:line="360" w:lineRule="auto"/>
              <w:ind w:right="146"/>
              <w:jc w:val="both"/>
              <w:rPr>
                <w:rFonts w:cs="Arial"/>
                <w:sz w:val="24"/>
                <w:szCs w:val="24"/>
              </w:rPr>
            </w:pPr>
            <w:r>
              <w:rPr>
                <w:rFonts w:cs="Arial"/>
                <w:sz w:val="24"/>
                <w:szCs w:val="24"/>
              </w:rPr>
              <w:t xml:space="preserve">Ready to Use </w:t>
            </w:r>
          </w:p>
        </w:tc>
        <w:tc>
          <w:tcPr>
            <w:tcW w:w="19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FC13B8A" w14:textId="77777777" w:rsidR="00EB3ADD" w:rsidRDefault="00C5156A" w:rsidP="00A5557B">
            <w:pPr>
              <w:tabs>
                <w:tab w:val="left" w:pos="2190"/>
              </w:tabs>
              <w:spacing w:line="360" w:lineRule="auto"/>
              <w:ind w:right="146"/>
              <w:jc w:val="both"/>
              <w:rPr>
                <w:rFonts w:cs="Arial"/>
                <w:sz w:val="24"/>
                <w:szCs w:val="24"/>
              </w:rPr>
            </w:pPr>
            <w:r>
              <w:rPr>
                <w:rFonts w:cs="Arial"/>
                <w:sz w:val="24"/>
                <w:szCs w:val="24"/>
              </w:rPr>
              <w:t>Ready to use</w:t>
            </w:r>
          </w:p>
        </w:tc>
        <w:tc>
          <w:tcPr>
            <w:tcW w:w="1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160462" w14:textId="77777777" w:rsidR="00EB3ADD" w:rsidRDefault="00EB3ADD" w:rsidP="00A5557B">
            <w:pPr>
              <w:tabs>
                <w:tab w:val="left" w:pos="2190"/>
              </w:tabs>
              <w:spacing w:line="360" w:lineRule="auto"/>
              <w:ind w:right="146"/>
              <w:jc w:val="both"/>
              <w:rPr>
                <w:rFonts w:cs="Arial"/>
                <w:sz w:val="24"/>
                <w:szCs w:val="24"/>
              </w:rPr>
            </w:pPr>
            <w:r>
              <w:rPr>
                <w:rFonts w:cs="Arial"/>
                <w:sz w:val="24"/>
                <w:szCs w:val="24"/>
              </w:rPr>
              <w:t>1:1</w:t>
            </w:r>
            <w:r w:rsidR="0030752F">
              <w:rPr>
                <w:rFonts w:cs="Arial"/>
                <w:sz w:val="24"/>
                <w:szCs w:val="24"/>
              </w:rPr>
              <w:t>000</w:t>
            </w:r>
          </w:p>
        </w:tc>
      </w:tr>
    </w:tbl>
    <w:p w14:paraId="1572158D" w14:textId="77777777" w:rsidR="00BD735A" w:rsidRDefault="00BD735A" w:rsidP="008F4E37">
      <w:pPr>
        <w:spacing w:line="360" w:lineRule="auto"/>
      </w:pPr>
    </w:p>
    <w:p w14:paraId="54B17E8A" w14:textId="77777777" w:rsidR="00C130A7" w:rsidRDefault="00C130A7" w:rsidP="008F4E37">
      <w:pPr>
        <w:spacing w:line="360" w:lineRule="auto"/>
      </w:pPr>
    </w:p>
    <w:p w14:paraId="38505671" w14:textId="77777777" w:rsidR="00C130A7" w:rsidRDefault="00C130A7" w:rsidP="008F4E37">
      <w:pPr>
        <w:spacing w:line="360" w:lineRule="auto"/>
      </w:pPr>
    </w:p>
    <w:p w14:paraId="7D10EC83" w14:textId="77777777" w:rsidR="00C130A7" w:rsidRPr="008F4E37" w:rsidRDefault="00C130A7" w:rsidP="008F4E37">
      <w:pPr>
        <w:spacing w:line="360" w:lineRule="auto"/>
      </w:pPr>
    </w:p>
    <w:p w14:paraId="0D4E5807" w14:textId="77777777" w:rsidR="0098373C" w:rsidRPr="009D422E" w:rsidRDefault="0098373C" w:rsidP="00A5557B">
      <w:pPr>
        <w:tabs>
          <w:tab w:val="left" w:pos="2190"/>
        </w:tabs>
        <w:spacing w:line="360" w:lineRule="auto"/>
        <w:ind w:right="146"/>
        <w:jc w:val="both"/>
        <w:rPr>
          <w:rFonts w:cs="Arial"/>
          <w:b/>
          <w:sz w:val="24"/>
          <w:szCs w:val="24"/>
        </w:rPr>
      </w:pPr>
      <w:r>
        <w:rPr>
          <w:rFonts w:cs="Arial"/>
          <w:b/>
          <w:sz w:val="24"/>
          <w:szCs w:val="24"/>
        </w:rPr>
        <w:t xml:space="preserve">Selected </w:t>
      </w:r>
      <w:r w:rsidR="009447B0" w:rsidRPr="009D422E">
        <w:rPr>
          <w:rFonts w:cs="Arial"/>
          <w:b/>
          <w:sz w:val="24"/>
          <w:szCs w:val="24"/>
        </w:rPr>
        <w:t>References: -</w:t>
      </w:r>
    </w:p>
    <w:p w14:paraId="1193B087" w14:textId="77777777" w:rsidR="00141238" w:rsidRPr="005542F5" w:rsidRDefault="00141238" w:rsidP="008F4E37">
      <w:pPr>
        <w:pStyle w:val="ListParagraph"/>
        <w:numPr>
          <w:ilvl w:val="0"/>
          <w:numId w:val="3"/>
        </w:numPr>
        <w:spacing w:line="240" w:lineRule="auto"/>
        <w:ind w:right="146"/>
        <w:jc w:val="both"/>
        <w:rPr>
          <w:rFonts w:cstheme="minorHAnsi"/>
          <w:sz w:val="24"/>
          <w:szCs w:val="24"/>
        </w:rPr>
      </w:pPr>
      <w:r w:rsidRPr="005542F5">
        <w:rPr>
          <w:rFonts w:cstheme="minorHAnsi"/>
          <w:color w:val="212121"/>
          <w:sz w:val="24"/>
          <w:szCs w:val="24"/>
          <w:shd w:val="clear" w:color="auto" w:fill="FFFFFF"/>
        </w:rPr>
        <w:t>Pernas S, Tolaney SM. Clinical trial data and emerging strategies: HER2-positive breast cancer. Breast Cancer Res Treat. 2022 Jun;193(2):281-291.</w:t>
      </w:r>
    </w:p>
    <w:p w14:paraId="69E7F66B" w14:textId="77777777" w:rsidR="005542F5" w:rsidRPr="005542F5" w:rsidRDefault="00141238" w:rsidP="005542F5">
      <w:pPr>
        <w:pStyle w:val="ListParagraph"/>
        <w:numPr>
          <w:ilvl w:val="0"/>
          <w:numId w:val="3"/>
        </w:numPr>
        <w:spacing w:line="240" w:lineRule="auto"/>
        <w:ind w:right="146"/>
        <w:jc w:val="both"/>
        <w:rPr>
          <w:rFonts w:cstheme="minorHAnsi"/>
          <w:sz w:val="24"/>
          <w:szCs w:val="24"/>
        </w:rPr>
      </w:pPr>
      <w:r w:rsidRPr="005542F5">
        <w:rPr>
          <w:rFonts w:cstheme="minorHAnsi"/>
          <w:color w:val="212121"/>
          <w:sz w:val="24"/>
          <w:szCs w:val="24"/>
          <w:shd w:val="clear" w:color="auto" w:fill="FFFFFF"/>
        </w:rPr>
        <w:t>Pusztai L, Foldi J, Dhawan A, DiGiovanna MP, Mamounas EP. Changing frameworks in treatment sequencing of triple-negative and HER2-positive, early-stage breast cancers. Lancet Oncol. 2019 Jul;20(7):e390-e396.</w:t>
      </w:r>
    </w:p>
    <w:p w14:paraId="02E55CBD" w14:textId="77777777" w:rsidR="005542F5" w:rsidRPr="005542F5" w:rsidRDefault="0098373C" w:rsidP="005542F5">
      <w:pPr>
        <w:pStyle w:val="ListParagraph"/>
        <w:numPr>
          <w:ilvl w:val="0"/>
          <w:numId w:val="3"/>
        </w:numPr>
        <w:spacing w:line="240" w:lineRule="auto"/>
        <w:ind w:right="146"/>
        <w:jc w:val="both"/>
        <w:rPr>
          <w:rFonts w:cstheme="minorHAnsi"/>
          <w:sz w:val="24"/>
          <w:szCs w:val="24"/>
        </w:rPr>
      </w:pPr>
      <w:r w:rsidRPr="005542F5">
        <w:rPr>
          <w:rFonts w:cstheme="minorHAnsi"/>
          <w:color w:val="000000"/>
          <w:sz w:val="24"/>
          <w:szCs w:val="24"/>
        </w:rPr>
        <w:t>Wolff AC, Hammond ME, Hicks DG</w:t>
      </w:r>
      <w:r w:rsidRPr="005542F5">
        <w:rPr>
          <w:rFonts w:cstheme="minorHAnsi"/>
          <w:i/>
          <w:color w:val="000000"/>
          <w:sz w:val="24"/>
          <w:szCs w:val="24"/>
        </w:rPr>
        <w:t xml:space="preserve">et al. </w:t>
      </w:r>
      <w:r w:rsidRPr="005542F5">
        <w:rPr>
          <w:rFonts w:cstheme="minorHAnsi"/>
          <w:color w:val="000000"/>
          <w:sz w:val="24"/>
          <w:szCs w:val="24"/>
        </w:rPr>
        <w:t xml:space="preserve">American Society of Clinical Oncology; College of American Pathologists. Recommendations for human epidermal growth factor receptor 2 testing in breast cancer: American Society of Clinical Oncology/College of American Pathologists clinical practice guideline update. </w:t>
      </w:r>
      <w:r w:rsidRPr="005542F5">
        <w:rPr>
          <w:rStyle w:val="jrnl"/>
          <w:rFonts w:eastAsiaTheme="majorEastAsia" w:cstheme="minorHAnsi"/>
          <w:color w:val="000000"/>
          <w:sz w:val="24"/>
          <w:szCs w:val="24"/>
        </w:rPr>
        <w:t>J ClinOncol</w:t>
      </w:r>
      <w:r w:rsidRPr="005542F5">
        <w:rPr>
          <w:rFonts w:cstheme="minorHAnsi"/>
          <w:color w:val="000000"/>
          <w:sz w:val="24"/>
          <w:szCs w:val="24"/>
        </w:rPr>
        <w:t>.</w:t>
      </w:r>
      <w:r w:rsidRPr="005542F5">
        <w:rPr>
          <w:rStyle w:val="apple-converted-space"/>
          <w:rFonts w:eastAsiaTheme="majorEastAsia" w:cstheme="minorHAnsi"/>
          <w:color w:val="000000"/>
          <w:sz w:val="24"/>
          <w:szCs w:val="24"/>
        </w:rPr>
        <w:t> </w:t>
      </w:r>
      <w:r w:rsidRPr="005542F5">
        <w:rPr>
          <w:rFonts w:cstheme="minorHAnsi"/>
          <w:bCs/>
          <w:color w:val="000000"/>
          <w:sz w:val="24"/>
          <w:szCs w:val="24"/>
        </w:rPr>
        <w:t>2013</w:t>
      </w:r>
      <w:r w:rsidRPr="005542F5">
        <w:rPr>
          <w:rFonts w:cstheme="minorHAnsi"/>
          <w:color w:val="000000"/>
          <w:sz w:val="24"/>
          <w:szCs w:val="24"/>
        </w:rPr>
        <w:t>; 31:3997-4013.</w:t>
      </w:r>
    </w:p>
    <w:p w14:paraId="3423676C" w14:textId="77777777" w:rsidR="005542F5" w:rsidRPr="005542F5" w:rsidRDefault="0098373C" w:rsidP="005542F5">
      <w:pPr>
        <w:pStyle w:val="ListParagraph"/>
        <w:numPr>
          <w:ilvl w:val="0"/>
          <w:numId w:val="3"/>
        </w:numPr>
        <w:spacing w:line="240" w:lineRule="auto"/>
        <w:ind w:right="146"/>
        <w:jc w:val="both"/>
        <w:rPr>
          <w:rFonts w:cstheme="minorHAnsi"/>
          <w:sz w:val="24"/>
          <w:szCs w:val="24"/>
        </w:rPr>
      </w:pPr>
      <w:r w:rsidRPr="005542F5">
        <w:rPr>
          <w:rFonts w:cstheme="minorHAnsi"/>
          <w:color w:val="000000"/>
          <w:sz w:val="24"/>
          <w:szCs w:val="24"/>
        </w:rPr>
        <w:t xml:space="preserve">Wolff AC, Hammond ME, Allison KH;; et al </w:t>
      </w:r>
      <w:r w:rsidRPr="005542F5">
        <w:rPr>
          <w:rFonts w:cstheme="minorHAnsi"/>
          <w:color w:val="212121"/>
          <w:sz w:val="24"/>
          <w:szCs w:val="24"/>
        </w:rPr>
        <w:t>Human Epidermal Growth Factor Receptor 2 Testing in Breast Cancer: American Society of Clinical Oncology/College of American Pathologists Clinical Practice Guideline Focused Update</w:t>
      </w:r>
      <w:r w:rsidRPr="005542F5">
        <w:rPr>
          <w:rFonts w:cstheme="minorHAnsi"/>
          <w:color w:val="000000"/>
          <w:sz w:val="24"/>
          <w:szCs w:val="24"/>
        </w:rPr>
        <w:t xml:space="preserve">. </w:t>
      </w:r>
      <w:r w:rsidRPr="005542F5">
        <w:rPr>
          <w:rFonts w:cstheme="minorHAnsi"/>
          <w:iCs/>
          <w:color w:val="000000"/>
          <w:sz w:val="24"/>
          <w:szCs w:val="24"/>
        </w:rPr>
        <w:t>Journal of Clinical Oncology</w:t>
      </w:r>
      <w:r w:rsidRPr="005542F5">
        <w:rPr>
          <w:rFonts w:cstheme="minorHAnsi"/>
          <w:color w:val="000000"/>
          <w:sz w:val="24"/>
          <w:szCs w:val="24"/>
        </w:rPr>
        <w:t> </w:t>
      </w:r>
      <w:r w:rsidRPr="005542F5">
        <w:rPr>
          <w:rFonts w:cstheme="minorHAnsi"/>
          <w:bCs/>
          <w:color w:val="000000"/>
          <w:sz w:val="24"/>
          <w:szCs w:val="24"/>
        </w:rPr>
        <w:t xml:space="preserve">2018, </w:t>
      </w:r>
      <w:r w:rsidRPr="005542F5">
        <w:rPr>
          <w:rFonts w:cstheme="minorHAnsi"/>
          <w:color w:val="000000"/>
          <w:sz w:val="24"/>
          <w:szCs w:val="24"/>
        </w:rPr>
        <w:t>36, 2105-2122.</w:t>
      </w:r>
    </w:p>
    <w:p w14:paraId="4D436CE2" w14:textId="77777777" w:rsidR="0098373C" w:rsidRPr="005542F5" w:rsidRDefault="0098373C" w:rsidP="005542F5">
      <w:pPr>
        <w:pStyle w:val="ListParagraph"/>
        <w:numPr>
          <w:ilvl w:val="0"/>
          <w:numId w:val="3"/>
        </w:numPr>
        <w:spacing w:line="240" w:lineRule="auto"/>
        <w:ind w:right="146"/>
        <w:jc w:val="both"/>
        <w:rPr>
          <w:rFonts w:cstheme="minorHAnsi"/>
          <w:sz w:val="24"/>
          <w:szCs w:val="24"/>
        </w:rPr>
      </w:pPr>
      <w:r w:rsidRPr="005542F5">
        <w:rPr>
          <w:rFonts w:cstheme="minorHAnsi"/>
          <w:sz w:val="24"/>
          <w:szCs w:val="24"/>
        </w:rPr>
        <w:t xml:space="preserve">Yaziji H, Gown AM. Accuracy and precision in HER2/neu testing in breast cancer: are we there yet? </w:t>
      </w:r>
      <w:hyperlink r:id="rId14" w:tooltip="Human pathology." w:history="1">
        <w:r w:rsidRPr="005542F5">
          <w:rPr>
            <w:rStyle w:val="highlight"/>
            <w:rFonts w:eastAsiaTheme="majorEastAsia" w:cstheme="minorHAnsi"/>
            <w:sz w:val="24"/>
            <w:szCs w:val="24"/>
          </w:rPr>
          <w:t>Hum Pathol</w:t>
        </w:r>
        <w:r w:rsidRPr="005542F5">
          <w:rPr>
            <w:rStyle w:val="Hyperlink"/>
            <w:rFonts w:cstheme="minorHAnsi"/>
            <w:sz w:val="24"/>
            <w:szCs w:val="24"/>
          </w:rPr>
          <w:t>.</w:t>
        </w:r>
      </w:hyperlink>
      <w:r w:rsidRPr="005542F5">
        <w:rPr>
          <w:rStyle w:val="highlight"/>
          <w:rFonts w:eastAsiaTheme="majorEastAsia" w:cstheme="minorHAnsi"/>
          <w:sz w:val="24"/>
          <w:szCs w:val="24"/>
        </w:rPr>
        <w:t>2004</w:t>
      </w:r>
      <w:r w:rsidRPr="005542F5">
        <w:rPr>
          <w:rFonts w:cstheme="minorHAnsi"/>
          <w:sz w:val="24"/>
          <w:szCs w:val="24"/>
        </w:rPr>
        <w:t>;35:</w:t>
      </w:r>
      <w:r w:rsidRPr="005542F5">
        <w:rPr>
          <w:rStyle w:val="highlight"/>
          <w:rFonts w:eastAsiaTheme="majorEastAsia" w:cstheme="minorHAnsi"/>
          <w:sz w:val="24"/>
          <w:szCs w:val="24"/>
        </w:rPr>
        <w:t>143</w:t>
      </w:r>
      <w:r w:rsidRPr="005542F5">
        <w:rPr>
          <w:rFonts w:cstheme="minorHAnsi"/>
          <w:sz w:val="24"/>
          <w:szCs w:val="24"/>
        </w:rPr>
        <w:t>-6.</w:t>
      </w:r>
    </w:p>
    <w:p w14:paraId="2EB4F1FE" w14:textId="77777777" w:rsidR="002C4AF9" w:rsidRPr="005542F5" w:rsidRDefault="00E25469" w:rsidP="008F4E37">
      <w:pPr>
        <w:pStyle w:val="ListParagraph"/>
        <w:numPr>
          <w:ilvl w:val="0"/>
          <w:numId w:val="3"/>
        </w:numPr>
        <w:shd w:val="clear" w:color="auto" w:fill="FFFFFF"/>
        <w:spacing w:line="240" w:lineRule="auto"/>
        <w:ind w:right="146"/>
        <w:rPr>
          <w:rStyle w:val="page"/>
          <w:rFonts w:cstheme="minorHAnsi"/>
          <w:color w:val="000000"/>
          <w:sz w:val="24"/>
          <w:szCs w:val="24"/>
        </w:rPr>
      </w:pPr>
      <w:r w:rsidRPr="005542F5">
        <w:rPr>
          <w:rStyle w:val="nlmstring-name"/>
          <w:rFonts w:cstheme="minorHAnsi"/>
          <w:color w:val="000000"/>
          <w:sz w:val="24"/>
          <w:szCs w:val="24"/>
        </w:rPr>
        <w:t>Tarantino</w:t>
      </w:r>
      <w:r w:rsidR="002C4AF9" w:rsidRPr="005542F5">
        <w:rPr>
          <w:rStyle w:val="nlmstring-name"/>
          <w:rFonts w:cstheme="minorHAnsi"/>
          <w:color w:val="000000"/>
          <w:sz w:val="24"/>
          <w:szCs w:val="24"/>
        </w:rPr>
        <w:t xml:space="preserve"> P</w:t>
      </w:r>
      <w:r w:rsidRPr="005542F5">
        <w:rPr>
          <w:rFonts w:cstheme="minorHAnsi"/>
          <w:color w:val="000000"/>
          <w:sz w:val="24"/>
          <w:szCs w:val="24"/>
        </w:rPr>
        <w:t>, </w:t>
      </w:r>
      <w:r w:rsidRPr="005542F5">
        <w:rPr>
          <w:rStyle w:val="nlmstring-name"/>
          <w:rFonts w:cstheme="minorHAnsi"/>
          <w:color w:val="000000"/>
          <w:sz w:val="24"/>
          <w:szCs w:val="24"/>
        </w:rPr>
        <w:t>Hamilton</w:t>
      </w:r>
      <w:r w:rsidR="002C4AF9" w:rsidRPr="005542F5">
        <w:rPr>
          <w:rStyle w:val="nlmstring-name"/>
          <w:rFonts w:cstheme="minorHAnsi"/>
          <w:color w:val="000000"/>
          <w:sz w:val="24"/>
          <w:szCs w:val="24"/>
        </w:rPr>
        <w:t xml:space="preserve"> E</w:t>
      </w:r>
      <w:r w:rsidRPr="005542F5">
        <w:rPr>
          <w:rFonts w:cstheme="minorHAnsi"/>
          <w:color w:val="000000"/>
          <w:sz w:val="24"/>
          <w:szCs w:val="24"/>
        </w:rPr>
        <w:t>, </w:t>
      </w:r>
      <w:r w:rsidRPr="005542F5">
        <w:rPr>
          <w:rStyle w:val="nlmstring-name"/>
          <w:rFonts w:cstheme="minorHAnsi"/>
          <w:color w:val="000000"/>
          <w:sz w:val="24"/>
          <w:szCs w:val="24"/>
        </w:rPr>
        <w:t>Tolaney</w:t>
      </w:r>
      <w:r w:rsidR="002C4AF9" w:rsidRPr="005542F5">
        <w:rPr>
          <w:rStyle w:val="nlmstring-name"/>
          <w:rFonts w:cstheme="minorHAnsi"/>
          <w:color w:val="000000"/>
          <w:sz w:val="24"/>
          <w:szCs w:val="24"/>
        </w:rPr>
        <w:t xml:space="preserve"> S et al </w:t>
      </w:r>
      <w:r w:rsidRPr="005542F5">
        <w:rPr>
          <w:rFonts w:cstheme="minorHAnsi"/>
          <w:color w:val="000000"/>
          <w:sz w:val="24"/>
          <w:szCs w:val="24"/>
        </w:rPr>
        <w:t>, </w:t>
      </w:r>
      <w:r w:rsidR="002C4AF9" w:rsidRPr="005542F5">
        <w:rPr>
          <w:rFonts w:cstheme="minorHAnsi"/>
          <w:bCs/>
          <w:color w:val="000000"/>
          <w:sz w:val="24"/>
          <w:szCs w:val="24"/>
        </w:rPr>
        <w:t xml:space="preserve">HER2-Low Breast Cancer: Pathological and Clinical Landscape. </w:t>
      </w:r>
      <w:r w:rsidRPr="005542F5">
        <w:rPr>
          <w:rStyle w:val="journalname"/>
          <w:rFonts w:cstheme="minorHAnsi"/>
          <w:color w:val="000000"/>
          <w:sz w:val="24"/>
          <w:szCs w:val="24"/>
          <w:shd w:val="clear" w:color="auto" w:fill="FFFFFF"/>
        </w:rPr>
        <w:t>Journal of Clinical Oncology</w:t>
      </w:r>
      <w:r w:rsidRPr="005542F5">
        <w:rPr>
          <w:rFonts w:cstheme="minorHAnsi"/>
          <w:color w:val="000000"/>
          <w:sz w:val="24"/>
          <w:szCs w:val="24"/>
          <w:shd w:val="clear" w:color="auto" w:fill="FFFFFF"/>
        </w:rPr>
        <w:t> </w:t>
      </w:r>
      <w:r w:rsidRPr="005542F5">
        <w:rPr>
          <w:rStyle w:val="year"/>
          <w:rFonts w:cstheme="minorHAnsi"/>
          <w:color w:val="000000"/>
          <w:sz w:val="24"/>
          <w:szCs w:val="24"/>
          <w:shd w:val="clear" w:color="auto" w:fill="FFFFFF"/>
        </w:rPr>
        <w:t>2020</w:t>
      </w:r>
      <w:r w:rsidRPr="005542F5">
        <w:rPr>
          <w:rFonts w:cstheme="minorHAnsi"/>
          <w:color w:val="000000"/>
          <w:sz w:val="24"/>
          <w:szCs w:val="24"/>
          <w:shd w:val="clear" w:color="auto" w:fill="FFFFFF"/>
        </w:rPr>
        <w:t> </w:t>
      </w:r>
      <w:r w:rsidRPr="005542F5">
        <w:rPr>
          <w:rStyle w:val="volume"/>
          <w:rFonts w:cstheme="minorHAnsi"/>
          <w:color w:val="000000"/>
          <w:sz w:val="24"/>
          <w:szCs w:val="24"/>
          <w:shd w:val="clear" w:color="auto" w:fill="FFFFFF"/>
        </w:rPr>
        <w:t>38</w:t>
      </w:r>
      <w:r w:rsidRPr="005542F5">
        <w:rPr>
          <w:rFonts w:cstheme="minorHAnsi"/>
          <w:color w:val="000000"/>
          <w:sz w:val="24"/>
          <w:szCs w:val="24"/>
          <w:shd w:val="clear" w:color="auto" w:fill="FFFFFF"/>
        </w:rPr>
        <w:t>:</w:t>
      </w:r>
      <w:r w:rsidRPr="005542F5">
        <w:rPr>
          <w:rStyle w:val="issue"/>
          <w:rFonts w:cstheme="minorHAnsi"/>
          <w:color w:val="000000"/>
          <w:sz w:val="24"/>
          <w:szCs w:val="24"/>
          <w:shd w:val="clear" w:color="auto" w:fill="FFFFFF"/>
        </w:rPr>
        <w:t>17</w:t>
      </w:r>
      <w:r w:rsidRPr="005542F5">
        <w:rPr>
          <w:rFonts w:cstheme="minorHAnsi"/>
          <w:color w:val="000000"/>
          <w:sz w:val="24"/>
          <w:szCs w:val="24"/>
          <w:shd w:val="clear" w:color="auto" w:fill="FFFFFF"/>
        </w:rPr>
        <w:t>, </w:t>
      </w:r>
      <w:r w:rsidRPr="005542F5">
        <w:rPr>
          <w:rStyle w:val="page"/>
          <w:rFonts w:cstheme="minorHAnsi"/>
          <w:color w:val="000000"/>
          <w:sz w:val="24"/>
          <w:szCs w:val="24"/>
          <w:shd w:val="clear" w:color="auto" w:fill="FFFFFF"/>
        </w:rPr>
        <w:t>1951-1962</w:t>
      </w:r>
    </w:p>
    <w:p w14:paraId="6EB47995" w14:textId="77777777" w:rsidR="0098373C" w:rsidRPr="005542F5" w:rsidRDefault="0098373C" w:rsidP="008F4E37">
      <w:pPr>
        <w:pStyle w:val="ListParagraph"/>
        <w:numPr>
          <w:ilvl w:val="0"/>
          <w:numId w:val="3"/>
        </w:numPr>
        <w:shd w:val="clear" w:color="auto" w:fill="FFFFFF"/>
        <w:spacing w:line="240" w:lineRule="auto"/>
        <w:ind w:right="146"/>
        <w:rPr>
          <w:rFonts w:cstheme="minorHAnsi"/>
          <w:color w:val="000000"/>
          <w:sz w:val="24"/>
          <w:szCs w:val="24"/>
        </w:rPr>
      </w:pPr>
      <w:r w:rsidRPr="005542F5">
        <w:rPr>
          <w:rFonts w:cstheme="minorHAnsi"/>
          <w:sz w:val="24"/>
          <w:szCs w:val="24"/>
        </w:rPr>
        <w:t xml:space="preserve">Ellis C. HER2 amplification status in breast cancer: a comparison between immunohistochemical staining and fluorescence in situ </w:t>
      </w:r>
      <w:r w:rsidR="00D23EDE" w:rsidRPr="005542F5">
        <w:rPr>
          <w:rFonts w:cstheme="minorHAnsi"/>
          <w:sz w:val="24"/>
          <w:szCs w:val="24"/>
        </w:rPr>
        <w:t>hybridization</w:t>
      </w:r>
      <w:r w:rsidRPr="005542F5">
        <w:rPr>
          <w:rFonts w:cstheme="minorHAnsi"/>
          <w:sz w:val="24"/>
          <w:szCs w:val="24"/>
        </w:rPr>
        <w:t xml:space="preserve"> using manual and automated quantitative image analysis scoring techniques. Journal of Clinical Pathology. 2005;58(7):710-714.</w:t>
      </w:r>
    </w:p>
    <w:p w14:paraId="1CA940F1" w14:textId="77777777" w:rsidR="0098373C" w:rsidRPr="008F4E37" w:rsidRDefault="0098373C" w:rsidP="00A5557B">
      <w:pPr>
        <w:tabs>
          <w:tab w:val="left" w:pos="2190"/>
        </w:tabs>
        <w:ind w:right="146"/>
        <w:jc w:val="both"/>
        <w:rPr>
          <w:rFonts w:cstheme="minorHAnsi"/>
          <w:b/>
          <w:color w:val="17365D" w:themeColor="text2" w:themeShade="BF"/>
          <w:sz w:val="18"/>
          <w:szCs w:val="18"/>
        </w:rPr>
      </w:pPr>
    </w:p>
    <w:p w14:paraId="242D221D" w14:textId="77777777" w:rsidR="0098373C" w:rsidRPr="005542F5" w:rsidRDefault="0098373C" w:rsidP="00A5557B">
      <w:pPr>
        <w:tabs>
          <w:tab w:val="left" w:pos="2190"/>
        </w:tabs>
        <w:ind w:right="146"/>
        <w:jc w:val="center"/>
        <w:rPr>
          <w:rFonts w:cs="Arial"/>
          <w:b/>
          <w:color w:val="17365D" w:themeColor="text2" w:themeShade="BF"/>
          <w:sz w:val="24"/>
          <w:szCs w:val="24"/>
        </w:rPr>
      </w:pPr>
      <w:r w:rsidRPr="005542F5">
        <w:rPr>
          <w:rFonts w:cs="Arial"/>
          <w:b/>
          <w:color w:val="17365D" w:themeColor="text2" w:themeShade="BF"/>
          <w:sz w:val="24"/>
          <w:szCs w:val="24"/>
        </w:rPr>
        <w:t>Thank You all for your participation!</w:t>
      </w:r>
    </w:p>
    <w:p w14:paraId="72826DBA" w14:textId="77777777" w:rsidR="00BD735A" w:rsidRPr="005542F5" w:rsidRDefault="0098373C" w:rsidP="00A5557B">
      <w:pPr>
        <w:ind w:right="146"/>
        <w:jc w:val="center"/>
        <w:rPr>
          <w:rFonts w:cs="Times New Roman"/>
          <w:sz w:val="24"/>
          <w:szCs w:val="24"/>
        </w:rPr>
      </w:pPr>
      <w:r w:rsidRPr="005542F5">
        <w:rPr>
          <w:rFonts w:cs="Arial"/>
          <w:b/>
          <w:color w:val="17365D" w:themeColor="text2" w:themeShade="BF"/>
          <w:sz w:val="24"/>
          <w:szCs w:val="24"/>
        </w:rPr>
        <w:t>+++++++++++++++++++++++++++++++++++++++++++++++++++++++++++++++++</w:t>
      </w:r>
    </w:p>
    <w:p w14:paraId="10B86572" w14:textId="77777777" w:rsidR="00BD735A" w:rsidRPr="005542F5" w:rsidRDefault="00BD735A" w:rsidP="00BD735A">
      <w:pPr>
        <w:rPr>
          <w:rFonts w:cs="Times New Roman"/>
          <w:sz w:val="24"/>
          <w:szCs w:val="24"/>
        </w:rPr>
      </w:pPr>
    </w:p>
    <w:p w14:paraId="0D18770C" w14:textId="77777777" w:rsidR="00BD735A" w:rsidRPr="00BD735A" w:rsidRDefault="00BD735A" w:rsidP="00BD735A">
      <w:pPr>
        <w:rPr>
          <w:rFonts w:cs="Times New Roman"/>
          <w:szCs w:val="24"/>
        </w:rPr>
      </w:pPr>
    </w:p>
    <w:p w14:paraId="7E9BB669" w14:textId="77777777" w:rsidR="00BD735A" w:rsidRPr="00BD735A" w:rsidRDefault="00BD735A" w:rsidP="00BD735A">
      <w:pPr>
        <w:rPr>
          <w:rFonts w:cs="Times New Roman"/>
          <w:szCs w:val="24"/>
        </w:rPr>
      </w:pPr>
    </w:p>
    <w:p w14:paraId="36B1DD0C" w14:textId="77777777" w:rsidR="00BD735A" w:rsidRPr="00BD735A" w:rsidRDefault="00BD735A" w:rsidP="00BD735A">
      <w:pPr>
        <w:rPr>
          <w:rFonts w:cs="Times New Roman"/>
          <w:szCs w:val="24"/>
        </w:rPr>
      </w:pPr>
    </w:p>
    <w:p w14:paraId="6079D56C" w14:textId="77777777" w:rsidR="00BD735A" w:rsidRPr="00BD735A" w:rsidRDefault="00BD735A" w:rsidP="00BD735A">
      <w:pPr>
        <w:rPr>
          <w:rFonts w:cs="Times New Roman"/>
          <w:szCs w:val="24"/>
        </w:rPr>
      </w:pPr>
    </w:p>
    <w:p w14:paraId="3CFD75B0" w14:textId="77777777" w:rsidR="00BD735A" w:rsidRPr="00BD735A" w:rsidRDefault="00BD735A" w:rsidP="00BD735A">
      <w:pPr>
        <w:rPr>
          <w:rFonts w:cs="Times New Roman"/>
          <w:szCs w:val="24"/>
        </w:rPr>
      </w:pPr>
    </w:p>
    <w:p w14:paraId="6298B887" w14:textId="77777777" w:rsidR="00BD735A" w:rsidRPr="00BD735A" w:rsidRDefault="00BD735A" w:rsidP="00BD735A">
      <w:pPr>
        <w:rPr>
          <w:rFonts w:cs="Times New Roman"/>
          <w:szCs w:val="24"/>
        </w:rPr>
      </w:pPr>
    </w:p>
    <w:p w14:paraId="17EBF9D9" w14:textId="77777777" w:rsidR="00BD735A" w:rsidRPr="00BD735A" w:rsidRDefault="00BD735A" w:rsidP="00BD735A">
      <w:pPr>
        <w:rPr>
          <w:rFonts w:cs="Times New Roman"/>
          <w:szCs w:val="24"/>
        </w:rPr>
      </w:pPr>
    </w:p>
    <w:p w14:paraId="52DCB566" w14:textId="77777777" w:rsidR="00BD735A" w:rsidRPr="00BD735A" w:rsidRDefault="00BD735A" w:rsidP="00BD735A">
      <w:pPr>
        <w:rPr>
          <w:rFonts w:cs="Times New Roman"/>
          <w:szCs w:val="24"/>
        </w:rPr>
      </w:pPr>
    </w:p>
    <w:p w14:paraId="7827F367" w14:textId="77777777" w:rsidR="00BD735A" w:rsidRPr="00BD735A" w:rsidRDefault="00BD735A" w:rsidP="00BD735A">
      <w:pPr>
        <w:rPr>
          <w:rFonts w:cs="Times New Roman"/>
          <w:szCs w:val="24"/>
        </w:rPr>
      </w:pPr>
    </w:p>
    <w:p w14:paraId="2FB19F18" w14:textId="77777777" w:rsidR="00BD735A" w:rsidRDefault="00BD735A" w:rsidP="00BD735A">
      <w:pPr>
        <w:rPr>
          <w:rFonts w:cs="Times New Roman"/>
          <w:szCs w:val="24"/>
        </w:rPr>
      </w:pPr>
    </w:p>
    <w:p w14:paraId="4C312C1E" w14:textId="77777777" w:rsidR="0098373C" w:rsidRDefault="00BD735A" w:rsidP="00BD735A">
      <w:pPr>
        <w:tabs>
          <w:tab w:val="left" w:pos="945"/>
        </w:tabs>
        <w:rPr>
          <w:rFonts w:cs="Times New Roman"/>
          <w:szCs w:val="24"/>
        </w:rPr>
      </w:pPr>
      <w:r>
        <w:rPr>
          <w:rFonts w:cs="Times New Roman"/>
          <w:szCs w:val="24"/>
        </w:rPr>
        <w:tab/>
      </w:r>
    </w:p>
    <w:sectPr w:rsidR="0098373C" w:rsidSect="00726AF4">
      <w:headerReference w:type="even" r:id="rId15"/>
      <w:headerReference w:type="default" r:id="rId16"/>
      <w:footerReference w:type="even" r:id="rId17"/>
      <w:footerReference w:type="default" r:id="rId18"/>
      <w:headerReference w:type="first" r:id="rId19"/>
      <w:footerReference w:type="first" r:id="rId20"/>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C90B6E" w14:textId="77777777" w:rsidR="00E47D04" w:rsidRDefault="00E47D04" w:rsidP="00B71C39">
      <w:r>
        <w:separator/>
      </w:r>
    </w:p>
  </w:endnote>
  <w:endnote w:type="continuationSeparator" w:id="0">
    <w:p w14:paraId="1AF9F331" w14:textId="77777777" w:rsidR="00E47D04" w:rsidRDefault="00E47D04" w:rsidP="00B71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9F795" w14:textId="77777777" w:rsidR="008676FA" w:rsidRDefault="008676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5723177"/>
      <w:docPartObj>
        <w:docPartGallery w:val="Page Numbers (Bottom of Page)"/>
        <w:docPartUnique/>
      </w:docPartObj>
    </w:sdtPr>
    <w:sdtEndPr/>
    <w:sdtContent>
      <w:sdt>
        <w:sdtPr>
          <w:id w:val="-1769616900"/>
          <w:docPartObj>
            <w:docPartGallery w:val="Page Numbers (Top of Page)"/>
            <w:docPartUnique/>
          </w:docPartObj>
        </w:sdtPr>
        <w:sdtEndPr/>
        <w:sdtContent>
          <w:p w14:paraId="73DB713B" w14:textId="77777777" w:rsidR="008676FA" w:rsidRDefault="008676FA">
            <w:pPr>
              <w:pStyle w:val="Footer"/>
              <w:jc w:val="right"/>
            </w:pPr>
            <w:r>
              <w:t xml:space="preserve">Page </w:t>
            </w:r>
            <w:r w:rsidR="008C4ACB">
              <w:rPr>
                <w:b/>
                <w:bCs/>
                <w:sz w:val="24"/>
                <w:szCs w:val="24"/>
              </w:rPr>
              <w:fldChar w:fldCharType="begin"/>
            </w:r>
            <w:r>
              <w:rPr>
                <w:b/>
                <w:bCs/>
              </w:rPr>
              <w:instrText xml:space="preserve"> PAGE </w:instrText>
            </w:r>
            <w:r w:rsidR="008C4ACB">
              <w:rPr>
                <w:b/>
                <w:bCs/>
                <w:sz w:val="24"/>
                <w:szCs w:val="24"/>
              </w:rPr>
              <w:fldChar w:fldCharType="separate"/>
            </w:r>
            <w:r w:rsidR="00AB7E5D">
              <w:rPr>
                <w:b/>
                <w:bCs/>
                <w:noProof/>
              </w:rPr>
              <w:t>1</w:t>
            </w:r>
            <w:r w:rsidR="008C4ACB">
              <w:rPr>
                <w:b/>
                <w:bCs/>
                <w:sz w:val="24"/>
                <w:szCs w:val="24"/>
              </w:rPr>
              <w:fldChar w:fldCharType="end"/>
            </w:r>
            <w:r>
              <w:t xml:space="preserve"> of </w:t>
            </w:r>
            <w:r w:rsidR="008C4ACB">
              <w:rPr>
                <w:b/>
                <w:bCs/>
                <w:sz w:val="24"/>
                <w:szCs w:val="24"/>
              </w:rPr>
              <w:fldChar w:fldCharType="begin"/>
            </w:r>
            <w:r>
              <w:rPr>
                <w:b/>
                <w:bCs/>
              </w:rPr>
              <w:instrText xml:space="preserve"> NUMPAGES  </w:instrText>
            </w:r>
            <w:r w:rsidR="008C4ACB">
              <w:rPr>
                <w:b/>
                <w:bCs/>
                <w:sz w:val="24"/>
                <w:szCs w:val="24"/>
              </w:rPr>
              <w:fldChar w:fldCharType="separate"/>
            </w:r>
            <w:r w:rsidR="00AB7E5D">
              <w:rPr>
                <w:b/>
                <w:bCs/>
                <w:noProof/>
              </w:rPr>
              <w:t>12</w:t>
            </w:r>
            <w:r w:rsidR="008C4ACB">
              <w:rPr>
                <w:b/>
                <w:bCs/>
                <w:sz w:val="24"/>
                <w:szCs w:val="24"/>
              </w:rPr>
              <w:fldChar w:fldCharType="end"/>
            </w:r>
          </w:p>
        </w:sdtContent>
      </w:sdt>
    </w:sdtContent>
  </w:sdt>
  <w:p w14:paraId="4493CB16" w14:textId="77777777" w:rsidR="008676FA" w:rsidRPr="00B71C39" w:rsidRDefault="008676FA" w:rsidP="00B71C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F0C17" w14:textId="77777777" w:rsidR="008676FA" w:rsidRDefault="008676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A3CF2" w14:textId="77777777" w:rsidR="00E47D04" w:rsidRDefault="00E47D04" w:rsidP="00B71C39">
      <w:r>
        <w:separator/>
      </w:r>
    </w:p>
  </w:footnote>
  <w:footnote w:type="continuationSeparator" w:id="0">
    <w:p w14:paraId="47C2D2B1" w14:textId="77777777" w:rsidR="00E47D04" w:rsidRDefault="00E47D04" w:rsidP="00B71C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DD3B2" w14:textId="77777777" w:rsidR="008676FA" w:rsidRDefault="008676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AE884" w14:textId="77777777" w:rsidR="008676FA" w:rsidRPr="005664AA" w:rsidRDefault="008676FA" w:rsidP="00B71C39">
    <w:pPr>
      <w:pStyle w:val="Header"/>
      <w:jc w:val="center"/>
      <w:rPr>
        <w:rFonts w:ascii="Bell MT" w:hAnsi="Bell MT"/>
        <w:b/>
        <w:color w:val="1F497D" w:themeColor="text2"/>
        <w:sz w:val="28"/>
      </w:rPr>
    </w:pPr>
    <w:r>
      <w:rPr>
        <w:rFonts w:ascii="Bell MT" w:hAnsi="Bell MT"/>
        <w:b/>
        <w:noProof/>
        <w:color w:val="1F497D" w:themeColor="text2"/>
        <w:sz w:val="28"/>
      </w:rPr>
      <w:drawing>
        <wp:anchor distT="0" distB="0" distL="114300" distR="114300" simplePos="0" relativeHeight="251657216" behindDoc="0" locked="0" layoutInCell="1" allowOverlap="1" wp14:anchorId="11ACF3EB" wp14:editId="3316476D">
          <wp:simplePos x="0" y="0"/>
          <wp:positionH relativeFrom="column">
            <wp:posOffset>-438150</wp:posOffset>
          </wp:positionH>
          <wp:positionV relativeFrom="paragraph">
            <wp:posOffset>-400050</wp:posOffset>
          </wp:positionV>
          <wp:extent cx="847725" cy="752475"/>
          <wp:effectExtent l="19050" t="0" r="9525" b="0"/>
          <wp:wrapSquare wrapText="bothSides"/>
          <wp:docPr id="1" name="Picture 0" descr="tanuja Logo NCGEQ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uja Logo NCGEQAS.png"/>
                  <pic:cNvPicPr/>
                </pic:nvPicPr>
                <pic:blipFill>
                  <a:blip r:embed="rId1"/>
                  <a:stretch>
                    <a:fillRect/>
                  </a:stretch>
                </pic:blipFill>
                <pic:spPr>
                  <a:xfrm>
                    <a:off x="0" y="0"/>
                    <a:ext cx="847725" cy="752475"/>
                  </a:xfrm>
                  <a:prstGeom prst="rect">
                    <a:avLst/>
                  </a:prstGeom>
                </pic:spPr>
              </pic:pic>
            </a:graphicData>
          </a:graphic>
        </wp:anchor>
      </w:drawing>
    </w:r>
    <w:sdt>
      <w:sdtPr>
        <w:rPr>
          <w:rFonts w:ascii="Bell MT" w:hAnsi="Bell MT"/>
          <w:b/>
          <w:color w:val="1F497D" w:themeColor="text2"/>
          <w:sz w:val="28"/>
        </w:rPr>
        <w:id w:val="21585160"/>
        <w:docPartObj>
          <w:docPartGallery w:val="Watermarks"/>
          <w:docPartUnique/>
        </w:docPartObj>
      </w:sdtPr>
      <w:sdtEndPr/>
      <w:sdtContent>
        <w:r w:rsidR="007F5D06">
          <w:rPr>
            <w:rFonts w:ascii="Bell MT" w:hAnsi="Bell MT"/>
            <w:b/>
            <w:noProof/>
            <w:color w:val="1F497D" w:themeColor="text2"/>
            <w:sz w:val="28"/>
            <w:lang w:eastAsia="zh-TW"/>
          </w:rPr>
          <w:pict w14:anchorId="78BEFE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0027783" o:spid="_x0000_s2049" type="#_x0000_t136" style="position:absolute;left:0;text-align:left;margin-left:0;margin-top:0;width:577.35pt;height:82.45pt;rotation:315;z-index:-251658240;mso-position-horizontal:center;mso-position-horizontal-relative:margin;mso-position-vertical:center;mso-position-vertical-relative:margin" o:allowincell="f" fillcolor="silver" stroked="f">
              <v:fill opacity=".5"/>
              <v:textpath style="font-family:&quot;Calibri&quot;;font-size:1pt" string="NCG EQAS RUN 29 DO NOT COPY"/>
              <w10:wrap anchorx="margin" anchory="margin"/>
            </v:shape>
          </w:pict>
        </w:r>
      </w:sdtContent>
    </w:sdt>
    <w:r>
      <w:rPr>
        <w:rFonts w:ascii="Bell MT" w:hAnsi="Bell MT"/>
        <w:b/>
        <w:color w:val="1F497D" w:themeColor="text2"/>
        <w:sz w:val="28"/>
      </w:rPr>
      <w:t>N</w:t>
    </w:r>
    <w:r w:rsidRPr="005664AA">
      <w:rPr>
        <w:rFonts w:ascii="Bell MT" w:hAnsi="Bell MT"/>
        <w:b/>
        <w:color w:val="1F497D" w:themeColor="text2"/>
        <w:sz w:val="28"/>
      </w:rPr>
      <w:t>ational Cancer Grid External Quality Assurance Program</w:t>
    </w:r>
  </w:p>
  <w:p w14:paraId="1116F27D" w14:textId="77777777" w:rsidR="008676FA" w:rsidRPr="00B71C39" w:rsidRDefault="008676FA" w:rsidP="00B71C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71AE1" w14:textId="77777777" w:rsidR="008676FA" w:rsidRDefault="008676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A2E42"/>
    <w:multiLevelType w:val="hybridMultilevel"/>
    <w:tmpl w:val="A8182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D7F17"/>
    <w:multiLevelType w:val="hybridMultilevel"/>
    <w:tmpl w:val="D1EAB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3B3735"/>
    <w:multiLevelType w:val="hybridMultilevel"/>
    <w:tmpl w:val="CB0664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23A37"/>
    <w:multiLevelType w:val="hybridMultilevel"/>
    <w:tmpl w:val="C1DA62AE"/>
    <w:lvl w:ilvl="0" w:tplc="F55A16B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394157"/>
    <w:multiLevelType w:val="hybridMultilevel"/>
    <w:tmpl w:val="AE905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8C7E48"/>
    <w:multiLevelType w:val="hybridMultilevel"/>
    <w:tmpl w:val="979476E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651B1"/>
    <w:multiLevelType w:val="hybridMultilevel"/>
    <w:tmpl w:val="5D18F67A"/>
    <w:lvl w:ilvl="0" w:tplc="A2121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380AD8"/>
    <w:multiLevelType w:val="hybridMultilevel"/>
    <w:tmpl w:val="58A62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657750">
    <w:abstractNumId w:val="4"/>
  </w:num>
  <w:num w:numId="2" w16cid:durableId="1408263964">
    <w:abstractNumId w:val="0"/>
  </w:num>
  <w:num w:numId="3" w16cid:durableId="789472248">
    <w:abstractNumId w:val="5"/>
  </w:num>
  <w:num w:numId="4" w16cid:durableId="471602203">
    <w:abstractNumId w:val="6"/>
  </w:num>
  <w:num w:numId="5" w16cid:durableId="1841769244">
    <w:abstractNumId w:val="2"/>
  </w:num>
  <w:num w:numId="6" w16cid:durableId="2118404734">
    <w:abstractNumId w:val="1"/>
  </w:num>
  <w:num w:numId="7" w16cid:durableId="351956095">
    <w:abstractNumId w:val="7"/>
  </w:num>
  <w:num w:numId="8" w16cid:durableId="1564020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0D6E"/>
    <w:rsid w:val="00000244"/>
    <w:rsid w:val="00002EC3"/>
    <w:rsid w:val="00012E60"/>
    <w:rsid w:val="0001751A"/>
    <w:rsid w:val="00017998"/>
    <w:rsid w:val="0002077E"/>
    <w:rsid w:val="000211FC"/>
    <w:rsid w:val="0002221A"/>
    <w:rsid w:val="00023163"/>
    <w:rsid w:val="00034D72"/>
    <w:rsid w:val="000445E8"/>
    <w:rsid w:val="00044C1B"/>
    <w:rsid w:val="00045247"/>
    <w:rsid w:val="00060072"/>
    <w:rsid w:val="0006620E"/>
    <w:rsid w:val="0007414E"/>
    <w:rsid w:val="000744D8"/>
    <w:rsid w:val="00074F2A"/>
    <w:rsid w:val="00075984"/>
    <w:rsid w:val="0008474C"/>
    <w:rsid w:val="0008617D"/>
    <w:rsid w:val="000943D0"/>
    <w:rsid w:val="000A047E"/>
    <w:rsid w:val="000A1816"/>
    <w:rsid w:val="000A208F"/>
    <w:rsid w:val="000A3D31"/>
    <w:rsid w:val="000B1E9B"/>
    <w:rsid w:val="000C04A3"/>
    <w:rsid w:val="000E2090"/>
    <w:rsid w:val="000E3C66"/>
    <w:rsid w:val="000E4CAC"/>
    <w:rsid w:val="000F1299"/>
    <w:rsid w:val="000F56AD"/>
    <w:rsid w:val="000F60E8"/>
    <w:rsid w:val="00100189"/>
    <w:rsid w:val="001007A8"/>
    <w:rsid w:val="0010496B"/>
    <w:rsid w:val="00106459"/>
    <w:rsid w:val="00106ABB"/>
    <w:rsid w:val="00115045"/>
    <w:rsid w:val="00116352"/>
    <w:rsid w:val="00117174"/>
    <w:rsid w:val="00122CFB"/>
    <w:rsid w:val="00132890"/>
    <w:rsid w:val="00141238"/>
    <w:rsid w:val="001458A7"/>
    <w:rsid w:val="00146055"/>
    <w:rsid w:val="00147D4C"/>
    <w:rsid w:val="001505B7"/>
    <w:rsid w:val="00153246"/>
    <w:rsid w:val="001544B5"/>
    <w:rsid w:val="001559D1"/>
    <w:rsid w:val="00155B0C"/>
    <w:rsid w:val="00155BB3"/>
    <w:rsid w:val="0015624B"/>
    <w:rsid w:val="001649D8"/>
    <w:rsid w:val="00165F58"/>
    <w:rsid w:val="00166F05"/>
    <w:rsid w:val="00170782"/>
    <w:rsid w:val="00173E91"/>
    <w:rsid w:val="001866A5"/>
    <w:rsid w:val="00190E56"/>
    <w:rsid w:val="001A249C"/>
    <w:rsid w:val="001A24CB"/>
    <w:rsid w:val="001A3D91"/>
    <w:rsid w:val="001A470F"/>
    <w:rsid w:val="001A6077"/>
    <w:rsid w:val="001A6CDB"/>
    <w:rsid w:val="001A7BA7"/>
    <w:rsid w:val="001B0867"/>
    <w:rsid w:val="001B0B8B"/>
    <w:rsid w:val="001B4360"/>
    <w:rsid w:val="001B5889"/>
    <w:rsid w:val="001B5FD2"/>
    <w:rsid w:val="001C30C7"/>
    <w:rsid w:val="001D2C29"/>
    <w:rsid w:val="001D4389"/>
    <w:rsid w:val="001D7531"/>
    <w:rsid w:val="001E051B"/>
    <w:rsid w:val="001E545F"/>
    <w:rsid w:val="001F36CF"/>
    <w:rsid w:val="001F67F0"/>
    <w:rsid w:val="00200EAB"/>
    <w:rsid w:val="00202114"/>
    <w:rsid w:val="00205EA6"/>
    <w:rsid w:val="0020685A"/>
    <w:rsid w:val="00217804"/>
    <w:rsid w:val="00217AE4"/>
    <w:rsid w:val="0022295F"/>
    <w:rsid w:val="002313B8"/>
    <w:rsid w:val="0023154E"/>
    <w:rsid w:val="002459FA"/>
    <w:rsid w:val="00246DB0"/>
    <w:rsid w:val="002504B8"/>
    <w:rsid w:val="00251543"/>
    <w:rsid w:val="00254C20"/>
    <w:rsid w:val="0026122E"/>
    <w:rsid w:val="00270384"/>
    <w:rsid w:val="002720E7"/>
    <w:rsid w:val="00284206"/>
    <w:rsid w:val="00284855"/>
    <w:rsid w:val="00285C95"/>
    <w:rsid w:val="002877E5"/>
    <w:rsid w:val="002A29CA"/>
    <w:rsid w:val="002A2A15"/>
    <w:rsid w:val="002A487D"/>
    <w:rsid w:val="002B2D52"/>
    <w:rsid w:val="002C3A6C"/>
    <w:rsid w:val="002C4AF9"/>
    <w:rsid w:val="002C744E"/>
    <w:rsid w:val="002D2816"/>
    <w:rsid w:val="002D6D28"/>
    <w:rsid w:val="002D7FBD"/>
    <w:rsid w:val="002E25A0"/>
    <w:rsid w:val="002E7539"/>
    <w:rsid w:val="002F186A"/>
    <w:rsid w:val="002F6E5F"/>
    <w:rsid w:val="00303CAF"/>
    <w:rsid w:val="00303D00"/>
    <w:rsid w:val="003044E4"/>
    <w:rsid w:val="0030752F"/>
    <w:rsid w:val="0030799E"/>
    <w:rsid w:val="00311600"/>
    <w:rsid w:val="00315892"/>
    <w:rsid w:val="003244EB"/>
    <w:rsid w:val="003253C9"/>
    <w:rsid w:val="00330951"/>
    <w:rsid w:val="00332B1F"/>
    <w:rsid w:val="003341E4"/>
    <w:rsid w:val="003524F2"/>
    <w:rsid w:val="00354122"/>
    <w:rsid w:val="0035433E"/>
    <w:rsid w:val="003603DC"/>
    <w:rsid w:val="00360DD4"/>
    <w:rsid w:val="003613A4"/>
    <w:rsid w:val="003620EE"/>
    <w:rsid w:val="0036379B"/>
    <w:rsid w:val="0037692F"/>
    <w:rsid w:val="00381230"/>
    <w:rsid w:val="0038216D"/>
    <w:rsid w:val="00382C50"/>
    <w:rsid w:val="003915B5"/>
    <w:rsid w:val="003A0498"/>
    <w:rsid w:val="003A25BB"/>
    <w:rsid w:val="003A5933"/>
    <w:rsid w:val="003A6035"/>
    <w:rsid w:val="003A7DD9"/>
    <w:rsid w:val="003B105C"/>
    <w:rsid w:val="003B2965"/>
    <w:rsid w:val="003B7A3D"/>
    <w:rsid w:val="003C1F25"/>
    <w:rsid w:val="003C2A86"/>
    <w:rsid w:val="003C510E"/>
    <w:rsid w:val="003C7F1C"/>
    <w:rsid w:val="003D56EC"/>
    <w:rsid w:val="003D5C53"/>
    <w:rsid w:val="003D62A6"/>
    <w:rsid w:val="003D63EF"/>
    <w:rsid w:val="003E3EB8"/>
    <w:rsid w:val="003F0D6E"/>
    <w:rsid w:val="003F3EC9"/>
    <w:rsid w:val="003F43F7"/>
    <w:rsid w:val="00405025"/>
    <w:rsid w:val="004050CE"/>
    <w:rsid w:val="0040735F"/>
    <w:rsid w:val="004135E4"/>
    <w:rsid w:val="00416A9C"/>
    <w:rsid w:val="0042713E"/>
    <w:rsid w:val="00430B71"/>
    <w:rsid w:val="00431578"/>
    <w:rsid w:val="00431EB5"/>
    <w:rsid w:val="0043682A"/>
    <w:rsid w:val="0044177F"/>
    <w:rsid w:val="00442927"/>
    <w:rsid w:val="00442E6E"/>
    <w:rsid w:val="00451017"/>
    <w:rsid w:val="0045492A"/>
    <w:rsid w:val="004752D4"/>
    <w:rsid w:val="004776DD"/>
    <w:rsid w:val="00484B09"/>
    <w:rsid w:val="004930D4"/>
    <w:rsid w:val="004A5F5D"/>
    <w:rsid w:val="004B3367"/>
    <w:rsid w:val="004B4381"/>
    <w:rsid w:val="004B4474"/>
    <w:rsid w:val="004B6186"/>
    <w:rsid w:val="004B79EF"/>
    <w:rsid w:val="004C19B5"/>
    <w:rsid w:val="004C4295"/>
    <w:rsid w:val="004E014D"/>
    <w:rsid w:val="004E678A"/>
    <w:rsid w:val="004E7E45"/>
    <w:rsid w:val="0050086D"/>
    <w:rsid w:val="005009CA"/>
    <w:rsid w:val="00504B22"/>
    <w:rsid w:val="00511A5F"/>
    <w:rsid w:val="005253D0"/>
    <w:rsid w:val="00526984"/>
    <w:rsid w:val="00526A5A"/>
    <w:rsid w:val="005307C0"/>
    <w:rsid w:val="005422C7"/>
    <w:rsid w:val="00542D91"/>
    <w:rsid w:val="00543B40"/>
    <w:rsid w:val="00552197"/>
    <w:rsid w:val="0055255B"/>
    <w:rsid w:val="00552BEF"/>
    <w:rsid w:val="005542F5"/>
    <w:rsid w:val="00560F68"/>
    <w:rsid w:val="0056193B"/>
    <w:rsid w:val="005659F8"/>
    <w:rsid w:val="00566789"/>
    <w:rsid w:val="0056748E"/>
    <w:rsid w:val="00576272"/>
    <w:rsid w:val="005778C4"/>
    <w:rsid w:val="00577AA8"/>
    <w:rsid w:val="005848BC"/>
    <w:rsid w:val="005859EE"/>
    <w:rsid w:val="00587AC0"/>
    <w:rsid w:val="005A4BA0"/>
    <w:rsid w:val="005A4CDD"/>
    <w:rsid w:val="005A55D6"/>
    <w:rsid w:val="005A5745"/>
    <w:rsid w:val="005B2366"/>
    <w:rsid w:val="005C43EF"/>
    <w:rsid w:val="005C541D"/>
    <w:rsid w:val="005C6527"/>
    <w:rsid w:val="005D2079"/>
    <w:rsid w:val="005E0CC0"/>
    <w:rsid w:val="005E3BFE"/>
    <w:rsid w:val="005F5BF8"/>
    <w:rsid w:val="005F75AA"/>
    <w:rsid w:val="006032FC"/>
    <w:rsid w:val="0060463A"/>
    <w:rsid w:val="00605CA1"/>
    <w:rsid w:val="00605CA3"/>
    <w:rsid w:val="00606D0F"/>
    <w:rsid w:val="00606D15"/>
    <w:rsid w:val="00611836"/>
    <w:rsid w:val="006128C2"/>
    <w:rsid w:val="00621C31"/>
    <w:rsid w:val="00621E73"/>
    <w:rsid w:val="006228F1"/>
    <w:rsid w:val="00624107"/>
    <w:rsid w:val="00631175"/>
    <w:rsid w:val="006349F0"/>
    <w:rsid w:val="00635AE0"/>
    <w:rsid w:val="0064172F"/>
    <w:rsid w:val="00641BB7"/>
    <w:rsid w:val="00642C6C"/>
    <w:rsid w:val="00643867"/>
    <w:rsid w:val="006522A1"/>
    <w:rsid w:val="00662124"/>
    <w:rsid w:val="006632B5"/>
    <w:rsid w:val="0066475A"/>
    <w:rsid w:val="00664FD7"/>
    <w:rsid w:val="00673174"/>
    <w:rsid w:val="00676AEA"/>
    <w:rsid w:val="006835F0"/>
    <w:rsid w:val="006840F5"/>
    <w:rsid w:val="00687FC5"/>
    <w:rsid w:val="006B0FAE"/>
    <w:rsid w:val="006B1685"/>
    <w:rsid w:val="006B1F98"/>
    <w:rsid w:val="006B216B"/>
    <w:rsid w:val="006B45DF"/>
    <w:rsid w:val="006B6B27"/>
    <w:rsid w:val="006C5288"/>
    <w:rsid w:val="006C74F9"/>
    <w:rsid w:val="006D1B0D"/>
    <w:rsid w:val="006E10D0"/>
    <w:rsid w:val="006E21DA"/>
    <w:rsid w:val="006E33A8"/>
    <w:rsid w:val="006E61B7"/>
    <w:rsid w:val="006E7D12"/>
    <w:rsid w:val="006F6332"/>
    <w:rsid w:val="006F71ED"/>
    <w:rsid w:val="00700BF6"/>
    <w:rsid w:val="00704019"/>
    <w:rsid w:val="00707919"/>
    <w:rsid w:val="00714C66"/>
    <w:rsid w:val="00714DDE"/>
    <w:rsid w:val="00717CE4"/>
    <w:rsid w:val="00721C77"/>
    <w:rsid w:val="00722D7C"/>
    <w:rsid w:val="00726AF4"/>
    <w:rsid w:val="00730B3B"/>
    <w:rsid w:val="00731514"/>
    <w:rsid w:val="00736671"/>
    <w:rsid w:val="00737F6D"/>
    <w:rsid w:val="00752129"/>
    <w:rsid w:val="00752633"/>
    <w:rsid w:val="00754D2F"/>
    <w:rsid w:val="00755469"/>
    <w:rsid w:val="00760095"/>
    <w:rsid w:val="00763AA6"/>
    <w:rsid w:val="00771B7C"/>
    <w:rsid w:val="00783E43"/>
    <w:rsid w:val="00787499"/>
    <w:rsid w:val="00791D35"/>
    <w:rsid w:val="00797840"/>
    <w:rsid w:val="0079792B"/>
    <w:rsid w:val="007A2034"/>
    <w:rsid w:val="007A5C11"/>
    <w:rsid w:val="007A6455"/>
    <w:rsid w:val="007A7C72"/>
    <w:rsid w:val="007B1DE5"/>
    <w:rsid w:val="007C39C6"/>
    <w:rsid w:val="007C5706"/>
    <w:rsid w:val="007C62DD"/>
    <w:rsid w:val="007C75D1"/>
    <w:rsid w:val="007D058F"/>
    <w:rsid w:val="007D4264"/>
    <w:rsid w:val="007D4379"/>
    <w:rsid w:val="007E03F3"/>
    <w:rsid w:val="007E4ED2"/>
    <w:rsid w:val="007F0D39"/>
    <w:rsid w:val="00800D54"/>
    <w:rsid w:val="00801CE0"/>
    <w:rsid w:val="008108F0"/>
    <w:rsid w:val="00814F3C"/>
    <w:rsid w:val="00815248"/>
    <w:rsid w:val="00817436"/>
    <w:rsid w:val="00817FB5"/>
    <w:rsid w:val="0082087A"/>
    <w:rsid w:val="00821425"/>
    <w:rsid w:val="00827DDA"/>
    <w:rsid w:val="0083080D"/>
    <w:rsid w:val="008309F2"/>
    <w:rsid w:val="0083202E"/>
    <w:rsid w:val="00834796"/>
    <w:rsid w:val="00835740"/>
    <w:rsid w:val="00844632"/>
    <w:rsid w:val="008676FA"/>
    <w:rsid w:val="00871434"/>
    <w:rsid w:val="00874C4F"/>
    <w:rsid w:val="0087678F"/>
    <w:rsid w:val="00882163"/>
    <w:rsid w:val="00885FB4"/>
    <w:rsid w:val="00891F5A"/>
    <w:rsid w:val="008A4F5C"/>
    <w:rsid w:val="008A67D0"/>
    <w:rsid w:val="008B4A2B"/>
    <w:rsid w:val="008B4A2F"/>
    <w:rsid w:val="008B4FAC"/>
    <w:rsid w:val="008B5F03"/>
    <w:rsid w:val="008B744D"/>
    <w:rsid w:val="008C387D"/>
    <w:rsid w:val="008C4ACB"/>
    <w:rsid w:val="008C7A47"/>
    <w:rsid w:val="008E6168"/>
    <w:rsid w:val="008E680A"/>
    <w:rsid w:val="008E7070"/>
    <w:rsid w:val="008E7270"/>
    <w:rsid w:val="008F4E37"/>
    <w:rsid w:val="009033DE"/>
    <w:rsid w:val="00903680"/>
    <w:rsid w:val="009100E1"/>
    <w:rsid w:val="00913956"/>
    <w:rsid w:val="0092027B"/>
    <w:rsid w:val="00920712"/>
    <w:rsid w:val="00923423"/>
    <w:rsid w:val="00934567"/>
    <w:rsid w:val="009375CE"/>
    <w:rsid w:val="00941C94"/>
    <w:rsid w:val="009447B0"/>
    <w:rsid w:val="00944D87"/>
    <w:rsid w:val="00952D67"/>
    <w:rsid w:val="00954DA6"/>
    <w:rsid w:val="009622F7"/>
    <w:rsid w:val="00974622"/>
    <w:rsid w:val="00977B4B"/>
    <w:rsid w:val="00980143"/>
    <w:rsid w:val="00980F5E"/>
    <w:rsid w:val="0098373C"/>
    <w:rsid w:val="00983A0A"/>
    <w:rsid w:val="009846AF"/>
    <w:rsid w:val="00986A81"/>
    <w:rsid w:val="009928F5"/>
    <w:rsid w:val="009939AD"/>
    <w:rsid w:val="00994D75"/>
    <w:rsid w:val="00996E03"/>
    <w:rsid w:val="009A4542"/>
    <w:rsid w:val="009A4975"/>
    <w:rsid w:val="009B60E8"/>
    <w:rsid w:val="009B69D6"/>
    <w:rsid w:val="009C1177"/>
    <w:rsid w:val="009C16A3"/>
    <w:rsid w:val="009C782A"/>
    <w:rsid w:val="009C7872"/>
    <w:rsid w:val="009E06FE"/>
    <w:rsid w:val="009E2239"/>
    <w:rsid w:val="009F5F5F"/>
    <w:rsid w:val="009F6787"/>
    <w:rsid w:val="009F7DB1"/>
    <w:rsid w:val="00A001E9"/>
    <w:rsid w:val="00A02680"/>
    <w:rsid w:val="00A03B4D"/>
    <w:rsid w:val="00A04CFF"/>
    <w:rsid w:val="00A04EEA"/>
    <w:rsid w:val="00A06ADF"/>
    <w:rsid w:val="00A13D3C"/>
    <w:rsid w:val="00A177A5"/>
    <w:rsid w:val="00A2036C"/>
    <w:rsid w:val="00A21962"/>
    <w:rsid w:val="00A21B0C"/>
    <w:rsid w:val="00A23F86"/>
    <w:rsid w:val="00A24AC8"/>
    <w:rsid w:val="00A319D1"/>
    <w:rsid w:val="00A35490"/>
    <w:rsid w:val="00A355C7"/>
    <w:rsid w:val="00A35C07"/>
    <w:rsid w:val="00A35F98"/>
    <w:rsid w:val="00A3775A"/>
    <w:rsid w:val="00A415FF"/>
    <w:rsid w:val="00A4696E"/>
    <w:rsid w:val="00A47DE1"/>
    <w:rsid w:val="00A53277"/>
    <w:rsid w:val="00A537CC"/>
    <w:rsid w:val="00A53877"/>
    <w:rsid w:val="00A5557B"/>
    <w:rsid w:val="00A64001"/>
    <w:rsid w:val="00A674AB"/>
    <w:rsid w:val="00A75FC7"/>
    <w:rsid w:val="00A76091"/>
    <w:rsid w:val="00A8601B"/>
    <w:rsid w:val="00A87F6B"/>
    <w:rsid w:val="00A93563"/>
    <w:rsid w:val="00A94E49"/>
    <w:rsid w:val="00A97042"/>
    <w:rsid w:val="00AA0D94"/>
    <w:rsid w:val="00AA16C8"/>
    <w:rsid w:val="00AA1A98"/>
    <w:rsid w:val="00AA26C2"/>
    <w:rsid w:val="00AA53F9"/>
    <w:rsid w:val="00AB7E5D"/>
    <w:rsid w:val="00AC0D2D"/>
    <w:rsid w:val="00AC1449"/>
    <w:rsid w:val="00AC2A32"/>
    <w:rsid w:val="00AC2C0C"/>
    <w:rsid w:val="00AC385A"/>
    <w:rsid w:val="00AC6ECE"/>
    <w:rsid w:val="00AD0107"/>
    <w:rsid w:val="00AD2847"/>
    <w:rsid w:val="00AD2B20"/>
    <w:rsid w:val="00AD7DEA"/>
    <w:rsid w:val="00AE1D5F"/>
    <w:rsid w:val="00AE1E4F"/>
    <w:rsid w:val="00AF1E65"/>
    <w:rsid w:val="00AF1FBF"/>
    <w:rsid w:val="00AF3F55"/>
    <w:rsid w:val="00B025FD"/>
    <w:rsid w:val="00B02903"/>
    <w:rsid w:val="00B069FD"/>
    <w:rsid w:val="00B211C4"/>
    <w:rsid w:val="00B235FA"/>
    <w:rsid w:val="00B242C2"/>
    <w:rsid w:val="00B25782"/>
    <w:rsid w:val="00B325C2"/>
    <w:rsid w:val="00B34379"/>
    <w:rsid w:val="00B36A07"/>
    <w:rsid w:val="00B36F63"/>
    <w:rsid w:val="00B44CE1"/>
    <w:rsid w:val="00B50500"/>
    <w:rsid w:val="00B5110E"/>
    <w:rsid w:val="00B53E53"/>
    <w:rsid w:val="00B55035"/>
    <w:rsid w:val="00B632A4"/>
    <w:rsid w:val="00B701A1"/>
    <w:rsid w:val="00B7132A"/>
    <w:rsid w:val="00B71C39"/>
    <w:rsid w:val="00B745C3"/>
    <w:rsid w:val="00B84303"/>
    <w:rsid w:val="00B91095"/>
    <w:rsid w:val="00B97BB7"/>
    <w:rsid w:val="00BA1388"/>
    <w:rsid w:val="00BA4A29"/>
    <w:rsid w:val="00BA4D53"/>
    <w:rsid w:val="00BA664E"/>
    <w:rsid w:val="00BB5DB8"/>
    <w:rsid w:val="00BC427E"/>
    <w:rsid w:val="00BD4AC8"/>
    <w:rsid w:val="00BD7093"/>
    <w:rsid w:val="00BD735A"/>
    <w:rsid w:val="00BD777D"/>
    <w:rsid w:val="00BE6B11"/>
    <w:rsid w:val="00BF247E"/>
    <w:rsid w:val="00BF49B7"/>
    <w:rsid w:val="00C019F9"/>
    <w:rsid w:val="00C05B9D"/>
    <w:rsid w:val="00C130A7"/>
    <w:rsid w:val="00C13222"/>
    <w:rsid w:val="00C2108E"/>
    <w:rsid w:val="00C216EB"/>
    <w:rsid w:val="00C216F0"/>
    <w:rsid w:val="00C21F7E"/>
    <w:rsid w:val="00C35D33"/>
    <w:rsid w:val="00C372A6"/>
    <w:rsid w:val="00C42DD0"/>
    <w:rsid w:val="00C4715B"/>
    <w:rsid w:val="00C5156A"/>
    <w:rsid w:val="00C51C4E"/>
    <w:rsid w:val="00C5634F"/>
    <w:rsid w:val="00C56AAC"/>
    <w:rsid w:val="00C65807"/>
    <w:rsid w:val="00C67C8A"/>
    <w:rsid w:val="00C72FBF"/>
    <w:rsid w:val="00C73A7E"/>
    <w:rsid w:val="00C753D0"/>
    <w:rsid w:val="00C8086C"/>
    <w:rsid w:val="00C81B35"/>
    <w:rsid w:val="00C91052"/>
    <w:rsid w:val="00C92E0D"/>
    <w:rsid w:val="00C93C23"/>
    <w:rsid w:val="00C9552F"/>
    <w:rsid w:val="00C95AE8"/>
    <w:rsid w:val="00C96E25"/>
    <w:rsid w:val="00CA06B8"/>
    <w:rsid w:val="00CA2618"/>
    <w:rsid w:val="00CA45C9"/>
    <w:rsid w:val="00CA53C4"/>
    <w:rsid w:val="00CB10A6"/>
    <w:rsid w:val="00CB27B9"/>
    <w:rsid w:val="00CB3DF3"/>
    <w:rsid w:val="00CB654D"/>
    <w:rsid w:val="00CC2A02"/>
    <w:rsid w:val="00CC318A"/>
    <w:rsid w:val="00CC6201"/>
    <w:rsid w:val="00CC78D9"/>
    <w:rsid w:val="00CD1A93"/>
    <w:rsid w:val="00CD59F9"/>
    <w:rsid w:val="00CD7CB4"/>
    <w:rsid w:val="00CE337B"/>
    <w:rsid w:val="00CE5CB5"/>
    <w:rsid w:val="00CE7AE9"/>
    <w:rsid w:val="00CE7FFE"/>
    <w:rsid w:val="00CF1A32"/>
    <w:rsid w:val="00CF2922"/>
    <w:rsid w:val="00CF296A"/>
    <w:rsid w:val="00D02C41"/>
    <w:rsid w:val="00D060C3"/>
    <w:rsid w:val="00D10CB6"/>
    <w:rsid w:val="00D1428F"/>
    <w:rsid w:val="00D152C8"/>
    <w:rsid w:val="00D23EDE"/>
    <w:rsid w:val="00D30B2D"/>
    <w:rsid w:val="00D327E9"/>
    <w:rsid w:val="00D516D5"/>
    <w:rsid w:val="00D55081"/>
    <w:rsid w:val="00D618C7"/>
    <w:rsid w:val="00D6506C"/>
    <w:rsid w:val="00D66A32"/>
    <w:rsid w:val="00D672F4"/>
    <w:rsid w:val="00D73D20"/>
    <w:rsid w:val="00D74587"/>
    <w:rsid w:val="00D8043C"/>
    <w:rsid w:val="00D848D7"/>
    <w:rsid w:val="00D9225D"/>
    <w:rsid w:val="00D95B10"/>
    <w:rsid w:val="00D96436"/>
    <w:rsid w:val="00DA10E5"/>
    <w:rsid w:val="00DA3A0D"/>
    <w:rsid w:val="00DA6143"/>
    <w:rsid w:val="00DA65EC"/>
    <w:rsid w:val="00DB2F1F"/>
    <w:rsid w:val="00DB67CD"/>
    <w:rsid w:val="00DC027B"/>
    <w:rsid w:val="00DD1271"/>
    <w:rsid w:val="00DD1768"/>
    <w:rsid w:val="00DD79C9"/>
    <w:rsid w:val="00DE0AC5"/>
    <w:rsid w:val="00DE2047"/>
    <w:rsid w:val="00DE2584"/>
    <w:rsid w:val="00DE485A"/>
    <w:rsid w:val="00DF1521"/>
    <w:rsid w:val="00DF2B23"/>
    <w:rsid w:val="00DF463A"/>
    <w:rsid w:val="00DF4B36"/>
    <w:rsid w:val="00DF4D58"/>
    <w:rsid w:val="00DF5C42"/>
    <w:rsid w:val="00E01B36"/>
    <w:rsid w:val="00E06B54"/>
    <w:rsid w:val="00E1371D"/>
    <w:rsid w:val="00E16705"/>
    <w:rsid w:val="00E20921"/>
    <w:rsid w:val="00E20DC7"/>
    <w:rsid w:val="00E2480C"/>
    <w:rsid w:val="00E25469"/>
    <w:rsid w:val="00E26E21"/>
    <w:rsid w:val="00E334FC"/>
    <w:rsid w:val="00E4451A"/>
    <w:rsid w:val="00E44E51"/>
    <w:rsid w:val="00E47D04"/>
    <w:rsid w:val="00E536A6"/>
    <w:rsid w:val="00E53D58"/>
    <w:rsid w:val="00E5543E"/>
    <w:rsid w:val="00E66AB6"/>
    <w:rsid w:val="00E723E3"/>
    <w:rsid w:val="00E726A2"/>
    <w:rsid w:val="00E77FEB"/>
    <w:rsid w:val="00E801AD"/>
    <w:rsid w:val="00EA19CC"/>
    <w:rsid w:val="00EA1DC1"/>
    <w:rsid w:val="00EA3BA5"/>
    <w:rsid w:val="00EA4270"/>
    <w:rsid w:val="00EB0BF6"/>
    <w:rsid w:val="00EB1CED"/>
    <w:rsid w:val="00EB3ADD"/>
    <w:rsid w:val="00EB57F9"/>
    <w:rsid w:val="00EB6320"/>
    <w:rsid w:val="00EC0006"/>
    <w:rsid w:val="00EC10DF"/>
    <w:rsid w:val="00EC5885"/>
    <w:rsid w:val="00EC59AE"/>
    <w:rsid w:val="00EC6445"/>
    <w:rsid w:val="00ED36D1"/>
    <w:rsid w:val="00ED3DAC"/>
    <w:rsid w:val="00ED708C"/>
    <w:rsid w:val="00EE26E6"/>
    <w:rsid w:val="00EF1E91"/>
    <w:rsid w:val="00EF6661"/>
    <w:rsid w:val="00F0199E"/>
    <w:rsid w:val="00F01BB5"/>
    <w:rsid w:val="00F07969"/>
    <w:rsid w:val="00F12761"/>
    <w:rsid w:val="00F14C54"/>
    <w:rsid w:val="00F15FC7"/>
    <w:rsid w:val="00F2066C"/>
    <w:rsid w:val="00F2515D"/>
    <w:rsid w:val="00F33195"/>
    <w:rsid w:val="00F35DD6"/>
    <w:rsid w:val="00F42841"/>
    <w:rsid w:val="00F453FA"/>
    <w:rsid w:val="00F6004B"/>
    <w:rsid w:val="00F60880"/>
    <w:rsid w:val="00F60EC4"/>
    <w:rsid w:val="00F64812"/>
    <w:rsid w:val="00F65161"/>
    <w:rsid w:val="00F65A67"/>
    <w:rsid w:val="00F65BC0"/>
    <w:rsid w:val="00F72304"/>
    <w:rsid w:val="00F80379"/>
    <w:rsid w:val="00F82218"/>
    <w:rsid w:val="00F859B3"/>
    <w:rsid w:val="00F8752F"/>
    <w:rsid w:val="00F9021F"/>
    <w:rsid w:val="00F926D7"/>
    <w:rsid w:val="00F93FB2"/>
    <w:rsid w:val="00FA08A1"/>
    <w:rsid w:val="00FA0C57"/>
    <w:rsid w:val="00FA3210"/>
    <w:rsid w:val="00FA3DF7"/>
    <w:rsid w:val="00FA43A6"/>
    <w:rsid w:val="00FA4E93"/>
    <w:rsid w:val="00FA52AE"/>
    <w:rsid w:val="00FA6FFE"/>
    <w:rsid w:val="00FA7049"/>
    <w:rsid w:val="00FB2A17"/>
    <w:rsid w:val="00FB5538"/>
    <w:rsid w:val="00FB62E8"/>
    <w:rsid w:val="00FB6BFB"/>
    <w:rsid w:val="00FC0915"/>
    <w:rsid w:val="00FC1D9F"/>
    <w:rsid w:val="00FE5D0A"/>
    <w:rsid w:val="00FF19F3"/>
    <w:rsid w:val="00FF36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94F8B6"/>
  <w15:docId w15:val="{12820162-13AE-48C2-AF1A-5652A6AD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ind w:right="30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459"/>
  </w:style>
  <w:style w:type="paragraph" w:styleId="Heading1">
    <w:name w:val="heading 1"/>
    <w:basedOn w:val="Normal"/>
    <w:next w:val="Normal"/>
    <w:link w:val="Heading1Char"/>
    <w:uiPriority w:val="9"/>
    <w:qFormat/>
    <w:rsid w:val="00D327E9"/>
    <w:pPr>
      <w:keepNext/>
      <w:keepLines/>
      <w:spacing w:before="320" w:after="80"/>
      <w:ind w:right="0"/>
      <w:jc w:val="center"/>
      <w:outlineLvl w:val="0"/>
    </w:pPr>
    <w:rPr>
      <w:rFonts w:asciiTheme="majorHAnsi" w:eastAsiaTheme="majorEastAsia" w:hAnsiTheme="majorHAnsi" w:cstheme="majorBidi"/>
      <w:color w:val="365F91"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0D6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17174"/>
    <w:pPr>
      <w:spacing w:after="160" w:line="300" w:lineRule="auto"/>
      <w:ind w:left="720" w:right="0"/>
      <w:contextualSpacing/>
    </w:pPr>
    <w:rPr>
      <w:rFonts w:eastAsiaTheme="minorEastAsia"/>
      <w:sz w:val="21"/>
      <w:szCs w:val="21"/>
    </w:rPr>
  </w:style>
  <w:style w:type="paragraph" w:styleId="Header">
    <w:name w:val="header"/>
    <w:basedOn w:val="Normal"/>
    <w:link w:val="HeaderChar"/>
    <w:uiPriority w:val="99"/>
    <w:unhideWhenUsed/>
    <w:rsid w:val="00B71C39"/>
    <w:pPr>
      <w:tabs>
        <w:tab w:val="center" w:pos="4680"/>
        <w:tab w:val="right" w:pos="9360"/>
      </w:tabs>
    </w:pPr>
  </w:style>
  <w:style w:type="character" w:customStyle="1" w:styleId="HeaderChar">
    <w:name w:val="Header Char"/>
    <w:basedOn w:val="DefaultParagraphFont"/>
    <w:link w:val="Header"/>
    <w:uiPriority w:val="99"/>
    <w:rsid w:val="00B71C39"/>
  </w:style>
  <w:style w:type="paragraph" w:styleId="Footer">
    <w:name w:val="footer"/>
    <w:basedOn w:val="Normal"/>
    <w:link w:val="FooterChar"/>
    <w:uiPriority w:val="99"/>
    <w:unhideWhenUsed/>
    <w:rsid w:val="00B71C39"/>
    <w:pPr>
      <w:tabs>
        <w:tab w:val="center" w:pos="4680"/>
        <w:tab w:val="right" w:pos="9360"/>
      </w:tabs>
    </w:pPr>
  </w:style>
  <w:style w:type="character" w:customStyle="1" w:styleId="FooterChar">
    <w:name w:val="Footer Char"/>
    <w:basedOn w:val="DefaultParagraphFont"/>
    <w:link w:val="Footer"/>
    <w:uiPriority w:val="99"/>
    <w:rsid w:val="00B71C39"/>
  </w:style>
  <w:style w:type="character" w:styleId="Hyperlink">
    <w:name w:val="Hyperlink"/>
    <w:basedOn w:val="DefaultParagraphFont"/>
    <w:uiPriority w:val="99"/>
    <w:unhideWhenUsed/>
    <w:rsid w:val="00B71C39"/>
    <w:rPr>
      <w:color w:val="0000FF"/>
      <w:u w:val="single"/>
    </w:rPr>
  </w:style>
  <w:style w:type="character" w:customStyle="1" w:styleId="Heading1Char">
    <w:name w:val="Heading 1 Char"/>
    <w:basedOn w:val="DefaultParagraphFont"/>
    <w:link w:val="Heading1"/>
    <w:uiPriority w:val="9"/>
    <w:rsid w:val="00D327E9"/>
    <w:rPr>
      <w:rFonts w:asciiTheme="majorHAnsi" w:eastAsiaTheme="majorEastAsia" w:hAnsiTheme="majorHAnsi" w:cstheme="majorBidi"/>
      <w:color w:val="365F91" w:themeColor="accent1" w:themeShade="BF"/>
      <w:sz w:val="40"/>
      <w:szCs w:val="40"/>
    </w:rPr>
  </w:style>
  <w:style w:type="paragraph" w:styleId="NoSpacing">
    <w:name w:val="No Spacing"/>
    <w:uiPriority w:val="1"/>
    <w:qFormat/>
    <w:rsid w:val="00714DDE"/>
    <w:pPr>
      <w:ind w:right="0"/>
    </w:pPr>
    <w:rPr>
      <w:rFonts w:eastAsiaTheme="minorEastAsia"/>
      <w:sz w:val="21"/>
      <w:szCs w:val="21"/>
    </w:rPr>
  </w:style>
  <w:style w:type="character" w:customStyle="1" w:styleId="apple-converted-space">
    <w:name w:val="apple-converted-space"/>
    <w:basedOn w:val="DefaultParagraphFont"/>
    <w:rsid w:val="00315892"/>
  </w:style>
  <w:style w:type="character" w:customStyle="1" w:styleId="highlight">
    <w:name w:val="highlight"/>
    <w:basedOn w:val="DefaultParagraphFont"/>
    <w:rsid w:val="00315892"/>
  </w:style>
  <w:style w:type="character" w:customStyle="1" w:styleId="jrnl">
    <w:name w:val="jrnl"/>
    <w:basedOn w:val="DefaultParagraphFont"/>
    <w:rsid w:val="00315892"/>
  </w:style>
  <w:style w:type="paragraph" w:customStyle="1" w:styleId="Default">
    <w:name w:val="Default"/>
    <w:rsid w:val="00315892"/>
    <w:pPr>
      <w:autoSpaceDE w:val="0"/>
      <w:autoSpaceDN w:val="0"/>
      <w:adjustRightInd w:val="0"/>
      <w:ind w:right="0"/>
    </w:pPr>
    <w:rPr>
      <w:rFonts w:ascii="Cambria" w:eastAsiaTheme="minorEastAsia" w:hAnsi="Cambria" w:cs="Cambria"/>
      <w:color w:val="000000"/>
      <w:sz w:val="24"/>
      <w:szCs w:val="24"/>
    </w:rPr>
  </w:style>
  <w:style w:type="paragraph" w:customStyle="1" w:styleId="Title1">
    <w:name w:val="Title1"/>
    <w:basedOn w:val="Normal"/>
    <w:rsid w:val="00315892"/>
    <w:pPr>
      <w:spacing w:before="100" w:beforeAutospacing="1" w:after="100" w:afterAutospacing="1"/>
      <w:ind w:right="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5892"/>
    <w:rPr>
      <w:rFonts w:ascii="Tahoma" w:hAnsi="Tahoma" w:cs="Tahoma"/>
      <w:sz w:val="16"/>
      <w:szCs w:val="16"/>
    </w:rPr>
  </w:style>
  <w:style w:type="character" w:customStyle="1" w:styleId="BalloonTextChar">
    <w:name w:val="Balloon Text Char"/>
    <w:basedOn w:val="DefaultParagraphFont"/>
    <w:link w:val="BalloonText"/>
    <w:uiPriority w:val="99"/>
    <w:semiHidden/>
    <w:rsid w:val="00315892"/>
    <w:rPr>
      <w:rFonts w:ascii="Tahoma" w:hAnsi="Tahoma" w:cs="Tahoma"/>
      <w:sz w:val="16"/>
      <w:szCs w:val="16"/>
    </w:rPr>
  </w:style>
  <w:style w:type="paragraph" w:styleId="Caption">
    <w:name w:val="caption"/>
    <w:basedOn w:val="Normal"/>
    <w:next w:val="Normal"/>
    <w:uiPriority w:val="35"/>
    <w:unhideWhenUsed/>
    <w:qFormat/>
    <w:rsid w:val="006F6332"/>
    <w:pPr>
      <w:spacing w:after="200"/>
    </w:pPr>
    <w:rPr>
      <w:i/>
      <w:iCs/>
      <w:color w:val="1F497D" w:themeColor="text2"/>
      <w:sz w:val="18"/>
      <w:szCs w:val="18"/>
    </w:rPr>
  </w:style>
  <w:style w:type="character" w:customStyle="1" w:styleId="nlmstring-name">
    <w:name w:val="nlm_string-name"/>
    <w:basedOn w:val="DefaultParagraphFont"/>
    <w:rsid w:val="00E25469"/>
  </w:style>
  <w:style w:type="character" w:customStyle="1" w:styleId="journalname">
    <w:name w:val="journalname"/>
    <w:basedOn w:val="DefaultParagraphFont"/>
    <w:rsid w:val="00E25469"/>
  </w:style>
  <w:style w:type="character" w:customStyle="1" w:styleId="year">
    <w:name w:val="year"/>
    <w:basedOn w:val="DefaultParagraphFont"/>
    <w:rsid w:val="00E25469"/>
  </w:style>
  <w:style w:type="character" w:customStyle="1" w:styleId="volume">
    <w:name w:val="volume"/>
    <w:basedOn w:val="DefaultParagraphFont"/>
    <w:rsid w:val="00E25469"/>
  </w:style>
  <w:style w:type="character" w:customStyle="1" w:styleId="issue">
    <w:name w:val="issue"/>
    <w:basedOn w:val="DefaultParagraphFont"/>
    <w:rsid w:val="00E25469"/>
  </w:style>
  <w:style w:type="character" w:customStyle="1" w:styleId="page">
    <w:name w:val="page"/>
    <w:basedOn w:val="DefaultParagraphFont"/>
    <w:rsid w:val="00E25469"/>
  </w:style>
  <w:style w:type="table" w:customStyle="1" w:styleId="ListTable3-Accent11">
    <w:name w:val="List Table 3 - Accent 11"/>
    <w:basedOn w:val="TableNormal"/>
    <w:uiPriority w:val="48"/>
    <w:rsid w:val="00A5557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uv3um">
    <w:name w:val="uv3um"/>
    <w:basedOn w:val="DefaultParagraphFont"/>
    <w:rsid w:val="006E2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700412">
      <w:bodyDiv w:val="1"/>
      <w:marLeft w:val="0"/>
      <w:marRight w:val="0"/>
      <w:marTop w:val="0"/>
      <w:marBottom w:val="0"/>
      <w:divBdr>
        <w:top w:val="none" w:sz="0" w:space="0" w:color="auto"/>
        <w:left w:val="none" w:sz="0" w:space="0" w:color="auto"/>
        <w:bottom w:val="none" w:sz="0" w:space="0" w:color="auto"/>
        <w:right w:val="none" w:sz="0" w:space="0" w:color="auto"/>
      </w:divBdr>
    </w:div>
    <w:div w:id="756512316">
      <w:bodyDiv w:val="1"/>
      <w:marLeft w:val="0"/>
      <w:marRight w:val="0"/>
      <w:marTop w:val="0"/>
      <w:marBottom w:val="0"/>
      <w:divBdr>
        <w:top w:val="none" w:sz="0" w:space="0" w:color="auto"/>
        <w:left w:val="none" w:sz="0" w:space="0" w:color="auto"/>
        <w:bottom w:val="none" w:sz="0" w:space="0" w:color="auto"/>
        <w:right w:val="none" w:sz="0" w:space="0" w:color="auto"/>
      </w:divBdr>
      <w:divsChild>
        <w:div w:id="101649326">
          <w:marLeft w:val="0"/>
          <w:marRight w:val="0"/>
          <w:marTop w:val="0"/>
          <w:marBottom w:val="0"/>
          <w:divBdr>
            <w:top w:val="none" w:sz="0" w:space="0" w:color="auto"/>
            <w:left w:val="none" w:sz="0" w:space="0" w:color="auto"/>
            <w:bottom w:val="none" w:sz="0" w:space="0" w:color="auto"/>
            <w:right w:val="none" w:sz="0" w:space="0" w:color="auto"/>
          </w:divBdr>
        </w:div>
        <w:div w:id="341670621">
          <w:marLeft w:val="0"/>
          <w:marRight w:val="0"/>
          <w:marTop w:val="0"/>
          <w:marBottom w:val="0"/>
          <w:divBdr>
            <w:top w:val="none" w:sz="0" w:space="0" w:color="auto"/>
            <w:left w:val="none" w:sz="0" w:space="0" w:color="auto"/>
            <w:bottom w:val="none" w:sz="0" w:space="0" w:color="auto"/>
            <w:right w:val="none" w:sz="0" w:space="0" w:color="auto"/>
          </w:divBdr>
        </w:div>
        <w:div w:id="593130426">
          <w:marLeft w:val="0"/>
          <w:marRight w:val="0"/>
          <w:marTop w:val="0"/>
          <w:marBottom w:val="0"/>
          <w:divBdr>
            <w:top w:val="none" w:sz="0" w:space="0" w:color="auto"/>
            <w:left w:val="none" w:sz="0" w:space="0" w:color="auto"/>
            <w:bottom w:val="none" w:sz="0" w:space="0" w:color="auto"/>
            <w:right w:val="none" w:sz="0" w:space="0" w:color="auto"/>
          </w:divBdr>
        </w:div>
        <w:div w:id="1602951586">
          <w:marLeft w:val="0"/>
          <w:marRight w:val="0"/>
          <w:marTop w:val="0"/>
          <w:marBottom w:val="0"/>
          <w:divBdr>
            <w:top w:val="none" w:sz="0" w:space="0" w:color="auto"/>
            <w:left w:val="none" w:sz="0" w:space="0" w:color="auto"/>
            <w:bottom w:val="none" w:sz="0" w:space="0" w:color="auto"/>
            <w:right w:val="none" w:sz="0" w:space="0" w:color="auto"/>
          </w:divBdr>
        </w:div>
        <w:div w:id="2062515226">
          <w:marLeft w:val="0"/>
          <w:marRight w:val="0"/>
          <w:marTop w:val="0"/>
          <w:marBottom w:val="0"/>
          <w:divBdr>
            <w:top w:val="none" w:sz="0" w:space="0" w:color="auto"/>
            <w:left w:val="none" w:sz="0" w:space="0" w:color="auto"/>
            <w:bottom w:val="none" w:sz="0" w:space="0" w:color="auto"/>
            <w:right w:val="none" w:sz="0" w:space="0" w:color="auto"/>
          </w:divBdr>
        </w:div>
        <w:div w:id="667246585">
          <w:marLeft w:val="0"/>
          <w:marRight w:val="0"/>
          <w:marTop w:val="0"/>
          <w:marBottom w:val="0"/>
          <w:divBdr>
            <w:top w:val="none" w:sz="0" w:space="0" w:color="auto"/>
            <w:left w:val="none" w:sz="0" w:space="0" w:color="auto"/>
            <w:bottom w:val="none" w:sz="0" w:space="0" w:color="auto"/>
            <w:right w:val="none" w:sz="0" w:space="0" w:color="auto"/>
          </w:divBdr>
        </w:div>
        <w:div w:id="59181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www.ncbi.nlm.nih.gov/pubmed?term=Human+Pathology%5BJour%5D+AND+143%5Bpage%5D+AND+2004%5Bpdat%5D&amp;cmd=detailssearch"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sz="1200">
                <a:latin typeface="Times New Roman" pitchFamily="18" charset="0"/>
                <a:cs typeface="Times New Roman" pitchFamily="18" charset="0"/>
              </a:defRPr>
            </a:pPr>
            <a:r>
              <a:rPr lang="en-US" sz="1200">
                <a:latin typeface="Times New Roman" pitchFamily="18" charset="0"/>
                <a:cs typeface="Times New Roman" pitchFamily="18" charset="0"/>
              </a:rPr>
              <a:t>Fig 1 :- Pass rates for testing and interpretation</a:t>
            </a:r>
          </a:p>
        </c:rich>
      </c:tx>
      <c:layout>
        <c:manualLayout>
          <c:xMode val="edge"/>
          <c:yMode val="edge"/>
          <c:x val="0.23963682976539399"/>
          <c:y val="0"/>
        </c:manualLayout>
      </c:layout>
      <c:overlay val="0"/>
    </c:title>
    <c:autoTitleDeleted val="0"/>
    <c:plotArea>
      <c:layout>
        <c:manualLayout>
          <c:layoutTarget val="inner"/>
          <c:xMode val="edge"/>
          <c:yMode val="edge"/>
          <c:x val="9.2211990450346198E-2"/>
          <c:y val="6.8734287391454013E-2"/>
          <c:w val="0.88231846019247551"/>
          <c:h val="0.78103252511938159"/>
        </c:manualLayout>
      </c:layout>
      <c:barChart>
        <c:barDir val="col"/>
        <c:grouping val="clustered"/>
        <c:varyColors val="0"/>
        <c:ser>
          <c:idx val="0"/>
          <c:order val="0"/>
          <c:tx>
            <c:strRef>
              <c:f>Sheet1!$B$1</c:f>
              <c:strCache>
                <c:ptCount val="1"/>
                <c:pt idx="0">
                  <c:v>PASS RATE</c:v>
                </c:pt>
              </c:strCache>
            </c:strRef>
          </c:tx>
          <c:spPr>
            <a:solidFill>
              <a:srgbClr val="0070C0"/>
            </a:solidFill>
          </c:spPr>
          <c:invertIfNegative val="0"/>
          <c:cat>
            <c:numRef>
              <c:f>Sheet1!$A$2:$A$200</c:f>
              <c:numCache>
                <c:formatCode>General</c:formatCode>
                <c:ptCount val="199"/>
                <c:pt idx="0">
                  <c:v>1</c:v>
                </c:pt>
                <c:pt idx="1">
                  <c:v>2</c:v>
                </c:pt>
                <c:pt idx="2">
                  <c:v>3</c:v>
                </c:pt>
                <c:pt idx="3">
                  <c:v>4</c:v>
                </c:pt>
                <c:pt idx="4">
                  <c:v>6</c:v>
                </c:pt>
                <c:pt idx="5">
                  <c:v>7</c:v>
                </c:pt>
                <c:pt idx="6">
                  <c:v>8</c:v>
                </c:pt>
                <c:pt idx="7">
                  <c:v>9</c:v>
                </c:pt>
                <c:pt idx="8">
                  <c:v>10</c:v>
                </c:pt>
                <c:pt idx="9">
                  <c:v>11</c:v>
                </c:pt>
                <c:pt idx="10">
                  <c:v>12</c:v>
                </c:pt>
                <c:pt idx="11">
                  <c:v>14</c:v>
                </c:pt>
                <c:pt idx="12">
                  <c:v>15</c:v>
                </c:pt>
                <c:pt idx="13">
                  <c:v>17</c:v>
                </c:pt>
                <c:pt idx="14">
                  <c:v>20</c:v>
                </c:pt>
                <c:pt idx="15">
                  <c:v>21</c:v>
                </c:pt>
                <c:pt idx="16">
                  <c:v>23</c:v>
                </c:pt>
                <c:pt idx="17">
                  <c:v>24</c:v>
                </c:pt>
                <c:pt idx="18">
                  <c:v>25</c:v>
                </c:pt>
                <c:pt idx="19">
                  <c:v>27</c:v>
                </c:pt>
                <c:pt idx="20">
                  <c:v>28</c:v>
                </c:pt>
                <c:pt idx="21">
                  <c:v>29</c:v>
                </c:pt>
                <c:pt idx="22">
                  <c:v>31</c:v>
                </c:pt>
                <c:pt idx="23">
                  <c:v>32</c:v>
                </c:pt>
                <c:pt idx="24">
                  <c:v>33</c:v>
                </c:pt>
                <c:pt idx="25">
                  <c:v>34</c:v>
                </c:pt>
                <c:pt idx="26">
                  <c:v>36</c:v>
                </c:pt>
                <c:pt idx="27">
                  <c:v>37</c:v>
                </c:pt>
                <c:pt idx="28">
                  <c:v>38</c:v>
                </c:pt>
                <c:pt idx="29">
                  <c:v>40</c:v>
                </c:pt>
                <c:pt idx="30">
                  <c:v>41</c:v>
                </c:pt>
                <c:pt idx="31">
                  <c:v>43</c:v>
                </c:pt>
                <c:pt idx="32">
                  <c:v>50</c:v>
                </c:pt>
                <c:pt idx="33">
                  <c:v>51</c:v>
                </c:pt>
                <c:pt idx="34">
                  <c:v>52</c:v>
                </c:pt>
                <c:pt idx="35">
                  <c:v>54</c:v>
                </c:pt>
                <c:pt idx="36">
                  <c:v>56</c:v>
                </c:pt>
                <c:pt idx="37">
                  <c:v>57</c:v>
                </c:pt>
                <c:pt idx="38">
                  <c:v>60</c:v>
                </c:pt>
                <c:pt idx="39">
                  <c:v>61</c:v>
                </c:pt>
                <c:pt idx="40">
                  <c:v>62</c:v>
                </c:pt>
                <c:pt idx="41">
                  <c:v>63</c:v>
                </c:pt>
                <c:pt idx="42">
                  <c:v>64</c:v>
                </c:pt>
                <c:pt idx="43">
                  <c:v>66</c:v>
                </c:pt>
                <c:pt idx="44">
                  <c:v>67</c:v>
                </c:pt>
                <c:pt idx="45">
                  <c:v>69</c:v>
                </c:pt>
                <c:pt idx="46">
                  <c:v>70</c:v>
                </c:pt>
                <c:pt idx="47">
                  <c:v>71</c:v>
                </c:pt>
                <c:pt idx="48">
                  <c:v>72</c:v>
                </c:pt>
                <c:pt idx="49">
                  <c:v>76</c:v>
                </c:pt>
                <c:pt idx="50">
                  <c:v>77</c:v>
                </c:pt>
                <c:pt idx="51">
                  <c:v>78</c:v>
                </c:pt>
                <c:pt idx="52">
                  <c:v>79</c:v>
                </c:pt>
                <c:pt idx="53">
                  <c:v>80</c:v>
                </c:pt>
                <c:pt idx="54">
                  <c:v>82</c:v>
                </c:pt>
                <c:pt idx="55">
                  <c:v>83</c:v>
                </c:pt>
                <c:pt idx="56">
                  <c:v>84</c:v>
                </c:pt>
                <c:pt idx="57">
                  <c:v>90</c:v>
                </c:pt>
                <c:pt idx="58">
                  <c:v>92</c:v>
                </c:pt>
                <c:pt idx="59">
                  <c:v>93</c:v>
                </c:pt>
                <c:pt idx="60">
                  <c:v>94</c:v>
                </c:pt>
                <c:pt idx="61">
                  <c:v>96</c:v>
                </c:pt>
                <c:pt idx="62">
                  <c:v>97</c:v>
                </c:pt>
                <c:pt idx="63">
                  <c:v>103</c:v>
                </c:pt>
                <c:pt idx="64">
                  <c:v>104</c:v>
                </c:pt>
                <c:pt idx="65">
                  <c:v>108</c:v>
                </c:pt>
                <c:pt idx="66">
                  <c:v>109</c:v>
                </c:pt>
                <c:pt idx="67">
                  <c:v>111</c:v>
                </c:pt>
                <c:pt idx="68">
                  <c:v>112</c:v>
                </c:pt>
                <c:pt idx="69">
                  <c:v>114</c:v>
                </c:pt>
                <c:pt idx="70">
                  <c:v>115</c:v>
                </c:pt>
                <c:pt idx="71">
                  <c:v>117</c:v>
                </c:pt>
                <c:pt idx="72">
                  <c:v>118</c:v>
                </c:pt>
                <c:pt idx="73">
                  <c:v>121</c:v>
                </c:pt>
                <c:pt idx="74">
                  <c:v>123</c:v>
                </c:pt>
                <c:pt idx="75">
                  <c:v>125</c:v>
                </c:pt>
                <c:pt idx="76">
                  <c:v>126</c:v>
                </c:pt>
                <c:pt idx="77">
                  <c:v>128</c:v>
                </c:pt>
                <c:pt idx="78">
                  <c:v>135</c:v>
                </c:pt>
                <c:pt idx="79">
                  <c:v>137</c:v>
                </c:pt>
                <c:pt idx="80">
                  <c:v>138</c:v>
                </c:pt>
                <c:pt idx="81">
                  <c:v>139</c:v>
                </c:pt>
                <c:pt idx="82">
                  <c:v>140</c:v>
                </c:pt>
                <c:pt idx="83">
                  <c:v>141</c:v>
                </c:pt>
                <c:pt idx="84">
                  <c:v>142</c:v>
                </c:pt>
                <c:pt idx="85">
                  <c:v>143</c:v>
                </c:pt>
                <c:pt idx="86">
                  <c:v>144</c:v>
                </c:pt>
                <c:pt idx="87">
                  <c:v>145</c:v>
                </c:pt>
                <c:pt idx="88">
                  <c:v>146</c:v>
                </c:pt>
                <c:pt idx="89">
                  <c:v>147</c:v>
                </c:pt>
                <c:pt idx="90">
                  <c:v>148</c:v>
                </c:pt>
                <c:pt idx="91">
                  <c:v>152</c:v>
                </c:pt>
                <c:pt idx="92">
                  <c:v>154</c:v>
                </c:pt>
                <c:pt idx="93">
                  <c:v>159</c:v>
                </c:pt>
                <c:pt idx="94">
                  <c:v>162</c:v>
                </c:pt>
                <c:pt idx="95">
                  <c:v>163</c:v>
                </c:pt>
                <c:pt idx="96">
                  <c:v>164</c:v>
                </c:pt>
                <c:pt idx="97">
                  <c:v>165</c:v>
                </c:pt>
                <c:pt idx="98">
                  <c:v>166</c:v>
                </c:pt>
                <c:pt idx="99">
                  <c:v>167</c:v>
                </c:pt>
                <c:pt idx="100">
                  <c:v>168</c:v>
                </c:pt>
                <c:pt idx="101">
                  <c:v>169</c:v>
                </c:pt>
                <c:pt idx="102">
                  <c:v>172</c:v>
                </c:pt>
                <c:pt idx="103">
                  <c:v>174</c:v>
                </c:pt>
                <c:pt idx="104">
                  <c:v>175</c:v>
                </c:pt>
                <c:pt idx="105">
                  <c:v>178</c:v>
                </c:pt>
                <c:pt idx="106">
                  <c:v>182</c:v>
                </c:pt>
                <c:pt idx="107">
                  <c:v>183</c:v>
                </c:pt>
                <c:pt idx="108">
                  <c:v>184</c:v>
                </c:pt>
                <c:pt idx="109">
                  <c:v>185</c:v>
                </c:pt>
                <c:pt idx="110">
                  <c:v>188</c:v>
                </c:pt>
                <c:pt idx="111">
                  <c:v>189</c:v>
                </c:pt>
                <c:pt idx="112">
                  <c:v>195</c:v>
                </c:pt>
                <c:pt idx="113">
                  <c:v>196</c:v>
                </c:pt>
                <c:pt idx="114">
                  <c:v>197</c:v>
                </c:pt>
                <c:pt idx="115">
                  <c:v>198</c:v>
                </c:pt>
                <c:pt idx="116">
                  <c:v>200</c:v>
                </c:pt>
                <c:pt idx="117">
                  <c:v>201</c:v>
                </c:pt>
                <c:pt idx="118">
                  <c:v>203</c:v>
                </c:pt>
                <c:pt idx="119">
                  <c:v>205</c:v>
                </c:pt>
                <c:pt idx="120">
                  <c:v>207</c:v>
                </c:pt>
                <c:pt idx="121">
                  <c:v>209</c:v>
                </c:pt>
                <c:pt idx="122">
                  <c:v>210</c:v>
                </c:pt>
                <c:pt idx="123">
                  <c:v>211</c:v>
                </c:pt>
                <c:pt idx="124">
                  <c:v>212</c:v>
                </c:pt>
                <c:pt idx="125">
                  <c:v>214</c:v>
                </c:pt>
                <c:pt idx="126">
                  <c:v>216</c:v>
                </c:pt>
                <c:pt idx="127">
                  <c:v>217</c:v>
                </c:pt>
                <c:pt idx="128">
                  <c:v>218</c:v>
                </c:pt>
                <c:pt idx="129">
                  <c:v>219</c:v>
                </c:pt>
                <c:pt idx="130">
                  <c:v>220</c:v>
                </c:pt>
                <c:pt idx="131">
                  <c:v>221</c:v>
                </c:pt>
                <c:pt idx="132">
                  <c:v>223</c:v>
                </c:pt>
                <c:pt idx="133">
                  <c:v>228</c:v>
                </c:pt>
                <c:pt idx="134">
                  <c:v>233</c:v>
                </c:pt>
                <c:pt idx="135">
                  <c:v>234</c:v>
                </c:pt>
                <c:pt idx="136">
                  <c:v>236</c:v>
                </c:pt>
                <c:pt idx="137">
                  <c:v>237</c:v>
                </c:pt>
                <c:pt idx="138">
                  <c:v>239</c:v>
                </c:pt>
                <c:pt idx="139">
                  <c:v>241</c:v>
                </c:pt>
                <c:pt idx="140">
                  <c:v>242</c:v>
                </c:pt>
                <c:pt idx="141">
                  <c:v>244</c:v>
                </c:pt>
                <c:pt idx="142">
                  <c:v>245</c:v>
                </c:pt>
                <c:pt idx="143">
                  <c:v>246</c:v>
                </c:pt>
                <c:pt idx="144">
                  <c:v>247</c:v>
                </c:pt>
                <c:pt idx="145">
                  <c:v>248</c:v>
                </c:pt>
                <c:pt idx="146">
                  <c:v>249</c:v>
                </c:pt>
                <c:pt idx="147">
                  <c:v>252</c:v>
                </c:pt>
                <c:pt idx="148">
                  <c:v>253</c:v>
                </c:pt>
                <c:pt idx="149">
                  <c:v>255</c:v>
                </c:pt>
                <c:pt idx="150">
                  <c:v>256</c:v>
                </c:pt>
                <c:pt idx="151">
                  <c:v>259</c:v>
                </c:pt>
                <c:pt idx="152">
                  <c:v>260</c:v>
                </c:pt>
                <c:pt idx="153">
                  <c:v>261</c:v>
                </c:pt>
                <c:pt idx="154">
                  <c:v>262</c:v>
                </c:pt>
                <c:pt idx="155">
                  <c:v>264</c:v>
                </c:pt>
                <c:pt idx="156">
                  <c:v>266</c:v>
                </c:pt>
                <c:pt idx="157">
                  <c:v>268</c:v>
                </c:pt>
                <c:pt idx="158">
                  <c:v>270</c:v>
                </c:pt>
                <c:pt idx="159">
                  <c:v>271</c:v>
                </c:pt>
                <c:pt idx="160">
                  <c:v>273</c:v>
                </c:pt>
                <c:pt idx="161">
                  <c:v>276</c:v>
                </c:pt>
                <c:pt idx="162">
                  <c:v>280</c:v>
                </c:pt>
                <c:pt idx="163">
                  <c:v>281</c:v>
                </c:pt>
                <c:pt idx="164">
                  <c:v>282</c:v>
                </c:pt>
                <c:pt idx="165">
                  <c:v>285</c:v>
                </c:pt>
                <c:pt idx="166">
                  <c:v>286</c:v>
                </c:pt>
                <c:pt idx="167">
                  <c:v>287</c:v>
                </c:pt>
                <c:pt idx="168">
                  <c:v>288</c:v>
                </c:pt>
                <c:pt idx="169">
                  <c:v>289</c:v>
                </c:pt>
                <c:pt idx="170">
                  <c:v>290</c:v>
                </c:pt>
                <c:pt idx="171">
                  <c:v>291</c:v>
                </c:pt>
                <c:pt idx="172">
                  <c:v>292</c:v>
                </c:pt>
                <c:pt idx="173">
                  <c:v>294</c:v>
                </c:pt>
                <c:pt idx="174">
                  <c:v>296</c:v>
                </c:pt>
                <c:pt idx="175">
                  <c:v>297</c:v>
                </c:pt>
                <c:pt idx="176">
                  <c:v>298</c:v>
                </c:pt>
                <c:pt idx="177">
                  <c:v>300</c:v>
                </c:pt>
                <c:pt idx="178">
                  <c:v>303</c:v>
                </c:pt>
                <c:pt idx="179">
                  <c:v>304</c:v>
                </c:pt>
                <c:pt idx="180">
                  <c:v>305</c:v>
                </c:pt>
                <c:pt idx="181">
                  <c:v>306</c:v>
                </c:pt>
                <c:pt idx="182">
                  <c:v>308</c:v>
                </c:pt>
                <c:pt idx="183">
                  <c:v>309</c:v>
                </c:pt>
                <c:pt idx="184">
                  <c:v>310</c:v>
                </c:pt>
                <c:pt idx="185">
                  <c:v>311</c:v>
                </c:pt>
                <c:pt idx="186">
                  <c:v>314</c:v>
                </c:pt>
                <c:pt idx="187">
                  <c:v>316</c:v>
                </c:pt>
                <c:pt idx="188">
                  <c:v>317</c:v>
                </c:pt>
                <c:pt idx="189">
                  <c:v>318</c:v>
                </c:pt>
                <c:pt idx="190">
                  <c:v>319</c:v>
                </c:pt>
                <c:pt idx="191">
                  <c:v>321</c:v>
                </c:pt>
                <c:pt idx="192">
                  <c:v>326</c:v>
                </c:pt>
                <c:pt idx="193">
                  <c:v>327</c:v>
                </c:pt>
                <c:pt idx="194">
                  <c:v>330</c:v>
                </c:pt>
                <c:pt idx="195">
                  <c:v>331</c:v>
                </c:pt>
                <c:pt idx="196">
                  <c:v>334</c:v>
                </c:pt>
                <c:pt idx="197">
                  <c:v>337</c:v>
                </c:pt>
                <c:pt idx="198">
                  <c:v>338</c:v>
                </c:pt>
              </c:numCache>
            </c:numRef>
          </c:cat>
          <c:val>
            <c:numRef>
              <c:f>Sheet1!$B$2:$B$200</c:f>
              <c:numCache>
                <c:formatCode>General</c:formatCode>
                <c:ptCount val="199"/>
                <c:pt idx="0">
                  <c:v>100</c:v>
                </c:pt>
                <c:pt idx="1">
                  <c:v>100</c:v>
                </c:pt>
                <c:pt idx="2">
                  <c:v>90</c:v>
                </c:pt>
                <c:pt idx="3">
                  <c:v>100</c:v>
                </c:pt>
                <c:pt idx="4">
                  <c:v>90</c:v>
                </c:pt>
                <c:pt idx="5">
                  <c:v>90</c:v>
                </c:pt>
                <c:pt idx="6">
                  <c:v>90</c:v>
                </c:pt>
                <c:pt idx="7">
                  <c:v>90</c:v>
                </c:pt>
                <c:pt idx="8">
                  <c:v>100</c:v>
                </c:pt>
                <c:pt idx="9">
                  <c:v>80</c:v>
                </c:pt>
                <c:pt idx="10">
                  <c:v>100</c:v>
                </c:pt>
                <c:pt idx="11">
                  <c:v>100</c:v>
                </c:pt>
                <c:pt idx="12">
                  <c:v>80</c:v>
                </c:pt>
                <c:pt idx="13">
                  <c:v>80</c:v>
                </c:pt>
                <c:pt idx="14">
                  <c:v>90</c:v>
                </c:pt>
                <c:pt idx="15">
                  <c:v>90</c:v>
                </c:pt>
                <c:pt idx="16">
                  <c:v>100</c:v>
                </c:pt>
                <c:pt idx="17">
                  <c:v>100</c:v>
                </c:pt>
                <c:pt idx="18">
                  <c:v>100</c:v>
                </c:pt>
                <c:pt idx="19">
                  <c:v>100</c:v>
                </c:pt>
                <c:pt idx="20">
                  <c:v>100</c:v>
                </c:pt>
                <c:pt idx="21">
                  <c:v>60</c:v>
                </c:pt>
                <c:pt idx="22">
                  <c:v>100</c:v>
                </c:pt>
                <c:pt idx="23">
                  <c:v>100</c:v>
                </c:pt>
                <c:pt idx="24">
                  <c:v>60</c:v>
                </c:pt>
                <c:pt idx="25">
                  <c:v>100</c:v>
                </c:pt>
                <c:pt idx="26">
                  <c:v>70</c:v>
                </c:pt>
                <c:pt idx="27">
                  <c:v>80</c:v>
                </c:pt>
                <c:pt idx="28">
                  <c:v>100</c:v>
                </c:pt>
                <c:pt idx="29">
                  <c:v>100</c:v>
                </c:pt>
                <c:pt idx="30">
                  <c:v>90</c:v>
                </c:pt>
                <c:pt idx="31">
                  <c:v>100</c:v>
                </c:pt>
                <c:pt idx="32">
                  <c:v>70</c:v>
                </c:pt>
                <c:pt idx="33">
                  <c:v>100</c:v>
                </c:pt>
                <c:pt idx="34">
                  <c:v>90</c:v>
                </c:pt>
                <c:pt idx="35">
                  <c:v>90</c:v>
                </c:pt>
                <c:pt idx="36">
                  <c:v>100</c:v>
                </c:pt>
                <c:pt idx="37">
                  <c:v>100</c:v>
                </c:pt>
                <c:pt idx="38">
                  <c:v>80</c:v>
                </c:pt>
                <c:pt idx="39">
                  <c:v>90</c:v>
                </c:pt>
                <c:pt idx="40">
                  <c:v>90</c:v>
                </c:pt>
                <c:pt idx="41">
                  <c:v>70</c:v>
                </c:pt>
                <c:pt idx="42">
                  <c:v>90</c:v>
                </c:pt>
                <c:pt idx="43">
                  <c:v>100</c:v>
                </c:pt>
                <c:pt idx="44">
                  <c:v>100</c:v>
                </c:pt>
                <c:pt idx="45">
                  <c:v>100</c:v>
                </c:pt>
                <c:pt idx="46">
                  <c:v>90</c:v>
                </c:pt>
                <c:pt idx="47">
                  <c:v>80</c:v>
                </c:pt>
                <c:pt idx="48">
                  <c:v>60</c:v>
                </c:pt>
                <c:pt idx="49">
                  <c:v>80</c:v>
                </c:pt>
                <c:pt idx="50">
                  <c:v>90</c:v>
                </c:pt>
                <c:pt idx="51">
                  <c:v>80</c:v>
                </c:pt>
                <c:pt idx="52">
                  <c:v>80</c:v>
                </c:pt>
                <c:pt idx="53">
                  <c:v>60</c:v>
                </c:pt>
                <c:pt idx="54">
                  <c:v>80</c:v>
                </c:pt>
                <c:pt idx="55">
                  <c:v>90</c:v>
                </c:pt>
                <c:pt idx="56">
                  <c:v>20</c:v>
                </c:pt>
                <c:pt idx="57">
                  <c:v>100</c:v>
                </c:pt>
                <c:pt idx="58">
                  <c:v>90</c:v>
                </c:pt>
                <c:pt idx="59">
                  <c:v>90</c:v>
                </c:pt>
                <c:pt idx="60">
                  <c:v>90</c:v>
                </c:pt>
                <c:pt idx="61">
                  <c:v>89</c:v>
                </c:pt>
                <c:pt idx="62">
                  <c:v>100</c:v>
                </c:pt>
                <c:pt idx="63">
                  <c:v>100</c:v>
                </c:pt>
                <c:pt idx="64">
                  <c:v>80</c:v>
                </c:pt>
                <c:pt idx="65">
                  <c:v>90</c:v>
                </c:pt>
                <c:pt idx="66">
                  <c:v>90</c:v>
                </c:pt>
                <c:pt idx="67">
                  <c:v>90</c:v>
                </c:pt>
                <c:pt idx="68">
                  <c:v>90</c:v>
                </c:pt>
                <c:pt idx="69">
                  <c:v>80</c:v>
                </c:pt>
                <c:pt idx="70">
                  <c:v>100</c:v>
                </c:pt>
                <c:pt idx="71">
                  <c:v>80</c:v>
                </c:pt>
                <c:pt idx="72">
                  <c:v>70</c:v>
                </c:pt>
                <c:pt idx="73">
                  <c:v>60</c:v>
                </c:pt>
                <c:pt idx="74">
                  <c:v>90</c:v>
                </c:pt>
                <c:pt idx="75">
                  <c:v>70</c:v>
                </c:pt>
                <c:pt idx="76">
                  <c:v>90</c:v>
                </c:pt>
                <c:pt idx="77">
                  <c:v>90</c:v>
                </c:pt>
                <c:pt idx="78">
                  <c:v>100</c:v>
                </c:pt>
                <c:pt idx="79">
                  <c:v>70</c:v>
                </c:pt>
                <c:pt idx="80">
                  <c:v>80</c:v>
                </c:pt>
                <c:pt idx="81">
                  <c:v>60</c:v>
                </c:pt>
                <c:pt idx="82">
                  <c:v>100</c:v>
                </c:pt>
                <c:pt idx="83">
                  <c:v>100</c:v>
                </c:pt>
                <c:pt idx="84">
                  <c:v>40</c:v>
                </c:pt>
                <c:pt idx="85">
                  <c:v>60</c:v>
                </c:pt>
                <c:pt idx="86">
                  <c:v>100</c:v>
                </c:pt>
                <c:pt idx="87">
                  <c:v>70</c:v>
                </c:pt>
                <c:pt idx="88">
                  <c:v>100</c:v>
                </c:pt>
                <c:pt idx="89">
                  <c:v>80</c:v>
                </c:pt>
                <c:pt idx="90">
                  <c:v>90</c:v>
                </c:pt>
                <c:pt idx="91">
                  <c:v>100</c:v>
                </c:pt>
                <c:pt idx="92">
                  <c:v>70</c:v>
                </c:pt>
                <c:pt idx="93">
                  <c:v>100</c:v>
                </c:pt>
                <c:pt idx="94">
                  <c:v>80</c:v>
                </c:pt>
                <c:pt idx="95">
                  <c:v>100</c:v>
                </c:pt>
                <c:pt idx="96">
                  <c:v>90</c:v>
                </c:pt>
                <c:pt idx="97">
                  <c:v>80</c:v>
                </c:pt>
                <c:pt idx="98">
                  <c:v>90</c:v>
                </c:pt>
                <c:pt idx="99">
                  <c:v>100</c:v>
                </c:pt>
                <c:pt idx="100">
                  <c:v>100</c:v>
                </c:pt>
                <c:pt idx="101">
                  <c:v>100</c:v>
                </c:pt>
                <c:pt idx="102">
                  <c:v>60</c:v>
                </c:pt>
                <c:pt idx="103">
                  <c:v>90</c:v>
                </c:pt>
                <c:pt idx="104">
                  <c:v>80</c:v>
                </c:pt>
                <c:pt idx="105">
                  <c:v>100</c:v>
                </c:pt>
                <c:pt idx="106">
                  <c:v>90</c:v>
                </c:pt>
                <c:pt idx="107">
                  <c:v>100</c:v>
                </c:pt>
                <c:pt idx="108">
                  <c:v>80</c:v>
                </c:pt>
                <c:pt idx="109">
                  <c:v>70</c:v>
                </c:pt>
                <c:pt idx="110">
                  <c:v>100</c:v>
                </c:pt>
                <c:pt idx="111">
                  <c:v>80</c:v>
                </c:pt>
                <c:pt idx="112">
                  <c:v>90</c:v>
                </c:pt>
                <c:pt idx="113">
                  <c:v>90</c:v>
                </c:pt>
                <c:pt idx="114">
                  <c:v>90</c:v>
                </c:pt>
                <c:pt idx="115">
                  <c:v>90</c:v>
                </c:pt>
                <c:pt idx="116">
                  <c:v>100</c:v>
                </c:pt>
                <c:pt idx="117">
                  <c:v>90</c:v>
                </c:pt>
                <c:pt idx="118">
                  <c:v>80</c:v>
                </c:pt>
                <c:pt idx="119">
                  <c:v>80</c:v>
                </c:pt>
                <c:pt idx="120">
                  <c:v>100</c:v>
                </c:pt>
                <c:pt idx="121">
                  <c:v>100</c:v>
                </c:pt>
                <c:pt idx="122">
                  <c:v>60</c:v>
                </c:pt>
                <c:pt idx="123">
                  <c:v>100</c:v>
                </c:pt>
                <c:pt idx="124">
                  <c:v>70</c:v>
                </c:pt>
                <c:pt idx="125">
                  <c:v>50</c:v>
                </c:pt>
                <c:pt idx="126">
                  <c:v>100</c:v>
                </c:pt>
                <c:pt idx="127">
                  <c:v>60</c:v>
                </c:pt>
                <c:pt idx="128">
                  <c:v>70</c:v>
                </c:pt>
                <c:pt idx="129">
                  <c:v>80</c:v>
                </c:pt>
                <c:pt idx="130">
                  <c:v>80</c:v>
                </c:pt>
                <c:pt idx="131">
                  <c:v>80</c:v>
                </c:pt>
                <c:pt idx="132">
                  <c:v>90</c:v>
                </c:pt>
                <c:pt idx="133">
                  <c:v>90</c:v>
                </c:pt>
                <c:pt idx="134">
                  <c:v>50</c:v>
                </c:pt>
                <c:pt idx="135">
                  <c:v>100</c:v>
                </c:pt>
                <c:pt idx="136">
                  <c:v>70</c:v>
                </c:pt>
                <c:pt idx="137">
                  <c:v>20</c:v>
                </c:pt>
                <c:pt idx="138">
                  <c:v>87.5</c:v>
                </c:pt>
                <c:pt idx="139">
                  <c:v>100</c:v>
                </c:pt>
                <c:pt idx="140">
                  <c:v>100</c:v>
                </c:pt>
                <c:pt idx="141">
                  <c:v>100</c:v>
                </c:pt>
                <c:pt idx="142">
                  <c:v>100</c:v>
                </c:pt>
                <c:pt idx="143">
                  <c:v>80</c:v>
                </c:pt>
                <c:pt idx="144">
                  <c:v>70</c:v>
                </c:pt>
                <c:pt idx="145">
                  <c:v>70</c:v>
                </c:pt>
                <c:pt idx="146">
                  <c:v>100</c:v>
                </c:pt>
                <c:pt idx="147">
                  <c:v>100</c:v>
                </c:pt>
                <c:pt idx="148">
                  <c:v>100</c:v>
                </c:pt>
                <c:pt idx="149">
                  <c:v>100</c:v>
                </c:pt>
                <c:pt idx="150">
                  <c:v>100</c:v>
                </c:pt>
                <c:pt idx="151">
                  <c:v>100</c:v>
                </c:pt>
                <c:pt idx="152">
                  <c:v>100</c:v>
                </c:pt>
                <c:pt idx="153">
                  <c:v>100</c:v>
                </c:pt>
                <c:pt idx="154">
                  <c:v>100</c:v>
                </c:pt>
                <c:pt idx="155">
                  <c:v>60</c:v>
                </c:pt>
                <c:pt idx="156">
                  <c:v>80</c:v>
                </c:pt>
                <c:pt idx="157">
                  <c:v>90</c:v>
                </c:pt>
                <c:pt idx="158">
                  <c:v>100</c:v>
                </c:pt>
                <c:pt idx="159">
                  <c:v>80</c:v>
                </c:pt>
                <c:pt idx="160">
                  <c:v>90</c:v>
                </c:pt>
                <c:pt idx="161">
                  <c:v>100</c:v>
                </c:pt>
                <c:pt idx="162">
                  <c:v>80</c:v>
                </c:pt>
                <c:pt idx="163">
                  <c:v>100</c:v>
                </c:pt>
                <c:pt idx="164">
                  <c:v>80</c:v>
                </c:pt>
                <c:pt idx="165">
                  <c:v>60</c:v>
                </c:pt>
                <c:pt idx="166">
                  <c:v>90</c:v>
                </c:pt>
                <c:pt idx="167">
                  <c:v>100</c:v>
                </c:pt>
                <c:pt idx="168">
                  <c:v>100</c:v>
                </c:pt>
                <c:pt idx="169">
                  <c:v>100</c:v>
                </c:pt>
                <c:pt idx="170">
                  <c:v>70</c:v>
                </c:pt>
                <c:pt idx="171">
                  <c:v>70</c:v>
                </c:pt>
                <c:pt idx="172">
                  <c:v>90</c:v>
                </c:pt>
                <c:pt idx="173">
                  <c:v>80</c:v>
                </c:pt>
                <c:pt idx="174">
                  <c:v>70</c:v>
                </c:pt>
                <c:pt idx="175">
                  <c:v>80</c:v>
                </c:pt>
                <c:pt idx="176">
                  <c:v>90</c:v>
                </c:pt>
                <c:pt idx="177">
                  <c:v>90</c:v>
                </c:pt>
                <c:pt idx="178">
                  <c:v>70</c:v>
                </c:pt>
                <c:pt idx="179">
                  <c:v>90</c:v>
                </c:pt>
                <c:pt idx="180">
                  <c:v>90</c:v>
                </c:pt>
                <c:pt idx="181">
                  <c:v>90</c:v>
                </c:pt>
                <c:pt idx="182">
                  <c:v>100</c:v>
                </c:pt>
                <c:pt idx="183">
                  <c:v>80</c:v>
                </c:pt>
                <c:pt idx="184">
                  <c:v>60</c:v>
                </c:pt>
                <c:pt idx="185">
                  <c:v>100</c:v>
                </c:pt>
                <c:pt idx="186">
                  <c:v>90</c:v>
                </c:pt>
                <c:pt idx="187">
                  <c:v>100</c:v>
                </c:pt>
                <c:pt idx="188">
                  <c:v>80</c:v>
                </c:pt>
                <c:pt idx="189">
                  <c:v>100</c:v>
                </c:pt>
                <c:pt idx="190">
                  <c:v>70</c:v>
                </c:pt>
                <c:pt idx="191">
                  <c:v>90</c:v>
                </c:pt>
                <c:pt idx="192">
                  <c:v>90</c:v>
                </c:pt>
                <c:pt idx="193">
                  <c:v>100</c:v>
                </c:pt>
                <c:pt idx="194">
                  <c:v>100</c:v>
                </c:pt>
                <c:pt idx="195">
                  <c:v>100</c:v>
                </c:pt>
                <c:pt idx="196">
                  <c:v>90</c:v>
                </c:pt>
                <c:pt idx="197">
                  <c:v>100</c:v>
                </c:pt>
                <c:pt idx="198">
                  <c:v>90</c:v>
                </c:pt>
              </c:numCache>
            </c:numRef>
          </c:val>
          <c:extLst>
            <c:ext xmlns:c16="http://schemas.microsoft.com/office/drawing/2014/chart" uri="{C3380CC4-5D6E-409C-BE32-E72D297353CC}">
              <c16:uniqueId val="{00000000-FF51-475A-86FA-91D7ACB0DC12}"/>
            </c:ext>
          </c:extLst>
        </c:ser>
        <c:ser>
          <c:idx val="1"/>
          <c:order val="1"/>
          <c:tx>
            <c:strRef>
              <c:f>Sheet1!$C$1</c:f>
              <c:strCache>
                <c:ptCount val="1"/>
                <c:pt idx="0">
                  <c:v>INTERPRETATION RATE</c:v>
                </c:pt>
              </c:strCache>
            </c:strRef>
          </c:tx>
          <c:spPr>
            <a:solidFill>
              <a:srgbClr val="FF0000"/>
            </a:solidFill>
          </c:spPr>
          <c:invertIfNegative val="0"/>
          <c:cat>
            <c:numRef>
              <c:f>Sheet1!$A$2:$A$200</c:f>
              <c:numCache>
                <c:formatCode>General</c:formatCode>
                <c:ptCount val="199"/>
                <c:pt idx="0">
                  <c:v>1</c:v>
                </c:pt>
                <c:pt idx="1">
                  <c:v>2</c:v>
                </c:pt>
                <c:pt idx="2">
                  <c:v>3</c:v>
                </c:pt>
                <c:pt idx="3">
                  <c:v>4</c:v>
                </c:pt>
                <c:pt idx="4">
                  <c:v>6</c:v>
                </c:pt>
                <c:pt idx="5">
                  <c:v>7</c:v>
                </c:pt>
                <c:pt idx="6">
                  <c:v>8</c:v>
                </c:pt>
                <c:pt idx="7">
                  <c:v>9</c:v>
                </c:pt>
                <c:pt idx="8">
                  <c:v>10</c:v>
                </c:pt>
                <c:pt idx="9">
                  <c:v>11</c:v>
                </c:pt>
                <c:pt idx="10">
                  <c:v>12</c:v>
                </c:pt>
                <c:pt idx="11">
                  <c:v>14</c:v>
                </c:pt>
                <c:pt idx="12">
                  <c:v>15</c:v>
                </c:pt>
                <c:pt idx="13">
                  <c:v>17</c:v>
                </c:pt>
                <c:pt idx="14">
                  <c:v>20</c:v>
                </c:pt>
                <c:pt idx="15">
                  <c:v>21</c:v>
                </c:pt>
                <c:pt idx="16">
                  <c:v>23</c:v>
                </c:pt>
                <c:pt idx="17">
                  <c:v>24</c:v>
                </c:pt>
                <c:pt idx="18">
                  <c:v>25</c:v>
                </c:pt>
                <c:pt idx="19">
                  <c:v>27</c:v>
                </c:pt>
                <c:pt idx="20">
                  <c:v>28</c:v>
                </c:pt>
                <c:pt idx="21">
                  <c:v>29</c:v>
                </c:pt>
                <c:pt idx="22">
                  <c:v>31</c:v>
                </c:pt>
                <c:pt idx="23">
                  <c:v>32</c:v>
                </c:pt>
                <c:pt idx="24">
                  <c:v>33</c:v>
                </c:pt>
                <c:pt idx="25">
                  <c:v>34</c:v>
                </c:pt>
                <c:pt idx="26">
                  <c:v>36</c:v>
                </c:pt>
                <c:pt idx="27">
                  <c:v>37</c:v>
                </c:pt>
                <c:pt idx="28">
                  <c:v>38</c:v>
                </c:pt>
                <c:pt idx="29">
                  <c:v>40</c:v>
                </c:pt>
                <c:pt idx="30">
                  <c:v>41</c:v>
                </c:pt>
                <c:pt idx="31">
                  <c:v>43</c:v>
                </c:pt>
                <c:pt idx="32">
                  <c:v>50</c:v>
                </c:pt>
                <c:pt idx="33">
                  <c:v>51</c:v>
                </c:pt>
                <c:pt idx="34">
                  <c:v>52</c:v>
                </c:pt>
                <c:pt idx="35">
                  <c:v>54</c:v>
                </c:pt>
                <c:pt idx="36">
                  <c:v>56</c:v>
                </c:pt>
                <c:pt idx="37">
                  <c:v>57</c:v>
                </c:pt>
                <c:pt idx="38">
                  <c:v>60</c:v>
                </c:pt>
                <c:pt idx="39">
                  <c:v>61</c:v>
                </c:pt>
                <c:pt idx="40">
                  <c:v>62</c:v>
                </c:pt>
                <c:pt idx="41">
                  <c:v>63</c:v>
                </c:pt>
                <c:pt idx="42">
                  <c:v>64</c:v>
                </c:pt>
                <c:pt idx="43">
                  <c:v>66</c:v>
                </c:pt>
                <c:pt idx="44">
                  <c:v>67</c:v>
                </c:pt>
                <c:pt idx="45">
                  <c:v>69</c:v>
                </c:pt>
                <c:pt idx="46">
                  <c:v>70</c:v>
                </c:pt>
                <c:pt idx="47">
                  <c:v>71</c:v>
                </c:pt>
                <c:pt idx="48">
                  <c:v>72</c:v>
                </c:pt>
                <c:pt idx="49">
                  <c:v>76</c:v>
                </c:pt>
                <c:pt idx="50">
                  <c:v>77</c:v>
                </c:pt>
                <c:pt idx="51">
                  <c:v>78</c:v>
                </c:pt>
                <c:pt idx="52">
                  <c:v>79</c:v>
                </c:pt>
                <c:pt idx="53">
                  <c:v>80</c:v>
                </c:pt>
                <c:pt idx="54">
                  <c:v>82</c:v>
                </c:pt>
                <c:pt idx="55">
                  <c:v>83</c:v>
                </c:pt>
                <c:pt idx="56">
                  <c:v>84</c:v>
                </c:pt>
                <c:pt idx="57">
                  <c:v>90</c:v>
                </c:pt>
                <c:pt idx="58">
                  <c:v>92</c:v>
                </c:pt>
                <c:pt idx="59">
                  <c:v>93</c:v>
                </c:pt>
                <c:pt idx="60">
                  <c:v>94</c:v>
                </c:pt>
                <c:pt idx="61">
                  <c:v>96</c:v>
                </c:pt>
                <c:pt idx="62">
                  <c:v>97</c:v>
                </c:pt>
                <c:pt idx="63">
                  <c:v>103</c:v>
                </c:pt>
                <c:pt idx="64">
                  <c:v>104</c:v>
                </c:pt>
                <c:pt idx="65">
                  <c:v>108</c:v>
                </c:pt>
                <c:pt idx="66">
                  <c:v>109</c:v>
                </c:pt>
                <c:pt idx="67">
                  <c:v>111</c:v>
                </c:pt>
                <c:pt idx="68">
                  <c:v>112</c:v>
                </c:pt>
                <c:pt idx="69">
                  <c:v>114</c:v>
                </c:pt>
                <c:pt idx="70">
                  <c:v>115</c:v>
                </c:pt>
                <c:pt idx="71">
                  <c:v>117</c:v>
                </c:pt>
                <c:pt idx="72">
                  <c:v>118</c:v>
                </c:pt>
                <c:pt idx="73">
                  <c:v>121</c:v>
                </c:pt>
                <c:pt idx="74">
                  <c:v>123</c:v>
                </c:pt>
                <c:pt idx="75">
                  <c:v>125</c:v>
                </c:pt>
                <c:pt idx="76">
                  <c:v>126</c:v>
                </c:pt>
                <c:pt idx="77">
                  <c:v>128</c:v>
                </c:pt>
                <c:pt idx="78">
                  <c:v>135</c:v>
                </c:pt>
                <c:pt idx="79">
                  <c:v>137</c:v>
                </c:pt>
                <c:pt idx="80">
                  <c:v>138</c:v>
                </c:pt>
                <c:pt idx="81">
                  <c:v>139</c:v>
                </c:pt>
                <c:pt idx="82">
                  <c:v>140</c:v>
                </c:pt>
                <c:pt idx="83">
                  <c:v>141</c:v>
                </c:pt>
                <c:pt idx="84">
                  <c:v>142</c:v>
                </c:pt>
                <c:pt idx="85">
                  <c:v>143</c:v>
                </c:pt>
                <c:pt idx="86">
                  <c:v>144</c:v>
                </c:pt>
                <c:pt idx="87">
                  <c:v>145</c:v>
                </c:pt>
                <c:pt idx="88">
                  <c:v>146</c:v>
                </c:pt>
                <c:pt idx="89">
                  <c:v>147</c:v>
                </c:pt>
                <c:pt idx="90">
                  <c:v>148</c:v>
                </c:pt>
                <c:pt idx="91">
                  <c:v>152</c:v>
                </c:pt>
                <c:pt idx="92">
                  <c:v>154</c:v>
                </c:pt>
                <c:pt idx="93">
                  <c:v>159</c:v>
                </c:pt>
                <c:pt idx="94">
                  <c:v>162</c:v>
                </c:pt>
                <c:pt idx="95">
                  <c:v>163</c:v>
                </c:pt>
                <c:pt idx="96">
                  <c:v>164</c:v>
                </c:pt>
                <c:pt idx="97">
                  <c:v>165</c:v>
                </c:pt>
                <c:pt idx="98">
                  <c:v>166</c:v>
                </c:pt>
                <c:pt idx="99">
                  <c:v>167</c:v>
                </c:pt>
                <c:pt idx="100">
                  <c:v>168</c:v>
                </c:pt>
                <c:pt idx="101">
                  <c:v>169</c:v>
                </c:pt>
                <c:pt idx="102">
                  <c:v>172</c:v>
                </c:pt>
                <c:pt idx="103">
                  <c:v>174</c:v>
                </c:pt>
                <c:pt idx="104">
                  <c:v>175</c:v>
                </c:pt>
                <c:pt idx="105">
                  <c:v>178</c:v>
                </c:pt>
                <c:pt idx="106">
                  <c:v>182</c:v>
                </c:pt>
                <c:pt idx="107">
                  <c:v>183</c:v>
                </c:pt>
                <c:pt idx="108">
                  <c:v>184</c:v>
                </c:pt>
                <c:pt idx="109">
                  <c:v>185</c:v>
                </c:pt>
                <c:pt idx="110">
                  <c:v>188</c:v>
                </c:pt>
                <c:pt idx="111">
                  <c:v>189</c:v>
                </c:pt>
                <c:pt idx="112">
                  <c:v>195</c:v>
                </c:pt>
                <c:pt idx="113">
                  <c:v>196</c:v>
                </c:pt>
                <c:pt idx="114">
                  <c:v>197</c:v>
                </c:pt>
                <c:pt idx="115">
                  <c:v>198</c:v>
                </c:pt>
                <c:pt idx="116">
                  <c:v>200</c:v>
                </c:pt>
                <c:pt idx="117">
                  <c:v>201</c:v>
                </c:pt>
                <c:pt idx="118">
                  <c:v>203</c:v>
                </c:pt>
                <c:pt idx="119">
                  <c:v>205</c:v>
                </c:pt>
                <c:pt idx="120">
                  <c:v>207</c:v>
                </c:pt>
                <c:pt idx="121">
                  <c:v>209</c:v>
                </c:pt>
                <c:pt idx="122">
                  <c:v>210</c:v>
                </c:pt>
                <c:pt idx="123">
                  <c:v>211</c:v>
                </c:pt>
                <c:pt idx="124">
                  <c:v>212</c:v>
                </c:pt>
                <c:pt idx="125">
                  <c:v>214</c:v>
                </c:pt>
                <c:pt idx="126">
                  <c:v>216</c:v>
                </c:pt>
                <c:pt idx="127">
                  <c:v>217</c:v>
                </c:pt>
                <c:pt idx="128">
                  <c:v>218</c:v>
                </c:pt>
                <c:pt idx="129">
                  <c:v>219</c:v>
                </c:pt>
                <c:pt idx="130">
                  <c:v>220</c:v>
                </c:pt>
                <c:pt idx="131">
                  <c:v>221</c:v>
                </c:pt>
                <c:pt idx="132">
                  <c:v>223</c:v>
                </c:pt>
                <c:pt idx="133">
                  <c:v>228</c:v>
                </c:pt>
                <c:pt idx="134">
                  <c:v>233</c:v>
                </c:pt>
                <c:pt idx="135">
                  <c:v>234</c:v>
                </c:pt>
                <c:pt idx="136">
                  <c:v>236</c:v>
                </c:pt>
                <c:pt idx="137">
                  <c:v>237</c:v>
                </c:pt>
                <c:pt idx="138">
                  <c:v>239</c:v>
                </c:pt>
                <c:pt idx="139">
                  <c:v>241</c:v>
                </c:pt>
                <c:pt idx="140">
                  <c:v>242</c:v>
                </c:pt>
                <c:pt idx="141">
                  <c:v>244</c:v>
                </c:pt>
                <c:pt idx="142">
                  <c:v>245</c:v>
                </c:pt>
                <c:pt idx="143">
                  <c:v>246</c:v>
                </c:pt>
                <c:pt idx="144">
                  <c:v>247</c:v>
                </c:pt>
                <c:pt idx="145">
                  <c:v>248</c:v>
                </c:pt>
                <c:pt idx="146">
                  <c:v>249</c:v>
                </c:pt>
                <c:pt idx="147">
                  <c:v>252</c:v>
                </c:pt>
                <c:pt idx="148">
                  <c:v>253</c:v>
                </c:pt>
                <c:pt idx="149">
                  <c:v>255</c:v>
                </c:pt>
                <c:pt idx="150">
                  <c:v>256</c:v>
                </c:pt>
                <c:pt idx="151">
                  <c:v>259</c:v>
                </c:pt>
                <c:pt idx="152">
                  <c:v>260</c:v>
                </c:pt>
                <c:pt idx="153">
                  <c:v>261</c:v>
                </c:pt>
                <c:pt idx="154">
                  <c:v>262</c:v>
                </c:pt>
                <c:pt idx="155">
                  <c:v>264</c:v>
                </c:pt>
                <c:pt idx="156">
                  <c:v>266</c:v>
                </c:pt>
                <c:pt idx="157">
                  <c:v>268</c:v>
                </c:pt>
                <c:pt idx="158">
                  <c:v>270</c:v>
                </c:pt>
                <c:pt idx="159">
                  <c:v>271</c:v>
                </c:pt>
                <c:pt idx="160">
                  <c:v>273</c:v>
                </c:pt>
                <c:pt idx="161">
                  <c:v>276</c:v>
                </c:pt>
                <c:pt idx="162">
                  <c:v>280</c:v>
                </c:pt>
                <c:pt idx="163">
                  <c:v>281</c:v>
                </c:pt>
                <c:pt idx="164">
                  <c:v>282</c:v>
                </c:pt>
                <c:pt idx="165">
                  <c:v>285</c:v>
                </c:pt>
                <c:pt idx="166">
                  <c:v>286</c:v>
                </c:pt>
                <c:pt idx="167">
                  <c:v>287</c:v>
                </c:pt>
                <c:pt idx="168">
                  <c:v>288</c:v>
                </c:pt>
                <c:pt idx="169">
                  <c:v>289</c:v>
                </c:pt>
                <c:pt idx="170">
                  <c:v>290</c:v>
                </c:pt>
                <c:pt idx="171">
                  <c:v>291</c:v>
                </c:pt>
                <c:pt idx="172">
                  <c:v>292</c:v>
                </c:pt>
                <c:pt idx="173">
                  <c:v>294</c:v>
                </c:pt>
                <c:pt idx="174">
                  <c:v>296</c:v>
                </c:pt>
                <c:pt idx="175">
                  <c:v>297</c:v>
                </c:pt>
                <c:pt idx="176">
                  <c:v>298</c:v>
                </c:pt>
                <c:pt idx="177">
                  <c:v>300</c:v>
                </c:pt>
                <c:pt idx="178">
                  <c:v>303</c:v>
                </c:pt>
                <c:pt idx="179">
                  <c:v>304</c:v>
                </c:pt>
                <c:pt idx="180">
                  <c:v>305</c:v>
                </c:pt>
                <c:pt idx="181">
                  <c:v>306</c:v>
                </c:pt>
                <c:pt idx="182">
                  <c:v>308</c:v>
                </c:pt>
                <c:pt idx="183">
                  <c:v>309</c:v>
                </c:pt>
                <c:pt idx="184">
                  <c:v>310</c:v>
                </c:pt>
                <c:pt idx="185">
                  <c:v>311</c:v>
                </c:pt>
                <c:pt idx="186">
                  <c:v>314</c:v>
                </c:pt>
                <c:pt idx="187">
                  <c:v>316</c:v>
                </c:pt>
                <c:pt idx="188">
                  <c:v>317</c:v>
                </c:pt>
                <c:pt idx="189">
                  <c:v>318</c:v>
                </c:pt>
                <c:pt idx="190">
                  <c:v>319</c:v>
                </c:pt>
                <c:pt idx="191">
                  <c:v>321</c:v>
                </c:pt>
                <c:pt idx="192">
                  <c:v>326</c:v>
                </c:pt>
                <c:pt idx="193">
                  <c:v>327</c:v>
                </c:pt>
                <c:pt idx="194">
                  <c:v>330</c:v>
                </c:pt>
                <c:pt idx="195">
                  <c:v>331</c:v>
                </c:pt>
                <c:pt idx="196">
                  <c:v>334</c:v>
                </c:pt>
                <c:pt idx="197">
                  <c:v>337</c:v>
                </c:pt>
                <c:pt idx="198">
                  <c:v>338</c:v>
                </c:pt>
              </c:numCache>
            </c:numRef>
          </c:cat>
          <c:val>
            <c:numRef>
              <c:f>Sheet1!$C$2:$C$200</c:f>
              <c:numCache>
                <c:formatCode>General</c:formatCode>
                <c:ptCount val="199"/>
                <c:pt idx="0">
                  <c:v>100</c:v>
                </c:pt>
                <c:pt idx="1">
                  <c:v>80</c:v>
                </c:pt>
                <c:pt idx="2">
                  <c:v>100</c:v>
                </c:pt>
                <c:pt idx="3">
                  <c:v>90</c:v>
                </c:pt>
                <c:pt idx="4">
                  <c:v>90</c:v>
                </c:pt>
                <c:pt idx="5">
                  <c:v>100</c:v>
                </c:pt>
                <c:pt idx="6">
                  <c:v>90</c:v>
                </c:pt>
                <c:pt idx="7">
                  <c:v>90</c:v>
                </c:pt>
                <c:pt idx="8">
                  <c:v>90</c:v>
                </c:pt>
                <c:pt idx="9">
                  <c:v>100</c:v>
                </c:pt>
                <c:pt idx="10">
                  <c:v>90</c:v>
                </c:pt>
                <c:pt idx="11">
                  <c:v>90</c:v>
                </c:pt>
                <c:pt idx="12">
                  <c:v>80</c:v>
                </c:pt>
                <c:pt idx="13">
                  <c:v>90</c:v>
                </c:pt>
                <c:pt idx="14">
                  <c:v>70</c:v>
                </c:pt>
                <c:pt idx="15">
                  <c:v>100</c:v>
                </c:pt>
                <c:pt idx="16">
                  <c:v>100</c:v>
                </c:pt>
                <c:pt idx="17">
                  <c:v>80</c:v>
                </c:pt>
                <c:pt idx="18">
                  <c:v>80</c:v>
                </c:pt>
                <c:pt idx="19">
                  <c:v>100</c:v>
                </c:pt>
                <c:pt idx="20">
                  <c:v>80</c:v>
                </c:pt>
                <c:pt idx="21">
                  <c:v>100</c:v>
                </c:pt>
                <c:pt idx="22">
                  <c:v>80</c:v>
                </c:pt>
                <c:pt idx="23">
                  <c:v>100</c:v>
                </c:pt>
                <c:pt idx="24">
                  <c:v>100</c:v>
                </c:pt>
                <c:pt idx="25">
                  <c:v>80</c:v>
                </c:pt>
                <c:pt idx="26">
                  <c:v>100</c:v>
                </c:pt>
                <c:pt idx="27">
                  <c:v>100</c:v>
                </c:pt>
                <c:pt idx="28">
                  <c:v>100</c:v>
                </c:pt>
                <c:pt idx="29">
                  <c:v>90</c:v>
                </c:pt>
                <c:pt idx="30">
                  <c:v>100</c:v>
                </c:pt>
                <c:pt idx="31">
                  <c:v>100</c:v>
                </c:pt>
                <c:pt idx="32">
                  <c:v>100</c:v>
                </c:pt>
                <c:pt idx="33">
                  <c:v>90</c:v>
                </c:pt>
                <c:pt idx="34">
                  <c:v>90</c:v>
                </c:pt>
                <c:pt idx="35">
                  <c:v>70</c:v>
                </c:pt>
                <c:pt idx="36">
                  <c:v>90</c:v>
                </c:pt>
                <c:pt idx="37">
                  <c:v>90</c:v>
                </c:pt>
                <c:pt idx="38">
                  <c:v>90</c:v>
                </c:pt>
                <c:pt idx="39">
                  <c:v>100</c:v>
                </c:pt>
                <c:pt idx="40">
                  <c:v>70</c:v>
                </c:pt>
                <c:pt idx="41">
                  <c:v>100</c:v>
                </c:pt>
                <c:pt idx="42">
                  <c:v>90</c:v>
                </c:pt>
                <c:pt idx="43">
                  <c:v>90</c:v>
                </c:pt>
                <c:pt idx="44">
                  <c:v>90</c:v>
                </c:pt>
                <c:pt idx="45">
                  <c:v>90</c:v>
                </c:pt>
                <c:pt idx="46">
                  <c:v>100</c:v>
                </c:pt>
                <c:pt idx="47">
                  <c:v>90</c:v>
                </c:pt>
                <c:pt idx="48">
                  <c:v>100</c:v>
                </c:pt>
                <c:pt idx="49">
                  <c:v>80</c:v>
                </c:pt>
                <c:pt idx="50">
                  <c:v>90</c:v>
                </c:pt>
                <c:pt idx="51">
                  <c:v>100</c:v>
                </c:pt>
                <c:pt idx="52">
                  <c:v>80</c:v>
                </c:pt>
                <c:pt idx="53">
                  <c:v>100</c:v>
                </c:pt>
                <c:pt idx="54">
                  <c:v>80</c:v>
                </c:pt>
                <c:pt idx="55">
                  <c:v>90</c:v>
                </c:pt>
                <c:pt idx="56">
                  <c:v>100</c:v>
                </c:pt>
                <c:pt idx="57">
                  <c:v>100</c:v>
                </c:pt>
                <c:pt idx="58">
                  <c:v>100</c:v>
                </c:pt>
                <c:pt idx="59">
                  <c:v>90</c:v>
                </c:pt>
                <c:pt idx="60">
                  <c:v>100</c:v>
                </c:pt>
                <c:pt idx="61">
                  <c:v>89</c:v>
                </c:pt>
                <c:pt idx="62">
                  <c:v>100</c:v>
                </c:pt>
                <c:pt idx="63">
                  <c:v>100</c:v>
                </c:pt>
                <c:pt idx="64">
                  <c:v>90</c:v>
                </c:pt>
                <c:pt idx="65">
                  <c:v>100</c:v>
                </c:pt>
                <c:pt idx="66">
                  <c:v>90</c:v>
                </c:pt>
                <c:pt idx="67">
                  <c:v>90</c:v>
                </c:pt>
                <c:pt idx="68">
                  <c:v>100</c:v>
                </c:pt>
                <c:pt idx="69">
                  <c:v>100</c:v>
                </c:pt>
                <c:pt idx="70">
                  <c:v>90</c:v>
                </c:pt>
                <c:pt idx="71">
                  <c:v>90</c:v>
                </c:pt>
                <c:pt idx="72">
                  <c:v>100</c:v>
                </c:pt>
                <c:pt idx="73">
                  <c:v>90</c:v>
                </c:pt>
                <c:pt idx="74">
                  <c:v>80</c:v>
                </c:pt>
                <c:pt idx="75">
                  <c:v>100</c:v>
                </c:pt>
                <c:pt idx="76">
                  <c:v>100</c:v>
                </c:pt>
                <c:pt idx="77">
                  <c:v>80</c:v>
                </c:pt>
                <c:pt idx="78">
                  <c:v>100</c:v>
                </c:pt>
                <c:pt idx="79">
                  <c:v>100</c:v>
                </c:pt>
                <c:pt idx="80">
                  <c:v>90</c:v>
                </c:pt>
                <c:pt idx="81">
                  <c:v>90</c:v>
                </c:pt>
                <c:pt idx="82">
                  <c:v>100</c:v>
                </c:pt>
                <c:pt idx="83">
                  <c:v>80</c:v>
                </c:pt>
                <c:pt idx="84">
                  <c:v>60</c:v>
                </c:pt>
                <c:pt idx="85">
                  <c:v>100</c:v>
                </c:pt>
                <c:pt idx="86">
                  <c:v>100</c:v>
                </c:pt>
                <c:pt idx="87">
                  <c:v>90</c:v>
                </c:pt>
                <c:pt idx="88">
                  <c:v>100</c:v>
                </c:pt>
                <c:pt idx="89">
                  <c:v>100</c:v>
                </c:pt>
                <c:pt idx="90">
                  <c:v>100</c:v>
                </c:pt>
                <c:pt idx="91">
                  <c:v>80</c:v>
                </c:pt>
                <c:pt idx="92">
                  <c:v>100</c:v>
                </c:pt>
                <c:pt idx="93">
                  <c:v>100</c:v>
                </c:pt>
                <c:pt idx="94">
                  <c:v>100</c:v>
                </c:pt>
                <c:pt idx="95">
                  <c:v>100</c:v>
                </c:pt>
                <c:pt idx="96">
                  <c:v>100</c:v>
                </c:pt>
                <c:pt idx="97">
                  <c:v>90</c:v>
                </c:pt>
                <c:pt idx="98">
                  <c:v>90</c:v>
                </c:pt>
                <c:pt idx="99">
                  <c:v>80</c:v>
                </c:pt>
                <c:pt idx="100">
                  <c:v>100</c:v>
                </c:pt>
                <c:pt idx="101">
                  <c:v>80</c:v>
                </c:pt>
                <c:pt idx="102">
                  <c:v>100</c:v>
                </c:pt>
                <c:pt idx="103">
                  <c:v>100</c:v>
                </c:pt>
                <c:pt idx="104">
                  <c:v>80</c:v>
                </c:pt>
                <c:pt idx="105">
                  <c:v>80</c:v>
                </c:pt>
                <c:pt idx="106">
                  <c:v>90</c:v>
                </c:pt>
                <c:pt idx="107">
                  <c:v>80</c:v>
                </c:pt>
                <c:pt idx="108">
                  <c:v>100</c:v>
                </c:pt>
                <c:pt idx="109">
                  <c:v>90</c:v>
                </c:pt>
                <c:pt idx="110">
                  <c:v>90</c:v>
                </c:pt>
                <c:pt idx="111">
                  <c:v>100</c:v>
                </c:pt>
                <c:pt idx="112">
                  <c:v>100</c:v>
                </c:pt>
                <c:pt idx="113">
                  <c:v>100</c:v>
                </c:pt>
                <c:pt idx="114">
                  <c:v>100</c:v>
                </c:pt>
                <c:pt idx="115">
                  <c:v>80</c:v>
                </c:pt>
                <c:pt idx="116">
                  <c:v>90</c:v>
                </c:pt>
                <c:pt idx="117">
                  <c:v>100</c:v>
                </c:pt>
                <c:pt idx="118">
                  <c:v>100</c:v>
                </c:pt>
                <c:pt idx="119">
                  <c:v>100</c:v>
                </c:pt>
                <c:pt idx="120">
                  <c:v>60</c:v>
                </c:pt>
                <c:pt idx="121">
                  <c:v>100</c:v>
                </c:pt>
                <c:pt idx="122">
                  <c:v>100</c:v>
                </c:pt>
                <c:pt idx="123">
                  <c:v>100</c:v>
                </c:pt>
                <c:pt idx="124">
                  <c:v>100</c:v>
                </c:pt>
                <c:pt idx="125">
                  <c:v>100</c:v>
                </c:pt>
                <c:pt idx="126">
                  <c:v>70</c:v>
                </c:pt>
                <c:pt idx="127">
                  <c:v>100</c:v>
                </c:pt>
                <c:pt idx="128">
                  <c:v>90</c:v>
                </c:pt>
                <c:pt idx="129">
                  <c:v>90</c:v>
                </c:pt>
                <c:pt idx="130">
                  <c:v>80</c:v>
                </c:pt>
                <c:pt idx="131">
                  <c:v>100</c:v>
                </c:pt>
                <c:pt idx="132">
                  <c:v>90</c:v>
                </c:pt>
                <c:pt idx="133">
                  <c:v>100</c:v>
                </c:pt>
                <c:pt idx="134">
                  <c:v>100</c:v>
                </c:pt>
                <c:pt idx="135">
                  <c:v>80</c:v>
                </c:pt>
                <c:pt idx="136">
                  <c:v>100</c:v>
                </c:pt>
                <c:pt idx="137">
                  <c:v>100</c:v>
                </c:pt>
                <c:pt idx="138">
                  <c:v>100</c:v>
                </c:pt>
                <c:pt idx="139">
                  <c:v>90</c:v>
                </c:pt>
                <c:pt idx="140">
                  <c:v>90</c:v>
                </c:pt>
                <c:pt idx="141">
                  <c:v>100</c:v>
                </c:pt>
                <c:pt idx="142">
                  <c:v>100</c:v>
                </c:pt>
                <c:pt idx="143">
                  <c:v>100</c:v>
                </c:pt>
                <c:pt idx="144">
                  <c:v>90</c:v>
                </c:pt>
                <c:pt idx="145">
                  <c:v>90</c:v>
                </c:pt>
                <c:pt idx="146">
                  <c:v>80</c:v>
                </c:pt>
                <c:pt idx="147">
                  <c:v>80</c:v>
                </c:pt>
                <c:pt idx="148">
                  <c:v>90</c:v>
                </c:pt>
                <c:pt idx="149">
                  <c:v>80</c:v>
                </c:pt>
                <c:pt idx="150">
                  <c:v>90</c:v>
                </c:pt>
                <c:pt idx="151">
                  <c:v>100</c:v>
                </c:pt>
                <c:pt idx="152">
                  <c:v>100</c:v>
                </c:pt>
                <c:pt idx="153">
                  <c:v>100</c:v>
                </c:pt>
                <c:pt idx="154">
                  <c:v>80</c:v>
                </c:pt>
                <c:pt idx="155">
                  <c:v>100</c:v>
                </c:pt>
                <c:pt idx="156">
                  <c:v>100</c:v>
                </c:pt>
                <c:pt idx="157">
                  <c:v>100</c:v>
                </c:pt>
                <c:pt idx="158">
                  <c:v>90</c:v>
                </c:pt>
                <c:pt idx="159">
                  <c:v>100</c:v>
                </c:pt>
                <c:pt idx="160">
                  <c:v>100</c:v>
                </c:pt>
                <c:pt idx="161">
                  <c:v>100</c:v>
                </c:pt>
                <c:pt idx="162">
                  <c:v>70</c:v>
                </c:pt>
                <c:pt idx="163">
                  <c:v>90</c:v>
                </c:pt>
                <c:pt idx="164">
                  <c:v>80</c:v>
                </c:pt>
                <c:pt idx="165">
                  <c:v>100</c:v>
                </c:pt>
                <c:pt idx="166">
                  <c:v>100</c:v>
                </c:pt>
                <c:pt idx="167">
                  <c:v>100</c:v>
                </c:pt>
                <c:pt idx="168">
                  <c:v>100</c:v>
                </c:pt>
                <c:pt idx="169">
                  <c:v>80</c:v>
                </c:pt>
                <c:pt idx="170">
                  <c:v>100</c:v>
                </c:pt>
                <c:pt idx="171">
                  <c:v>100</c:v>
                </c:pt>
                <c:pt idx="172">
                  <c:v>100</c:v>
                </c:pt>
                <c:pt idx="173">
                  <c:v>90</c:v>
                </c:pt>
                <c:pt idx="174">
                  <c:v>90</c:v>
                </c:pt>
                <c:pt idx="175">
                  <c:v>100</c:v>
                </c:pt>
                <c:pt idx="176">
                  <c:v>90</c:v>
                </c:pt>
                <c:pt idx="177">
                  <c:v>100</c:v>
                </c:pt>
                <c:pt idx="178">
                  <c:v>100</c:v>
                </c:pt>
                <c:pt idx="179">
                  <c:v>70</c:v>
                </c:pt>
                <c:pt idx="180">
                  <c:v>80</c:v>
                </c:pt>
                <c:pt idx="181">
                  <c:v>100</c:v>
                </c:pt>
                <c:pt idx="182">
                  <c:v>100</c:v>
                </c:pt>
                <c:pt idx="183">
                  <c:v>100</c:v>
                </c:pt>
                <c:pt idx="184">
                  <c:v>100</c:v>
                </c:pt>
                <c:pt idx="185">
                  <c:v>80</c:v>
                </c:pt>
                <c:pt idx="186">
                  <c:v>100</c:v>
                </c:pt>
                <c:pt idx="187">
                  <c:v>70</c:v>
                </c:pt>
                <c:pt idx="188">
                  <c:v>100</c:v>
                </c:pt>
                <c:pt idx="189">
                  <c:v>70</c:v>
                </c:pt>
                <c:pt idx="190">
                  <c:v>80</c:v>
                </c:pt>
                <c:pt idx="191">
                  <c:v>100</c:v>
                </c:pt>
                <c:pt idx="192">
                  <c:v>100</c:v>
                </c:pt>
                <c:pt idx="193">
                  <c:v>100</c:v>
                </c:pt>
                <c:pt idx="194">
                  <c:v>100</c:v>
                </c:pt>
                <c:pt idx="195">
                  <c:v>100</c:v>
                </c:pt>
                <c:pt idx="196">
                  <c:v>90</c:v>
                </c:pt>
                <c:pt idx="197">
                  <c:v>100</c:v>
                </c:pt>
                <c:pt idx="198">
                  <c:v>100</c:v>
                </c:pt>
              </c:numCache>
            </c:numRef>
          </c:val>
          <c:extLst>
            <c:ext xmlns:c16="http://schemas.microsoft.com/office/drawing/2014/chart" uri="{C3380CC4-5D6E-409C-BE32-E72D297353CC}">
              <c16:uniqueId val="{00000001-FF51-475A-86FA-91D7ACB0DC12}"/>
            </c:ext>
          </c:extLst>
        </c:ser>
        <c:dLbls>
          <c:showLegendKey val="0"/>
          <c:showVal val="0"/>
          <c:showCatName val="0"/>
          <c:showSerName val="0"/>
          <c:showPercent val="0"/>
          <c:showBubbleSize val="0"/>
        </c:dLbls>
        <c:gapWidth val="150"/>
        <c:axId val="112859392"/>
        <c:axId val="112902144"/>
      </c:barChart>
      <c:catAx>
        <c:axId val="112859392"/>
        <c:scaling>
          <c:orientation val="minMax"/>
        </c:scaling>
        <c:delete val="0"/>
        <c:axPos val="b"/>
        <c:numFmt formatCode="General" sourceLinked="1"/>
        <c:majorTickMark val="none"/>
        <c:minorTickMark val="none"/>
        <c:tickLblPos val="nextTo"/>
        <c:txPr>
          <a:bodyPr/>
          <a:lstStyle/>
          <a:p>
            <a:pPr>
              <a:defRPr sz="600" b="0" i="0" baseline="0"/>
            </a:pPr>
            <a:endParaRPr lang="en-US"/>
          </a:p>
        </c:txPr>
        <c:crossAx val="112902144"/>
        <c:crosses val="autoZero"/>
        <c:auto val="1"/>
        <c:lblAlgn val="ctr"/>
        <c:lblOffset val="100"/>
        <c:noMultiLvlLbl val="0"/>
      </c:catAx>
      <c:valAx>
        <c:axId val="112902144"/>
        <c:scaling>
          <c:orientation val="minMax"/>
          <c:max val="100"/>
        </c:scaling>
        <c:delete val="0"/>
        <c:axPos val="l"/>
        <c:majorGridlines/>
        <c:numFmt formatCode="General" sourceLinked="1"/>
        <c:majorTickMark val="none"/>
        <c:minorTickMark val="none"/>
        <c:tickLblPos val="nextTo"/>
        <c:crossAx val="112859392"/>
        <c:crosses val="autoZero"/>
        <c:crossBetween val="between"/>
      </c:valAx>
    </c:plotArea>
    <c:legend>
      <c:legendPos val="r"/>
      <c:layout>
        <c:manualLayout>
          <c:xMode val="edge"/>
          <c:yMode val="edge"/>
          <c:x val="0.27381723351997445"/>
          <c:y val="0.91614288683122758"/>
          <c:w val="0.52387729133858396"/>
          <c:h val="8.385704377626417E-2"/>
        </c:manualLayout>
      </c:layout>
      <c:overlay val="0"/>
      <c:txPr>
        <a:bodyPr/>
        <a:lstStyle/>
        <a:p>
          <a:pPr>
            <a:defRPr>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manualLayout>
          <c:layoutTarget val="inner"/>
          <c:xMode val="edge"/>
          <c:yMode val="edge"/>
          <c:x val="8.4214740441835398E-2"/>
          <c:y val="1.8610022721590801E-2"/>
          <c:w val="0.91578521434822424"/>
          <c:h val="0.76375087849664502"/>
        </c:manualLayout>
      </c:layout>
      <c:barChart>
        <c:barDir val="col"/>
        <c:grouping val="stacked"/>
        <c:varyColors val="0"/>
        <c:ser>
          <c:idx val="0"/>
          <c:order val="0"/>
          <c:tx>
            <c:strRef>
              <c:f>Sheet1!$B$1</c:f>
              <c:strCache>
                <c:ptCount val="1"/>
                <c:pt idx="0">
                  <c:v>Score 0</c:v>
                </c:pt>
              </c:strCache>
            </c:strRef>
          </c:tx>
          <c:spPr>
            <a:solidFill>
              <a:srgbClr val="7030A0"/>
            </a:solidFill>
          </c:spPr>
          <c:invertIfNegative val="0"/>
          <c:dLbls>
            <c:spPr>
              <a:noFill/>
              <a:ln>
                <a:noFill/>
              </a:ln>
              <a:effectLst/>
            </c:spPr>
            <c:txPr>
              <a:bodyPr wrap="square" lIns="38100" tIns="19050" rIns="38100" bIns="19050" anchor="ctr">
                <a:spAutoFit/>
              </a:bodyPr>
              <a:lstStyle/>
              <a:p>
                <a:pPr>
                  <a:defRPr sz="800">
                    <a:solidFill>
                      <a:schemeClr val="bg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Sheet1!$A$2:$A$11</c:f>
              <c:strCache>
                <c:ptCount val="10"/>
                <c:pt idx="0">
                  <c:v>Core 2 (Score 3+)</c:v>
                </c:pt>
                <c:pt idx="1">
                  <c:v>Core 3 (Score 2+)</c:v>
                </c:pt>
                <c:pt idx="2">
                  <c:v>Core 4 (Score 0)</c:v>
                </c:pt>
                <c:pt idx="3">
                  <c:v>Core 5 (Score 1+)</c:v>
                </c:pt>
                <c:pt idx="4">
                  <c:v>Core 7 (Score 2+)</c:v>
                </c:pt>
                <c:pt idx="5">
                  <c:v>Core 8 (Score 3+)</c:v>
                </c:pt>
                <c:pt idx="6">
                  <c:v>Core 9 (Score 0)</c:v>
                </c:pt>
                <c:pt idx="7">
                  <c:v>Core 10 (Score 2+)</c:v>
                </c:pt>
                <c:pt idx="8">
                  <c:v>Core 11 (Score 1+)</c:v>
                </c:pt>
                <c:pt idx="9">
                  <c:v>Core 12 (Score 3+)</c:v>
                </c:pt>
              </c:strCache>
            </c:strRef>
          </c:cat>
          <c:val>
            <c:numRef>
              <c:f>Sheet1!$B$2:$B$11</c:f>
              <c:numCache>
                <c:formatCode>General</c:formatCode>
                <c:ptCount val="10"/>
                <c:pt idx="0">
                  <c:v>1</c:v>
                </c:pt>
                <c:pt idx="1">
                  <c:v>3.5</c:v>
                </c:pt>
                <c:pt idx="2">
                  <c:v>87.4</c:v>
                </c:pt>
                <c:pt idx="3">
                  <c:v>87.4</c:v>
                </c:pt>
                <c:pt idx="4">
                  <c:v>3.5</c:v>
                </c:pt>
                <c:pt idx="6">
                  <c:v>86.9</c:v>
                </c:pt>
                <c:pt idx="7">
                  <c:v>6</c:v>
                </c:pt>
                <c:pt idx="8">
                  <c:v>93</c:v>
                </c:pt>
                <c:pt idx="9">
                  <c:v>0.5</c:v>
                </c:pt>
              </c:numCache>
            </c:numRef>
          </c:val>
          <c:extLst>
            <c:ext xmlns:c16="http://schemas.microsoft.com/office/drawing/2014/chart" uri="{C3380CC4-5D6E-409C-BE32-E72D297353CC}">
              <c16:uniqueId val="{00000001-8F5C-47EB-AA8D-F2F0EB9316FA}"/>
            </c:ext>
          </c:extLst>
        </c:ser>
        <c:ser>
          <c:idx val="1"/>
          <c:order val="1"/>
          <c:tx>
            <c:strRef>
              <c:f>Sheet1!$C$1</c:f>
              <c:strCache>
                <c:ptCount val="1"/>
                <c:pt idx="0">
                  <c:v>Score 1</c:v>
                </c:pt>
              </c:strCache>
            </c:strRef>
          </c:tx>
          <c:spPr>
            <a:solidFill>
              <a:schemeClr val="tx2">
                <a:lumMod val="50000"/>
              </a:schemeClr>
            </a:solidFill>
          </c:spPr>
          <c:invertIfNegative val="0"/>
          <c:dLbls>
            <c:dLbl>
              <c:idx val="1"/>
              <c:delete val="1"/>
              <c:extLst>
                <c:ext xmlns:c15="http://schemas.microsoft.com/office/drawing/2012/chart" uri="{CE6537A1-D6FC-4f65-9D91-7224C49458BB}"/>
                <c:ext xmlns:c16="http://schemas.microsoft.com/office/drawing/2014/chart" uri="{C3380CC4-5D6E-409C-BE32-E72D297353CC}">
                  <c16:uniqueId val="{00000002-8F5C-47EB-AA8D-F2F0EB9316FA}"/>
                </c:ext>
              </c:extLst>
            </c:dLbl>
            <c:dLbl>
              <c:idx val="5"/>
              <c:delete val="1"/>
              <c:extLst>
                <c:ext xmlns:c15="http://schemas.microsoft.com/office/drawing/2012/chart" uri="{CE6537A1-D6FC-4f65-9D91-7224C49458BB}"/>
                <c:ext xmlns:c16="http://schemas.microsoft.com/office/drawing/2014/chart" uri="{C3380CC4-5D6E-409C-BE32-E72D297353CC}">
                  <c16:uniqueId val="{00000003-8F5C-47EB-AA8D-F2F0EB9316FA}"/>
                </c:ext>
              </c:extLst>
            </c:dLbl>
            <c:dLbl>
              <c:idx val="8"/>
              <c:delete val="1"/>
              <c:extLst>
                <c:ext xmlns:c15="http://schemas.microsoft.com/office/drawing/2012/chart" uri="{CE6537A1-D6FC-4f65-9D91-7224C49458BB}"/>
                <c:ext xmlns:c16="http://schemas.microsoft.com/office/drawing/2014/chart" uri="{C3380CC4-5D6E-409C-BE32-E72D297353CC}">
                  <c16:uniqueId val="{00000004-8F5C-47EB-AA8D-F2F0EB9316FA}"/>
                </c:ext>
              </c:extLst>
            </c:dLbl>
            <c:spPr>
              <a:noFill/>
              <a:ln>
                <a:noFill/>
              </a:ln>
              <a:effectLst/>
            </c:spPr>
            <c:txPr>
              <a:bodyPr wrap="square" lIns="38100" tIns="19050" rIns="38100" bIns="19050" anchor="ctr">
                <a:spAutoFit/>
              </a:bodyPr>
              <a:lstStyle/>
              <a:p>
                <a:pPr>
                  <a:defRPr>
                    <a:solidFill>
                      <a:schemeClr val="bg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Sheet1!$A$2:$A$11</c:f>
              <c:strCache>
                <c:ptCount val="10"/>
                <c:pt idx="0">
                  <c:v>Core 2 (Score 3+)</c:v>
                </c:pt>
                <c:pt idx="1">
                  <c:v>Core 3 (Score 2+)</c:v>
                </c:pt>
                <c:pt idx="2">
                  <c:v>Core 4 (Score 0)</c:v>
                </c:pt>
                <c:pt idx="3">
                  <c:v>Core 5 (Score 1+)</c:v>
                </c:pt>
                <c:pt idx="4">
                  <c:v>Core 7 (Score 2+)</c:v>
                </c:pt>
                <c:pt idx="5">
                  <c:v>Core 8 (Score 3+)</c:v>
                </c:pt>
                <c:pt idx="6">
                  <c:v>Core 9 (Score 0)</c:v>
                </c:pt>
                <c:pt idx="7">
                  <c:v>Core 10 (Score 2+)</c:v>
                </c:pt>
                <c:pt idx="8">
                  <c:v>Core 11 (Score 1+)</c:v>
                </c:pt>
                <c:pt idx="9">
                  <c:v>Core 12 (Score 3+)</c:v>
                </c:pt>
              </c:strCache>
            </c:strRef>
          </c:cat>
          <c:val>
            <c:numRef>
              <c:f>Sheet1!$C$2:$C$11</c:f>
              <c:numCache>
                <c:formatCode>General</c:formatCode>
                <c:ptCount val="10"/>
                <c:pt idx="0">
                  <c:v>2.5</c:v>
                </c:pt>
                <c:pt idx="1">
                  <c:v>13.1</c:v>
                </c:pt>
                <c:pt idx="2">
                  <c:v>6.5</c:v>
                </c:pt>
                <c:pt idx="3">
                  <c:v>12.1</c:v>
                </c:pt>
                <c:pt idx="4">
                  <c:v>21.1</c:v>
                </c:pt>
                <c:pt idx="5">
                  <c:v>0.5</c:v>
                </c:pt>
                <c:pt idx="6">
                  <c:v>8</c:v>
                </c:pt>
                <c:pt idx="7">
                  <c:v>42.2</c:v>
                </c:pt>
                <c:pt idx="8">
                  <c:v>6</c:v>
                </c:pt>
                <c:pt idx="9">
                  <c:v>1</c:v>
                </c:pt>
              </c:numCache>
            </c:numRef>
          </c:val>
          <c:extLst>
            <c:ext xmlns:c16="http://schemas.microsoft.com/office/drawing/2014/chart" uri="{C3380CC4-5D6E-409C-BE32-E72D297353CC}">
              <c16:uniqueId val="{00000005-8F5C-47EB-AA8D-F2F0EB9316FA}"/>
            </c:ext>
          </c:extLst>
        </c:ser>
        <c:ser>
          <c:idx val="2"/>
          <c:order val="2"/>
          <c:tx>
            <c:strRef>
              <c:f>Sheet1!$D$1</c:f>
              <c:strCache>
                <c:ptCount val="1"/>
                <c:pt idx="0">
                  <c:v>Score 2</c:v>
                </c:pt>
              </c:strCache>
            </c:strRef>
          </c:tx>
          <c:spPr>
            <a:solidFill>
              <a:schemeClr val="tx2">
                <a:lumMod val="60000"/>
                <a:lumOff val="40000"/>
              </a:schemeClr>
            </a:solidFill>
          </c:spPr>
          <c:invertIfNegative val="0"/>
          <c:dLbls>
            <c:dLbl>
              <c:idx val="1"/>
              <c:tx>
                <c:rich>
                  <a:bodyPr wrap="square" lIns="38100" tIns="19050" rIns="38100" bIns="19050" anchor="ctr">
                    <a:noAutofit/>
                  </a:bodyPr>
                  <a:lstStyle/>
                  <a:p>
                    <a:pPr>
                      <a:defRPr sz="800">
                        <a:solidFill>
                          <a:schemeClr val="bg1"/>
                        </a:solidFill>
                      </a:defRPr>
                    </a:pPr>
                    <a:r>
                      <a:rPr lang="en-US"/>
                      <a:t>82</a:t>
                    </a:r>
                  </a:p>
                </c:rich>
              </c:tx>
              <c:spPr>
                <a:noFill/>
                <a:ln>
                  <a:noFill/>
                </a:ln>
                <a:effectLst/>
              </c:sp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showDataLabelsRange val="0"/>
                </c:ext>
                <c:ext xmlns:c16="http://schemas.microsoft.com/office/drawing/2014/chart" uri="{C3380CC4-5D6E-409C-BE32-E72D297353CC}">
                  <c16:uniqueId val="{00000007-8F5C-47EB-AA8D-F2F0EB9316FA}"/>
                </c:ext>
              </c:extLst>
            </c:dLbl>
            <c:dLbl>
              <c:idx val="8"/>
              <c:layout>
                <c:manualLayout>
                  <c:x val="0"/>
                  <c:y val="2.5506137414315903E-2"/>
                </c:manualLayout>
              </c:layout>
              <c:tx>
                <c:rich>
                  <a:bodyPr/>
                  <a:lstStyle/>
                  <a:p>
                    <a:r>
                      <a:rPr lang="en-US"/>
                      <a:t>7</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E442-4AA0-A168-B0845970A7C6}"/>
                </c:ext>
              </c:extLst>
            </c:dLbl>
            <c:spPr>
              <a:noFill/>
              <a:ln>
                <a:noFill/>
              </a:ln>
              <a:effectLst/>
            </c:spPr>
            <c:txPr>
              <a:bodyPr wrap="square" lIns="38100" tIns="19050" rIns="38100" bIns="19050" anchor="ctr">
                <a:spAutoFit/>
              </a:bodyPr>
              <a:lstStyle/>
              <a:p>
                <a:pPr>
                  <a:defRPr sz="800">
                    <a:solidFill>
                      <a:schemeClr val="bg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Sheet1!$A$2:$A$11</c:f>
              <c:strCache>
                <c:ptCount val="10"/>
                <c:pt idx="0">
                  <c:v>Core 2 (Score 3+)</c:v>
                </c:pt>
                <c:pt idx="1">
                  <c:v>Core 3 (Score 2+)</c:v>
                </c:pt>
                <c:pt idx="2">
                  <c:v>Core 4 (Score 0)</c:v>
                </c:pt>
                <c:pt idx="3">
                  <c:v>Core 5 (Score 1+)</c:v>
                </c:pt>
                <c:pt idx="4">
                  <c:v>Core 7 (Score 2+)</c:v>
                </c:pt>
                <c:pt idx="5">
                  <c:v>Core 8 (Score 3+)</c:v>
                </c:pt>
                <c:pt idx="6">
                  <c:v>Core 9 (Score 0)</c:v>
                </c:pt>
                <c:pt idx="7">
                  <c:v>Core 10 (Score 2+)</c:v>
                </c:pt>
                <c:pt idx="8">
                  <c:v>Core 11 (Score 1+)</c:v>
                </c:pt>
                <c:pt idx="9">
                  <c:v>Core 12 (Score 3+)</c:v>
                </c:pt>
              </c:strCache>
            </c:strRef>
          </c:cat>
          <c:val>
            <c:numRef>
              <c:f>Sheet1!$D$2:$D$11</c:f>
              <c:numCache>
                <c:formatCode>General</c:formatCode>
                <c:ptCount val="10"/>
                <c:pt idx="0">
                  <c:v>15.6</c:v>
                </c:pt>
                <c:pt idx="1">
                  <c:v>81.900000000000006</c:v>
                </c:pt>
                <c:pt idx="2">
                  <c:v>5</c:v>
                </c:pt>
                <c:pt idx="4">
                  <c:v>75.400000000000006</c:v>
                </c:pt>
                <c:pt idx="5">
                  <c:v>0.5</c:v>
                </c:pt>
                <c:pt idx="6">
                  <c:v>4.5</c:v>
                </c:pt>
                <c:pt idx="7">
                  <c:v>51.3</c:v>
                </c:pt>
                <c:pt idx="8">
                  <c:v>1</c:v>
                </c:pt>
                <c:pt idx="9">
                  <c:v>1</c:v>
                </c:pt>
              </c:numCache>
            </c:numRef>
          </c:val>
          <c:extLst>
            <c:ext xmlns:c16="http://schemas.microsoft.com/office/drawing/2014/chart" uri="{C3380CC4-5D6E-409C-BE32-E72D297353CC}">
              <c16:uniqueId val="{0000000D-8F5C-47EB-AA8D-F2F0EB9316FA}"/>
            </c:ext>
          </c:extLst>
        </c:ser>
        <c:ser>
          <c:idx val="3"/>
          <c:order val="3"/>
          <c:tx>
            <c:strRef>
              <c:f>Sheet1!$E$1</c:f>
              <c:strCache>
                <c:ptCount val="1"/>
                <c:pt idx="0">
                  <c:v>Score 3</c:v>
                </c:pt>
              </c:strCache>
            </c:strRef>
          </c:tx>
          <c:spPr>
            <a:solidFill>
              <a:schemeClr val="tx2"/>
            </a:solidFill>
          </c:spPr>
          <c:invertIfNegative val="0"/>
          <c:dLbls>
            <c:dLbl>
              <c:idx val="7"/>
              <c:layout>
                <c:manualLayout>
                  <c:x val="2.1306061574517983E-3"/>
                  <c:y val="1.137009664582149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2B5-49DA-8E7A-60E96DB21F4A}"/>
                </c:ext>
              </c:extLst>
            </c:dLbl>
            <c:spPr>
              <a:noFill/>
              <a:ln>
                <a:noFill/>
              </a:ln>
              <a:effectLst/>
            </c:spPr>
            <c:txPr>
              <a:bodyPr wrap="square" lIns="38100" tIns="19050" rIns="38100" bIns="19050" anchor="ctr">
                <a:spAutoFit/>
              </a:bodyPr>
              <a:lstStyle/>
              <a:p>
                <a:pPr>
                  <a:defRPr sz="700">
                    <a:solidFill>
                      <a:schemeClr val="bg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Sheet1!$A$2:$A$11</c:f>
              <c:strCache>
                <c:ptCount val="10"/>
                <c:pt idx="0">
                  <c:v>Core 2 (Score 3+)</c:v>
                </c:pt>
                <c:pt idx="1">
                  <c:v>Core 3 (Score 2+)</c:v>
                </c:pt>
                <c:pt idx="2">
                  <c:v>Core 4 (Score 0)</c:v>
                </c:pt>
                <c:pt idx="3">
                  <c:v>Core 5 (Score 1+)</c:v>
                </c:pt>
                <c:pt idx="4">
                  <c:v>Core 7 (Score 2+)</c:v>
                </c:pt>
                <c:pt idx="5">
                  <c:v>Core 8 (Score 3+)</c:v>
                </c:pt>
                <c:pt idx="6">
                  <c:v>Core 9 (Score 0)</c:v>
                </c:pt>
                <c:pt idx="7">
                  <c:v>Core 10 (Score 2+)</c:v>
                </c:pt>
                <c:pt idx="8">
                  <c:v>Core 11 (Score 1+)</c:v>
                </c:pt>
                <c:pt idx="9">
                  <c:v>Core 12 (Score 3+)</c:v>
                </c:pt>
              </c:strCache>
            </c:strRef>
          </c:cat>
          <c:val>
            <c:numRef>
              <c:f>Sheet1!$E$2:$E$11</c:f>
              <c:numCache>
                <c:formatCode>General</c:formatCode>
                <c:ptCount val="10"/>
                <c:pt idx="0">
                  <c:v>80.900000000000006</c:v>
                </c:pt>
                <c:pt idx="1">
                  <c:v>1.5</c:v>
                </c:pt>
                <c:pt idx="2">
                  <c:v>0.5</c:v>
                </c:pt>
                <c:pt idx="5">
                  <c:v>99</c:v>
                </c:pt>
                <c:pt idx="7">
                  <c:v>0.5</c:v>
                </c:pt>
                <c:pt idx="9">
                  <c:v>97.5</c:v>
                </c:pt>
              </c:numCache>
            </c:numRef>
          </c:val>
          <c:extLst>
            <c:ext xmlns:c16="http://schemas.microsoft.com/office/drawing/2014/chart" uri="{C3380CC4-5D6E-409C-BE32-E72D297353CC}">
              <c16:uniqueId val="{0000000E-8F5C-47EB-AA8D-F2F0EB9316FA}"/>
            </c:ext>
          </c:extLst>
        </c:ser>
        <c:ser>
          <c:idx val="4"/>
          <c:order val="4"/>
          <c:tx>
            <c:strRef>
              <c:f>Sheet1!$F$1</c:f>
              <c:strCache>
                <c:ptCount val="1"/>
                <c:pt idx="0">
                  <c:v>Uninterpretable</c:v>
                </c:pt>
              </c:strCache>
            </c:strRef>
          </c:tx>
          <c:invertIfNegative val="0"/>
          <c:dLbls>
            <c:dLbl>
              <c:idx val="2"/>
              <c:layout>
                <c:manualLayout>
                  <c:x val="0"/>
                  <c:y val="2.558271745309839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688-4EC1-BA5F-3CCA8582E640}"/>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Sheet1!$A$2:$A$11</c:f>
              <c:strCache>
                <c:ptCount val="10"/>
                <c:pt idx="0">
                  <c:v>Core 2 (Score 3+)</c:v>
                </c:pt>
                <c:pt idx="1">
                  <c:v>Core 3 (Score 2+)</c:v>
                </c:pt>
                <c:pt idx="2">
                  <c:v>Core 4 (Score 0)</c:v>
                </c:pt>
                <c:pt idx="3">
                  <c:v>Core 5 (Score 1+)</c:v>
                </c:pt>
                <c:pt idx="4">
                  <c:v>Core 7 (Score 2+)</c:v>
                </c:pt>
                <c:pt idx="5">
                  <c:v>Core 8 (Score 3+)</c:v>
                </c:pt>
                <c:pt idx="6">
                  <c:v>Core 9 (Score 0)</c:v>
                </c:pt>
                <c:pt idx="7">
                  <c:v>Core 10 (Score 2+)</c:v>
                </c:pt>
                <c:pt idx="8">
                  <c:v>Core 11 (Score 1+)</c:v>
                </c:pt>
                <c:pt idx="9">
                  <c:v>Core 12 (Score 3+)</c:v>
                </c:pt>
              </c:strCache>
            </c:strRef>
          </c:cat>
          <c:val>
            <c:numRef>
              <c:f>Sheet1!$F$2:$F$11</c:f>
              <c:numCache>
                <c:formatCode>General</c:formatCode>
                <c:ptCount val="10"/>
                <c:pt idx="2">
                  <c:v>0.5</c:v>
                </c:pt>
                <c:pt idx="3">
                  <c:v>0.5</c:v>
                </c:pt>
              </c:numCache>
            </c:numRef>
          </c:val>
          <c:extLst>
            <c:ext xmlns:c16="http://schemas.microsoft.com/office/drawing/2014/chart" uri="{C3380CC4-5D6E-409C-BE32-E72D297353CC}">
              <c16:uniqueId val="{00000000-BC16-4816-A206-23FAB615E298}"/>
            </c:ext>
          </c:extLst>
        </c:ser>
        <c:dLbls>
          <c:showLegendKey val="0"/>
          <c:showVal val="1"/>
          <c:showCatName val="0"/>
          <c:showSerName val="0"/>
          <c:showPercent val="0"/>
          <c:showBubbleSize val="0"/>
        </c:dLbls>
        <c:gapWidth val="75"/>
        <c:overlap val="100"/>
        <c:axId val="165817344"/>
        <c:axId val="169343232"/>
      </c:barChart>
      <c:catAx>
        <c:axId val="165817344"/>
        <c:scaling>
          <c:orientation val="minMax"/>
        </c:scaling>
        <c:delete val="0"/>
        <c:axPos val="b"/>
        <c:numFmt formatCode="General" sourceLinked="0"/>
        <c:majorTickMark val="none"/>
        <c:minorTickMark val="none"/>
        <c:tickLblPos val="nextTo"/>
        <c:crossAx val="169343232"/>
        <c:crosses val="autoZero"/>
        <c:auto val="1"/>
        <c:lblAlgn val="ctr"/>
        <c:lblOffset val="100"/>
        <c:noMultiLvlLbl val="0"/>
      </c:catAx>
      <c:valAx>
        <c:axId val="169343232"/>
        <c:scaling>
          <c:orientation val="minMax"/>
          <c:max val="100"/>
        </c:scaling>
        <c:delete val="0"/>
        <c:axPos val="l"/>
        <c:numFmt formatCode="General" sourceLinked="1"/>
        <c:majorTickMark val="none"/>
        <c:minorTickMark val="none"/>
        <c:tickLblPos val="nextTo"/>
        <c:crossAx val="165817344"/>
        <c:crosses val="autoZero"/>
        <c:crossBetween val="between"/>
      </c:valAx>
    </c:plotArea>
    <c:legend>
      <c:legendPos val="b"/>
      <c:layout>
        <c:manualLayout>
          <c:xMode val="edge"/>
          <c:yMode val="edge"/>
          <c:x val="0.1863444921733782"/>
          <c:y val="0.91884862104005061"/>
          <c:w val="0.61333943995255624"/>
          <c:h val="5.1401118208717365E-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378701473726243"/>
          <c:y val="0.10385992737154365"/>
          <c:w val="0.8398961777955255"/>
          <c:h val="0.48199799367378832"/>
        </c:manualLayout>
      </c:layout>
      <c:barChart>
        <c:barDir val="col"/>
        <c:grouping val="stacked"/>
        <c:varyColors val="0"/>
        <c:ser>
          <c:idx val="0"/>
          <c:order val="0"/>
          <c:tx>
            <c:strRef>
              <c:f>Sheet1!$B$1</c:f>
              <c:strCache>
                <c:ptCount val="1"/>
                <c:pt idx="0">
                  <c:v>100%</c:v>
                </c:pt>
              </c:strCache>
            </c:strRef>
          </c:tx>
          <c:invertIfNegative val="0"/>
          <c:dLbls>
            <c:spPr>
              <a:noFill/>
              <a:ln>
                <a:noFill/>
              </a:ln>
              <a:effectLst/>
            </c:spPr>
            <c:txPr>
              <a:bodyPr rot="0" vert="horz"/>
              <a:lstStyle/>
              <a:p>
                <a:pPr>
                  <a:defRPr sz="700" b="1">
                    <a:solidFill>
                      <a:schemeClr val="bg1"/>
                    </a:solidFill>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Sheet1!$A$2:$A$11</c:f>
              <c:strCache>
                <c:ptCount val="10"/>
                <c:pt idx="0">
                  <c:v>Automated Ventana 4B5 (72)</c:v>
                </c:pt>
                <c:pt idx="1">
                  <c:v>Automated Dako platform &amp; dako antibody (5)</c:v>
                </c:pt>
                <c:pt idx="2">
                  <c:v>Automated Pathinsitu EP3 (09)</c:v>
                </c:pt>
                <c:pt idx="3">
                  <c:v>Automated others (14)</c:v>
                </c:pt>
                <c:pt idx="4">
                  <c:v>Manual Pathinsitu EP3 (43)</c:v>
                </c:pt>
                <c:pt idx="5">
                  <c:v>Manual DAKO Cerb-B2 (12)</c:v>
                </c:pt>
                <c:pt idx="6">
                  <c:v>Manual other (19)</c:v>
                </c:pt>
                <c:pt idx="7">
                  <c:v>Manual DBS SP3 (8)</c:v>
                </c:pt>
                <c:pt idx="8">
                  <c:v>Manual/Automated Biogenex EP3 (9)</c:v>
                </c:pt>
                <c:pt idx="9">
                  <c:v>Manual/Automated Master Diagnostica (04)</c:v>
                </c:pt>
              </c:strCache>
            </c:strRef>
          </c:cat>
          <c:val>
            <c:numRef>
              <c:f>Sheet1!$B$2:$B$11</c:f>
              <c:numCache>
                <c:formatCode>General</c:formatCode>
                <c:ptCount val="10"/>
                <c:pt idx="0">
                  <c:v>41.7</c:v>
                </c:pt>
                <c:pt idx="1">
                  <c:v>60</c:v>
                </c:pt>
                <c:pt idx="2">
                  <c:v>44.4</c:v>
                </c:pt>
                <c:pt idx="3">
                  <c:v>35.700000000000003</c:v>
                </c:pt>
                <c:pt idx="4">
                  <c:v>46.5</c:v>
                </c:pt>
                <c:pt idx="5">
                  <c:v>33.300000000000004</c:v>
                </c:pt>
                <c:pt idx="6">
                  <c:v>10.5</c:v>
                </c:pt>
                <c:pt idx="7">
                  <c:v>12.5</c:v>
                </c:pt>
                <c:pt idx="8">
                  <c:v>44.4</c:v>
                </c:pt>
              </c:numCache>
            </c:numRef>
          </c:val>
          <c:extLst>
            <c:ext xmlns:c16="http://schemas.microsoft.com/office/drawing/2014/chart" uri="{C3380CC4-5D6E-409C-BE32-E72D297353CC}">
              <c16:uniqueId val="{00000000-44D3-48C9-839B-CE2F5BD387FE}"/>
            </c:ext>
          </c:extLst>
        </c:ser>
        <c:ser>
          <c:idx val="1"/>
          <c:order val="1"/>
          <c:tx>
            <c:strRef>
              <c:f>Sheet1!$C$1</c:f>
              <c:strCache>
                <c:ptCount val="1"/>
                <c:pt idx="0">
                  <c:v>70 -90%</c:v>
                </c:pt>
              </c:strCache>
            </c:strRef>
          </c:tx>
          <c:invertIfNegative val="0"/>
          <c:dLbls>
            <c:spPr>
              <a:noFill/>
              <a:ln>
                <a:noFill/>
              </a:ln>
              <a:effectLst/>
            </c:spPr>
            <c:txPr>
              <a:bodyPr rot="0" vert="horz"/>
              <a:lstStyle/>
              <a:p>
                <a:pPr>
                  <a:defRPr sz="800">
                    <a:solidFill>
                      <a:schemeClr val="bg1"/>
                    </a:solidFill>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Sheet1!$A$2:$A$11</c:f>
              <c:strCache>
                <c:ptCount val="10"/>
                <c:pt idx="0">
                  <c:v>Automated Ventana 4B5 (72)</c:v>
                </c:pt>
                <c:pt idx="1">
                  <c:v>Automated Dako platform &amp; dako antibody (5)</c:v>
                </c:pt>
                <c:pt idx="2">
                  <c:v>Automated Pathinsitu EP3 (09)</c:v>
                </c:pt>
                <c:pt idx="3">
                  <c:v>Automated others (14)</c:v>
                </c:pt>
                <c:pt idx="4">
                  <c:v>Manual Pathinsitu EP3 (43)</c:v>
                </c:pt>
                <c:pt idx="5">
                  <c:v>Manual DAKO Cerb-B2 (12)</c:v>
                </c:pt>
                <c:pt idx="6">
                  <c:v>Manual other (19)</c:v>
                </c:pt>
                <c:pt idx="7">
                  <c:v>Manual DBS SP3 (8)</c:v>
                </c:pt>
                <c:pt idx="8">
                  <c:v>Manual/Automated Biogenex EP3 (9)</c:v>
                </c:pt>
                <c:pt idx="9">
                  <c:v>Manual/Automated Master Diagnostica (04)</c:v>
                </c:pt>
              </c:strCache>
            </c:strRef>
          </c:cat>
          <c:val>
            <c:numRef>
              <c:f>Sheet1!$C$2:$C$11</c:f>
              <c:numCache>
                <c:formatCode>General</c:formatCode>
                <c:ptCount val="10"/>
                <c:pt idx="0">
                  <c:v>54.2</c:v>
                </c:pt>
                <c:pt idx="1">
                  <c:v>40</c:v>
                </c:pt>
                <c:pt idx="2">
                  <c:v>44.4</c:v>
                </c:pt>
                <c:pt idx="3">
                  <c:v>42.9</c:v>
                </c:pt>
                <c:pt idx="4">
                  <c:v>37.200000000000003</c:v>
                </c:pt>
                <c:pt idx="5">
                  <c:v>66.7</c:v>
                </c:pt>
                <c:pt idx="6">
                  <c:v>78.900000000000006</c:v>
                </c:pt>
                <c:pt idx="7">
                  <c:v>75</c:v>
                </c:pt>
                <c:pt idx="8">
                  <c:v>55.6</c:v>
                </c:pt>
                <c:pt idx="9">
                  <c:v>75</c:v>
                </c:pt>
              </c:numCache>
            </c:numRef>
          </c:val>
          <c:extLst>
            <c:ext xmlns:c16="http://schemas.microsoft.com/office/drawing/2014/chart" uri="{C3380CC4-5D6E-409C-BE32-E72D297353CC}">
              <c16:uniqueId val="{00000001-44D3-48C9-839B-CE2F5BD387FE}"/>
            </c:ext>
          </c:extLst>
        </c:ser>
        <c:ser>
          <c:idx val="2"/>
          <c:order val="2"/>
          <c:tx>
            <c:strRef>
              <c:f>Sheet1!$D$1</c:f>
              <c:strCache>
                <c:ptCount val="1"/>
                <c:pt idx="0">
                  <c:v>&lt;/=60%</c:v>
                </c:pt>
              </c:strCache>
            </c:strRef>
          </c:tx>
          <c:invertIfNegative val="0"/>
          <c:dLbls>
            <c:spPr>
              <a:noFill/>
              <a:ln>
                <a:noFill/>
              </a:ln>
              <a:effectLst/>
            </c:spPr>
            <c:txPr>
              <a:bodyPr rot="0" vert="horz"/>
              <a:lstStyle/>
              <a:p>
                <a:pPr>
                  <a:defRPr sz="900"/>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Sheet1!$A$2:$A$11</c:f>
              <c:strCache>
                <c:ptCount val="10"/>
                <c:pt idx="0">
                  <c:v>Automated Ventana 4B5 (72)</c:v>
                </c:pt>
                <c:pt idx="1">
                  <c:v>Automated Dako platform &amp; dako antibody (5)</c:v>
                </c:pt>
                <c:pt idx="2">
                  <c:v>Automated Pathinsitu EP3 (09)</c:v>
                </c:pt>
                <c:pt idx="3">
                  <c:v>Automated others (14)</c:v>
                </c:pt>
                <c:pt idx="4">
                  <c:v>Manual Pathinsitu EP3 (43)</c:v>
                </c:pt>
                <c:pt idx="5">
                  <c:v>Manual DAKO Cerb-B2 (12)</c:v>
                </c:pt>
                <c:pt idx="6">
                  <c:v>Manual other (19)</c:v>
                </c:pt>
                <c:pt idx="7">
                  <c:v>Manual DBS SP3 (8)</c:v>
                </c:pt>
                <c:pt idx="8">
                  <c:v>Manual/Automated Biogenex EP3 (9)</c:v>
                </c:pt>
                <c:pt idx="9">
                  <c:v>Manual/Automated Master Diagnostica (04)</c:v>
                </c:pt>
              </c:strCache>
            </c:strRef>
          </c:cat>
          <c:val>
            <c:numRef>
              <c:f>Sheet1!$D$2:$D$11</c:f>
              <c:numCache>
                <c:formatCode>General</c:formatCode>
                <c:ptCount val="10"/>
                <c:pt idx="0">
                  <c:v>4.2</c:v>
                </c:pt>
                <c:pt idx="2">
                  <c:v>11.1</c:v>
                </c:pt>
                <c:pt idx="3">
                  <c:v>21.4</c:v>
                </c:pt>
                <c:pt idx="4">
                  <c:v>16.3</c:v>
                </c:pt>
                <c:pt idx="6">
                  <c:v>10.5</c:v>
                </c:pt>
                <c:pt idx="7">
                  <c:v>12.5</c:v>
                </c:pt>
                <c:pt idx="9">
                  <c:v>25</c:v>
                </c:pt>
              </c:numCache>
            </c:numRef>
          </c:val>
          <c:extLst>
            <c:ext xmlns:c16="http://schemas.microsoft.com/office/drawing/2014/chart" uri="{C3380CC4-5D6E-409C-BE32-E72D297353CC}">
              <c16:uniqueId val="{00000002-44D3-48C9-839B-CE2F5BD387FE}"/>
            </c:ext>
          </c:extLst>
        </c:ser>
        <c:dLbls>
          <c:showLegendKey val="0"/>
          <c:showVal val="1"/>
          <c:showCatName val="0"/>
          <c:showSerName val="0"/>
          <c:showPercent val="0"/>
          <c:showBubbleSize val="0"/>
        </c:dLbls>
        <c:gapWidth val="150"/>
        <c:overlap val="100"/>
        <c:axId val="204424704"/>
        <c:axId val="204426624"/>
      </c:barChart>
      <c:catAx>
        <c:axId val="204424704"/>
        <c:scaling>
          <c:orientation val="minMax"/>
        </c:scaling>
        <c:delete val="0"/>
        <c:axPos val="b"/>
        <c:numFmt formatCode="General" sourceLinked="0"/>
        <c:majorTickMark val="none"/>
        <c:minorTickMark val="none"/>
        <c:tickLblPos val="nextTo"/>
        <c:txPr>
          <a:bodyPr rot="-60000000" vert="horz"/>
          <a:lstStyle/>
          <a:p>
            <a:pPr>
              <a:defRPr sz="700" baseline="0"/>
            </a:pPr>
            <a:endParaRPr lang="en-US"/>
          </a:p>
        </c:txPr>
        <c:crossAx val="204426624"/>
        <c:crosses val="autoZero"/>
        <c:auto val="0"/>
        <c:lblAlgn val="ctr"/>
        <c:lblOffset val="100"/>
        <c:noMultiLvlLbl val="0"/>
      </c:catAx>
      <c:valAx>
        <c:axId val="204426624"/>
        <c:scaling>
          <c:orientation val="minMax"/>
          <c:max val="100"/>
          <c:min val="0"/>
        </c:scaling>
        <c:delete val="0"/>
        <c:axPos val="l"/>
        <c:numFmt formatCode="General" sourceLinked="1"/>
        <c:majorTickMark val="none"/>
        <c:minorTickMark val="none"/>
        <c:tickLblPos val="nextTo"/>
        <c:txPr>
          <a:bodyPr rot="-60000000" vert="horz"/>
          <a:lstStyle/>
          <a:p>
            <a:pPr>
              <a:defRPr/>
            </a:pPr>
            <a:endParaRPr lang="en-US"/>
          </a:p>
        </c:txPr>
        <c:crossAx val="204424704"/>
        <c:crosses val="autoZero"/>
        <c:crossBetween val="between"/>
      </c:valAx>
      <c:spPr>
        <a:noFill/>
      </c:spPr>
    </c:plotArea>
    <c:legend>
      <c:legendPos val="b"/>
      <c:layout>
        <c:manualLayout>
          <c:xMode val="edge"/>
          <c:yMode val="edge"/>
          <c:x val="0.36261798083790897"/>
          <c:y val="0.92159516067089764"/>
          <c:w val="0.2747640383241845"/>
          <c:h val="7.8404839329102818E-2"/>
        </c:manualLayout>
      </c:layout>
      <c:overlay val="0"/>
      <c:txPr>
        <a:bodyPr rot="0" vert="horz"/>
        <a:lstStyle/>
        <a:p>
          <a:pPr>
            <a:defRPr/>
          </a:pPr>
          <a:endParaRPr lang="en-US"/>
        </a:p>
      </c:txPr>
    </c:legend>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7"/>
    </mc:Choice>
    <mc:Fallback>
      <c:style val="27"/>
    </mc:Fallback>
  </mc:AlternateContent>
  <c:chart>
    <c:autoTitleDeleted val="1"/>
    <c:plotArea>
      <c:layout>
        <c:manualLayout>
          <c:layoutTarget val="inner"/>
          <c:xMode val="edge"/>
          <c:yMode val="edge"/>
          <c:x val="8.3867675651855725E-2"/>
          <c:y val="9.2584694926227243E-2"/>
          <c:w val="0.89013477783170358"/>
          <c:h val="0.54076403131097761"/>
        </c:manualLayout>
      </c:layout>
      <c:barChart>
        <c:barDir val="col"/>
        <c:grouping val="clustered"/>
        <c:varyColors val="0"/>
        <c:ser>
          <c:idx val="0"/>
          <c:order val="0"/>
          <c:tx>
            <c:strRef>
              <c:f>Sheet1!$B$1</c:f>
              <c:strCache>
                <c:ptCount val="1"/>
                <c:pt idx="0">
                  <c:v>Pass Rate</c:v>
                </c:pt>
              </c:strCache>
            </c:strRef>
          </c:tx>
          <c:spPr>
            <a:solidFill>
              <a:schemeClr val="accent1">
                <a:lumMod val="75000"/>
              </a:schemeClr>
            </a:solidFill>
          </c:spPr>
          <c:invertIfNegative val="0"/>
          <c:cat>
            <c:strRef>
              <c:f>Sheet1!$A$2:$A$10</c:f>
              <c:strCache>
                <c:ptCount val="9"/>
                <c:pt idx="0">
                  <c:v>Run 1       (25 centers)</c:v>
                </c:pt>
                <c:pt idx="1">
                  <c:v>Run 2       (34 centers)</c:v>
                </c:pt>
                <c:pt idx="2">
                  <c:v>Run 3       (58 centers)</c:v>
                </c:pt>
                <c:pt idx="3">
                  <c:v>Run 4       (78 centers)</c:v>
                </c:pt>
                <c:pt idx="4">
                  <c:v>Run 5       (93 centers)</c:v>
                </c:pt>
                <c:pt idx="5">
                  <c:v>Run 6       (96 centers)</c:v>
                </c:pt>
                <c:pt idx="6">
                  <c:v>Run 7       (144 centers)</c:v>
                </c:pt>
                <c:pt idx="7">
                  <c:v>Run8        (172 centers)</c:v>
                </c:pt>
                <c:pt idx="8">
                  <c:v>Run 9       (198 centers)</c:v>
                </c:pt>
              </c:strCache>
            </c:strRef>
          </c:cat>
          <c:val>
            <c:numRef>
              <c:f>Sheet1!$B$2:$B$10</c:f>
              <c:numCache>
                <c:formatCode>General</c:formatCode>
                <c:ptCount val="9"/>
                <c:pt idx="0">
                  <c:v>90</c:v>
                </c:pt>
                <c:pt idx="1">
                  <c:v>80</c:v>
                </c:pt>
                <c:pt idx="2">
                  <c:v>80</c:v>
                </c:pt>
                <c:pt idx="3">
                  <c:v>75</c:v>
                </c:pt>
                <c:pt idx="4">
                  <c:v>90</c:v>
                </c:pt>
                <c:pt idx="5">
                  <c:v>93</c:v>
                </c:pt>
                <c:pt idx="6">
                  <c:v>91</c:v>
                </c:pt>
                <c:pt idx="7">
                  <c:v>91</c:v>
                </c:pt>
                <c:pt idx="8">
                  <c:v>90</c:v>
                </c:pt>
              </c:numCache>
            </c:numRef>
          </c:val>
          <c:extLst>
            <c:ext xmlns:c16="http://schemas.microsoft.com/office/drawing/2014/chart" uri="{C3380CC4-5D6E-409C-BE32-E72D297353CC}">
              <c16:uniqueId val="{00000000-F58D-4627-88D1-2E54EA4BDE1F}"/>
            </c:ext>
          </c:extLst>
        </c:ser>
        <c:ser>
          <c:idx val="1"/>
          <c:order val="1"/>
          <c:tx>
            <c:strRef>
              <c:f>Sheet1!$C$1</c:f>
              <c:strCache>
                <c:ptCount val="1"/>
                <c:pt idx="0">
                  <c:v>Interpretation Rate</c:v>
                </c:pt>
              </c:strCache>
            </c:strRef>
          </c:tx>
          <c:spPr>
            <a:solidFill>
              <a:schemeClr val="tx2">
                <a:lumMod val="40000"/>
                <a:lumOff val="60000"/>
              </a:schemeClr>
            </a:solidFill>
          </c:spPr>
          <c:invertIfNegative val="0"/>
          <c:cat>
            <c:strRef>
              <c:f>Sheet1!$A$2:$A$10</c:f>
              <c:strCache>
                <c:ptCount val="9"/>
                <c:pt idx="0">
                  <c:v>Run 1       (25 centers)</c:v>
                </c:pt>
                <c:pt idx="1">
                  <c:v>Run 2       (34 centers)</c:v>
                </c:pt>
                <c:pt idx="2">
                  <c:v>Run 3       (58 centers)</c:v>
                </c:pt>
                <c:pt idx="3">
                  <c:v>Run 4       (78 centers)</c:v>
                </c:pt>
                <c:pt idx="4">
                  <c:v>Run 5       (93 centers)</c:v>
                </c:pt>
                <c:pt idx="5">
                  <c:v>Run 6       (96 centers)</c:v>
                </c:pt>
                <c:pt idx="6">
                  <c:v>Run 7       (144 centers)</c:v>
                </c:pt>
                <c:pt idx="7">
                  <c:v>Run8        (172 centers)</c:v>
                </c:pt>
                <c:pt idx="8">
                  <c:v>Run 9       (198 centers)</c:v>
                </c:pt>
              </c:strCache>
            </c:strRef>
          </c:cat>
          <c:val>
            <c:numRef>
              <c:f>Sheet1!$C$2:$C$10</c:f>
              <c:numCache>
                <c:formatCode>General</c:formatCode>
                <c:ptCount val="9"/>
                <c:pt idx="0">
                  <c:v>90</c:v>
                </c:pt>
                <c:pt idx="1">
                  <c:v>90</c:v>
                </c:pt>
                <c:pt idx="2">
                  <c:v>90</c:v>
                </c:pt>
                <c:pt idx="3">
                  <c:v>80</c:v>
                </c:pt>
                <c:pt idx="4">
                  <c:v>90</c:v>
                </c:pt>
                <c:pt idx="5">
                  <c:v>93</c:v>
                </c:pt>
                <c:pt idx="6">
                  <c:v>94</c:v>
                </c:pt>
                <c:pt idx="7">
                  <c:v>91</c:v>
                </c:pt>
                <c:pt idx="8">
                  <c:v>100</c:v>
                </c:pt>
              </c:numCache>
            </c:numRef>
          </c:val>
          <c:extLst>
            <c:ext xmlns:c16="http://schemas.microsoft.com/office/drawing/2014/chart" uri="{C3380CC4-5D6E-409C-BE32-E72D297353CC}">
              <c16:uniqueId val="{00000001-F58D-4627-88D1-2E54EA4BDE1F}"/>
            </c:ext>
          </c:extLst>
        </c:ser>
        <c:dLbls>
          <c:showLegendKey val="0"/>
          <c:showVal val="0"/>
          <c:showCatName val="0"/>
          <c:showSerName val="0"/>
          <c:showPercent val="0"/>
          <c:showBubbleSize val="0"/>
        </c:dLbls>
        <c:gapWidth val="219"/>
        <c:axId val="99298688"/>
        <c:axId val="99300480"/>
      </c:barChart>
      <c:catAx>
        <c:axId val="99298688"/>
        <c:scaling>
          <c:orientation val="minMax"/>
        </c:scaling>
        <c:delete val="0"/>
        <c:axPos val="b"/>
        <c:numFmt formatCode="General" sourceLinked="1"/>
        <c:majorTickMark val="none"/>
        <c:minorTickMark val="none"/>
        <c:tickLblPos val="nextTo"/>
        <c:txPr>
          <a:bodyPr rot="-60000000" vert="horz"/>
          <a:lstStyle/>
          <a:p>
            <a:pPr>
              <a:defRPr/>
            </a:pPr>
            <a:endParaRPr lang="en-US"/>
          </a:p>
        </c:txPr>
        <c:crossAx val="99300480"/>
        <c:crosses val="autoZero"/>
        <c:auto val="1"/>
        <c:lblAlgn val="ctr"/>
        <c:lblOffset val="100"/>
        <c:noMultiLvlLbl val="0"/>
      </c:catAx>
      <c:valAx>
        <c:axId val="99300480"/>
        <c:scaling>
          <c:orientation val="minMax"/>
        </c:scaling>
        <c:delete val="0"/>
        <c:axPos val="l"/>
        <c:numFmt formatCode="General" sourceLinked="1"/>
        <c:majorTickMark val="none"/>
        <c:minorTickMark val="none"/>
        <c:tickLblPos val="nextTo"/>
        <c:txPr>
          <a:bodyPr rot="-60000000" vert="horz"/>
          <a:lstStyle/>
          <a:p>
            <a:pPr>
              <a:defRPr/>
            </a:pPr>
            <a:endParaRPr lang="en-US"/>
          </a:p>
        </c:txPr>
        <c:crossAx val="99298688"/>
        <c:crosses val="autoZero"/>
        <c:crossBetween val="between"/>
      </c:valAx>
    </c:plotArea>
    <c:legend>
      <c:legendPos val="b"/>
      <c:overlay val="0"/>
      <c:txPr>
        <a:bodyPr rot="0" vert="horz"/>
        <a:lstStyle/>
        <a:p>
          <a:pPr>
            <a:defRPr/>
          </a:pPr>
          <a:endParaRPr lang="en-US"/>
        </a:p>
      </c:txPr>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0.17908</cdr:x>
      <cdr:y>0.01778</cdr:y>
    </cdr:from>
    <cdr:to>
      <cdr:x>0.84881</cdr:x>
      <cdr:y>0.07778</cdr:y>
    </cdr:to>
    <cdr:sp macro="" textlink="">
      <cdr:nvSpPr>
        <cdr:cNvPr id="2" name="TextBox 1"/>
        <cdr:cNvSpPr txBox="1"/>
      </cdr:nvSpPr>
      <cdr:spPr>
        <a:xfrm xmlns:a="http://schemas.openxmlformats.org/drawingml/2006/main">
          <a:off x="1076320" y="76210"/>
          <a:ext cx="4025270" cy="2571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b="1">
              <a:latin typeface="+mn-lt"/>
              <a:ea typeface="+mn-ea"/>
              <a:cs typeface="+mn-cs"/>
            </a:rPr>
            <a:t>Fig 5: Performance of various antibodies used in Her2neu  Run 29</a:t>
          </a:r>
        </a:p>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35EEB-CA27-4EE1-B4F5-B54EEB70C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2589</Words>
  <Characters>14760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jeev Rasayn</cp:lastModifiedBy>
  <cp:revision>2</cp:revision>
  <cp:lastPrinted>2025-05-13T09:46:00Z</cp:lastPrinted>
  <dcterms:created xsi:type="dcterms:W3CDTF">2025-09-16T08:52:00Z</dcterms:created>
  <dcterms:modified xsi:type="dcterms:W3CDTF">2025-09-16T08:52:00Z</dcterms:modified>
</cp:coreProperties>
</file>