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4: Retrieval-Augmented Generation (RAG)</w:t>
      </w:r>
    </w:p>
    <w:p>
      <w:pPr>
        <w:pStyle w:val="Heading1"/>
      </w:pPr>
      <w:r>
        <w:t>Core Architecture &amp; Pipeline</w:t>
      </w:r>
    </w:p>
    <w:p>
      <w:r>
        <w:t>Retrieval-Augmented Generation combines an external information retrieval system with a generative language model to ground model responses in validated academic materials.</w:t>
      </w:r>
    </w:p>
    <w:p>
      <w:pPr>
        <w:pStyle w:val="Heading2"/>
      </w:pPr>
      <w:r>
        <w:t>Chunking Strategies</w:t>
      </w:r>
    </w:p>
    <w:p>
      <w:r>
        <w:t>Chunking divides long documents into digestible textual passages. Effective chunking maintains semantic boundaries and utilizes overlapping windows (typically 10-20% overlap) to prevent context fragmentation across boundaries.</w:t>
      </w:r>
    </w:p>
    <w:p>
      <w:pPr>
        <w:pStyle w:val="Heading2"/>
      </w:pPr>
      <w:r>
        <w:t>Grounded Generation</w:t>
      </w:r>
    </w:p>
    <w:p>
      <w:r>
        <w:t>Once top-k relevant chunks are retrieved via vector similarity search, they are injected into the prompt context. The model is constrained to generate explanations exclusively using the retrieved knowledge, preventing hallucination.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