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CADC" w14:textId="77777777" w:rsidR="003968B2" w:rsidRPr="002C1EC6" w:rsidRDefault="003968B2" w:rsidP="003968B2">
      <w:pPr>
        <w:pStyle w:val="Title"/>
        <w:rPr>
          <w:rFonts w:asciiTheme="minorHAnsi" w:hAnsiTheme="minorHAnsi"/>
        </w:rPr>
      </w:pPr>
      <w:r w:rsidRPr="002C1EC6">
        <w:rPr>
          <w:rFonts w:asciiTheme="minorHAnsi" w:hAnsiTheme="minorHAnsi"/>
        </w:rPr>
        <w:t>Databricks Data Platform</w:t>
      </w:r>
    </w:p>
    <w:p w14:paraId="0370309E" w14:textId="77777777" w:rsidR="003968B2" w:rsidRDefault="003968B2" w:rsidP="003968B2">
      <w:r>
        <w:rPr>
          <w:color w:val="657481"/>
          <w:sz w:val="28"/>
        </w:rPr>
        <w:t>Business requirements and system design</w:t>
      </w:r>
    </w:p>
    <w:p w14:paraId="3513C893" w14:textId="77777777" w:rsidR="003968B2" w:rsidRDefault="003968B2" w:rsidP="003968B2">
      <w:pPr>
        <w:pStyle w:val="Heading2"/>
      </w:pPr>
      <w:r>
        <w:t>Purpose</w:t>
      </w:r>
    </w:p>
    <w:p w14:paraId="53026DE5" w14:textId="77777777" w:rsidR="003968B2" w:rsidRDefault="003968B2" w:rsidP="003968B2">
      <w:r>
        <w:t>Give data teams a repeatable way to manage Databricks resources and promote data workloads safely from development to production. This proposal focuses on the platform shape and the decisions that matter first; cloud-specific details can be filled in once the target environment is known.</w:t>
      </w:r>
    </w:p>
    <w:p w14:paraId="1F3EC768" w14:textId="77777777" w:rsidR="003968B2" w:rsidRDefault="003968B2" w:rsidP="003968B2">
      <w:pPr>
        <w:pStyle w:val="Heading1"/>
      </w:pPr>
      <w:r>
        <w:t>1. Business requirements</w:t>
      </w:r>
    </w:p>
    <w:tbl>
      <w:tblPr>
        <w:tblStyle w:val="TableGrid"/>
        <w:tblW w:w="0" w:type="auto"/>
        <w:tblInd w:w="145" w:type="dxa"/>
        <w:tblLayout w:type="fixed"/>
        <w:tblLook w:val="04A0" w:firstRow="1" w:lastRow="0" w:firstColumn="1" w:lastColumn="0" w:noHBand="0" w:noVBand="1"/>
      </w:tblPr>
      <w:tblGrid>
        <w:gridCol w:w="3776"/>
        <w:gridCol w:w="5930"/>
      </w:tblGrid>
      <w:tr w:rsidR="003968B2" w14:paraId="028F68E3" w14:textId="77777777" w:rsidTr="005F0B16">
        <w:trPr>
          <w:trHeight w:val="275"/>
        </w:trPr>
        <w:tc>
          <w:tcPr>
            <w:tcW w:w="3776" w:type="dxa"/>
            <w:shd w:val="clear" w:color="auto" w:fill="17365D"/>
          </w:tcPr>
          <w:p w14:paraId="467492C2" w14:textId="77777777" w:rsidR="003968B2" w:rsidRDefault="003968B2" w:rsidP="005F0B16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Need</w:t>
            </w:r>
          </w:p>
        </w:tc>
        <w:tc>
          <w:tcPr>
            <w:tcW w:w="5930" w:type="dxa"/>
            <w:shd w:val="clear" w:color="auto" w:fill="17365D"/>
          </w:tcPr>
          <w:p w14:paraId="012EFC3D" w14:textId="77777777" w:rsidR="003968B2" w:rsidRDefault="003968B2" w:rsidP="005F0B16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What the platform should do</w:t>
            </w:r>
          </w:p>
        </w:tc>
      </w:tr>
      <w:tr w:rsidR="003968B2" w14:paraId="14C1992A" w14:textId="77777777" w:rsidTr="005F0B16">
        <w:trPr>
          <w:trHeight w:val="512"/>
        </w:trPr>
        <w:tc>
          <w:tcPr>
            <w:tcW w:w="3776" w:type="dxa"/>
            <w:shd w:val="clear" w:color="auto" w:fill="F3F6F9"/>
          </w:tcPr>
          <w:p w14:paraId="52B76CD6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Consistent environments</w:t>
            </w:r>
          </w:p>
        </w:tc>
        <w:tc>
          <w:tcPr>
            <w:tcW w:w="5930" w:type="dxa"/>
            <w:shd w:val="clear" w:color="auto" w:fill="F3F6F9"/>
          </w:tcPr>
          <w:p w14:paraId="61D71EB3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Use separate dev, staging, and prod workspaces with the same reviewed release and environment-specific settings.</w:t>
            </w:r>
          </w:p>
        </w:tc>
      </w:tr>
      <w:tr w:rsidR="003968B2" w14:paraId="02B6DAF9" w14:textId="77777777" w:rsidTr="005F0B16">
        <w:trPr>
          <w:trHeight w:val="275"/>
        </w:trPr>
        <w:tc>
          <w:tcPr>
            <w:tcW w:w="3776" w:type="dxa"/>
            <w:shd w:val="clear" w:color="auto" w:fill="FFFFFF"/>
          </w:tcPr>
          <w:p w14:paraId="621D9575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Governed data</w:t>
            </w:r>
          </w:p>
        </w:tc>
        <w:tc>
          <w:tcPr>
            <w:tcW w:w="5930" w:type="dxa"/>
            <w:shd w:val="clear" w:color="auto" w:fill="FFFFFF"/>
          </w:tcPr>
          <w:p w14:paraId="23FB81FF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Organize data into bronze, silver, and gold with clear access, ownership, and quality checks.</w:t>
            </w:r>
          </w:p>
        </w:tc>
      </w:tr>
      <w:tr w:rsidR="003968B2" w14:paraId="1233E3E8" w14:textId="77777777" w:rsidTr="005F0B16">
        <w:trPr>
          <w:trHeight w:val="512"/>
        </w:trPr>
        <w:tc>
          <w:tcPr>
            <w:tcW w:w="3776" w:type="dxa"/>
            <w:shd w:val="clear" w:color="auto" w:fill="F3F6F9"/>
          </w:tcPr>
          <w:p w14:paraId="3BFB32F0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Less manual setup</w:t>
            </w:r>
          </w:p>
        </w:tc>
        <w:tc>
          <w:tcPr>
            <w:tcW w:w="5930" w:type="dxa"/>
            <w:shd w:val="clear" w:color="auto" w:fill="F3F6F9"/>
          </w:tcPr>
          <w:p w14:paraId="2EDDE8AC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Manage jobs, compute, warehouses, schemas, and grants through versioned configuration where supported.</w:t>
            </w:r>
          </w:p>
        </w:tc>
      </w:tr>
      <w:tr w:rsidR="003968B2" w14:paraId="5C842142" w14:textId="77777777" w:rsidTr="005F0B16">
        <w:trPr>
          <w:trHeight w:val="275"/>
        </w:trPr>
        <w:tc>
          <w:tcPr>
            <w:tcW w:w="3776" w:type="dxa"/>
            <w:shd w:val="clear" w:color="auto" w:fill="FFFFFF"/>
          </w:tcPr>
          <w:p w14:paraId="6BBAF174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Safe operations</w:t>
            </w:r>
          </w:p>
        </w:tc>
        <w:tc>
          <w:tcPr>
            <w:tcW w:w="5930" w:type="dxa"/>
            <w:shd w:val="clear" w:color="auto" w:fill="FFFFFF"/>
          </w:tcPr>
          <w:p w14:paraId="7DCDD57D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Use non-human identities for automation, keep secrets out of code, and make failures visible to owners.</w:t>
            </w:r>
          </w:p>
        </w:tc>
      </w:tr>
      <w:tr w:rsidR="003968B2" w14:paraId="07454922" w14:textId="77777777" w:rsidTr="005F0B16">
        <w:trPr>
          <w:trHeight w:val="275"/>
        </w:trPr>
        <w:tc>
          <w:tcPr>
            <w:tcW w:w="3776" w:type="dxa"/>
            <w:shd w:val="clear" w:color="auto" w:fill="F3F6F9"/>
          </w:tcPr>
          <w:p w14:paraId="53FCBCC3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Controlled production</w:t>
            </w:r>
          </w:p>
        </w:tc>
        <w:tc>
          <w:tcPr>
            <w:tcW w:w="5930" w:type="dxa"/>
            <w:shd w:val="clear" w:color="auto" w:fill="F3F6F9"/>
          </w:tcPr>
          <w:p w14:paraId="21E2723D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Test in dev and staging, require approval for production, and retain a straightforward rollback path.</w:t>
            </w:r>
          </w:p>
        </w:tc>
      </w:tr>
    </w:tbl>
    <w:p w14:paraId="08134EF5" w14:textId="77777777" w:rsidR="003968B2" w:rsidRDefault="003968B2" w:rsidP="003968B2">
      <w:pPr>
        <w:spacing w:after="0"/>
      </w:pPr>
    </w:p>
    <w:p w14:paraId="1CF73010" w14:textId="1B159DF1" w:rsidR="003968B2" w:rsidRDefault="003968B2" w:rsidP="003968B2">
      <w:r>
        <w:rPr>
          <w:rFonts w:asciiTheme="majorHAnsi" w:eastAsiaTheme="majorEastAsia" w:hAnsiTheme="majorHAnsi" w:cstheme="majorBidi"/>
          <w:b/>
          <w:bCs/>
          <w:color w:val="17365D"/>
          <w:sz w:val="28"/>
          <w:szCs w:val="28"/>
        </w:rPr>
        <w:t>2.P</w:t>
      </w:r>
      <w:r w:rsidRPr="003968B2">
        <w:rPr>
          <w:rFonts w:asciiTheme="majorHAnsi" w:eastAsiaTheme="majorEastAsia" w:hAnsiTheme="majorHAnsi" w:cstheme="majorBidi"/>
          <w:b/>
          <w:bCs/>
          <w:color w:val="17365D"/>
          <w:sz w:val="28"/>
          <w:szCs w:val="28"/>
        </w:rPr>
        <w:t>roposed design</w:t>
      </w:r>
    </w:p>
    <w:p w14:paraId="51FB9AAC" w14:textId="77777777" w:rsidR="003968B2" w:rsidRDefault="003968B2" w:rsidP="003968B2">
      <w:r>
        <w:t>Use Databricks Asset Bundles for workspace resources and CI/CD for validation and deployment. Keep cloud and account foundations—workspaces, storage, networking, identities, policies, and secret-manager integration—in infrastructure as code. Each environment has its own workspace, catalog, secret scope, and service identities.</w:t>
      </w:r>
    </w:p>
    <w:p w14:paraId="3C698F8D" w14:textId="2DE216B9" w:rsidR="003968B2" w:rsidRDefault="002C1EC6" w:rsidP="003968B2">
      <w:r w:rsidRPr="002C1EC6">
        <w:drawing>
          <wp:inline distT="0" distB="0" distL="0" distR="0" wp14:anchorId="558E7D0A" wp14:editId="645D4518">
            <wp:extent cx="6346190" cy="3329940"/>
            <wp:effectExtent l="0" t="0" r="3810" b="0"/>
            <wp:docPr id="177762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27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6917" w14:textId="77777777" w:rsidR="003968B2" w:rsidRDefault="003968B2" w:rsidP="003968B2">
      <w:pPr>
        <w:pStyle w:val="Heading1"/>
      </w:pPr>
      <w:r>
        <w:t>3. Main design choices</w:t>
      </w:r>
    </w:p>
    <w:tbl>
      <w:tblPr>
        <w:tblStyle w:val="TableGrid"/>
        <w:tblW w:w="10534" w:type="dxa"/>
        <w:tblLayout w:type="fixed"/>
        <w:tblLook w:val="04A0" w:firstRow="1" w:lastRow="0" w:firstColumn="1" w:lastColumn="0" w:noHBand="0" w:noVBand="1"/>
      </w:tblPr>
      <w:tblGrid>
        <w:gridCol w:w="4052"/>
        <w:gridCol w:w="6482"/>
      </w:tblGrid>
      <w:tr w:rsidR="003968B2" w14:paraId="632FB44F" w14:textId="77777777" w:rsidTr="003968B2">
        <w:trPr>
          <w:trHeight w:val="260"/>
        </w:trPr>
        <w:tc>
          <w:tcPr>
            <w:tcW w:w="4052" w:type="dxa"/>
            <w:shd w:val="clear" w:color="auto" w:fill="17365D"/>
          </w:tcPr>
          <w:p w14:paraId="02EF57B9" w14:textId="77777777" w:rsidR="003968B2" w:rsidRDefault="003968B2" w:rsidP="005F0B16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6482" w:type="dxa"/>
            <w:shd w:val="clear" w:color="auto" w:fill="17365D"/>
          </w:tcPr>
          <w:p w14:paraId="330508CF" w14:textId="77777777" w:rsidR="003968B2" w:rsidRDefault="003968B2" w:rsidP="005F0B16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Proposal</w:t>
            </w:r>
          </w:p>
        </w:tc>
      </w:tr>
      <w:tr w:rsidR="003968B2" w14:paraId="24C4988A" w14:textId="77777777" w:rsidTr="003968B2">
        <w:trPr>
          <w:trHeight w:val="484"/>
        </w:trPr>
        <w:tc>
          <w:tcPr>
            <w:tcW w:w="4052" w:type="dxa"/>
            <w:shd w:val="clear" w:color="auto" w:fill="F3F6F9"/>
          </w:tcPr>
          <w:p w14:paraId="382513A4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Workspaces</w:t>
            </w:r>
          </w:p>
        </w:tc>
        <w:tc>
          <w:tcPr>
            <w:tcW w:w="6482" w:type="dxa"/>
            <w:shd w:val="clear" w:color="auto" w:fill="F3F6F9"/>
          </w:tcPr>
          <w:p w14:paraId="016F455C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Separate dev, staging, and prod. Add workspaces for domains or user groups only when isolation or ownership requires it.</w:t>
            </w:r>
          </w:p>
        </w:tc>
      </w:tr>
      <w:tr w:rsidR="003968B2" w14:paraId="2F7F6A09" w14:textId="77777777" w:rsidTr="003968B2">
        <w:trPr>
          <w:trHeight w:val="484"/>
        </w:trPr>
        <w:tc>
          <w:tcPr>
            <w:tcW w:w="4052" w:type="dxa"/>
            <w:shd w:val="clear" w:color="auto" w:fill="FFFFFF"/>
          </w:tcPr>
          <w:p w14:paraId="251CAFDE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lastRenderedPageBreak/>
              <w:t>Resources</w:t>
            </w:r>
          </w:p>
        </w:tc>
        <w:tc>
          <w:tcPr>
            <w:tcW w:w="6482" w:type="dxa"/>
            <w:shd w:val="clear" w:color="auto" w:fill="FFFFFF"/>
          </w:tcPr>
          <w:p w14:paraId="58938C6F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Bundles define jobs, job compute, SQL warehouses, schemas, and grants. Workspace policies cap compute choices and cost.</w:t>
            </w:r>
          </w:p>
        </w:tc>
      </w:tr>
      <w:tr w:rsidR="003968B2" w14:paraId="6CE4B1B9" w14:textId="77777777" w:rsidTr="003968B2">
        <w:trPr>
          <w:trHeight w:val="484"/>
        </w:trPr>
        <w:tc>
          <w:tcPr>
            <w:tcW w:w="4052" w:type="dxa"/>
            <w:shd w:val="clear" w:color="auto" w:fill="F3F6F9"/>
          </w:tcPr>
          <w:p w14:paraId="4613A61F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Data layers</w:t>
            </w:r>
          </w:p>
        </w:tc>
        <w:tc>
          <w:tcPr>
            <w:tcW w:w="6482" w:type="dxa"/>
            <w:shd w:val="clear" w:color="auto" w:fill="F3F6F9"/>
          </w:tcPr>
          <w:p w14:paraId="7AD8DEB5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Bronze keeps source-aligned data; silver applies validation and standardization; gold publishes business-ready tables.</w:t>
            </w:r>
          </w:p>
        </w:tc>
      </w:tr>
      <w:tr w:rsidR="003968B2" w14:paraId="4A083466" w14:textId="77777777" w:rsidTr="003968B2">
        <w:trPr>
          <w:trHeight w:val="503"/>
        </w:trPr>
        <w:tc>
          <w:tcPr>
            <w:tcW w:w="4052" w:type="dxa"/>
            <w:shd w:val="clear" w:color="auto" w:fill="FFFFFF"/>
          </w:tcPr>
          <w:p w14:paraId="1C82FCAC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Identity and secrets</w:t>
            </w:r>
          </w:p>
        </w:tc>
        <w:tc>
          <w:tcPr>
            <w:tcW w:w="6482" w:type="dxa"/>
            <w:shd w:val="clear" w:color="auto" w:fill="FFFFFF"/>
          </w:tcPr>
          <w:p w14:paraId="68240CB4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CI deploys with a service principal; jobs run as a separate workload identity. Store secret values in the approved cloud secret manager and resolve them at runtime.</w:t>
            </w:r>
          </w:p>
        </w:tc>
      </w:tr>
      <w:tr w:rsidR="003968B2" w14:paraId="426EDDBE" w14:textId="77777777" w:rsidTr="003968B2">
        <w:trPr>
          <w:trHeight w:val="466"/>
        </w:trPr>
        <w:tc>
          <w:tcPr>
            <w:tcW w:w="4052" w:type="dxa"/>
            <w:shd w:val="clear" w:color="auto" w:fill="F3F6F9"/>
          </w:tcPr>
          <w:p w14:paraId="37CF132F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Promotion</w:t>
            </w:r>
          </w:p>
        </w:tc>
        <w:tc>
          <w:tcPr>
            <w:tcW w:w="6482" w:type="dxa"/>
            <w:shd w:val="clear" w:color="auto" w:fill="F3F6F9"/>
          </w:tcPr>
          <w:p w14:paraId="1E1FBBA8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Validate and build once, deploy the same version to dev, test in staging, then promote to prod after approval.</w:t>
            </w:r>
          </w:p>
        </w:tc>
      </w:tr>
    </w:tbl>
    <w:p w14:paraId="323DA754" w14:textId="77777777" w:rsidR="003968B2" w:rsidRDefault="003968B2" w:rsidP="003968B2">
      <w:pPr>
        <w:spacing w:after="0"/>
      </w:pPr>
    </w:p>
    <w:p w14:paraId="7D90883A" w14:textId="77777777" w:rsidR="003968B2" w:rsidRDefault="003968B2" w:rsidP="003968B2">
      <w:pPr>
        <w:spacing w:after="0"/>
      </w:pPr>
    </w:p>
    <w:p w14:paraId="02490B2D" w14:textId="77777777" w:rsidR="003968B2" w:rsidRDefault="003968B2" w:rsidP="003968B2">
      <w:pPr>
        <w:pStyle w:val="Heading1"/>
      </w:pPr>
      <w:r>
        <w:t>4. Delivery flow</w:t>
      </w:r>
    </w:p>
    <w:tbl>
      <w:tblPr>
        <w:tblStyle w:val="TableGrid"/>
        <w:tblW w:w="10431" w:type="dxa"/>
        <w:tblLayout w:type="fixed"/>
        <w:tblLook w:val="04A0" w:firstRow="1" w:lastRow="0" w:firstColumn="1" w:lastColumn="0" w:noHBand="0" w:noVBand="1"/>
      </w:tblPr>
      <w:tblGrid>
        <w:gridCol w:w="4013"/>
        <w:gridCol w:w="6418"/>
      </w:tblGrid>
      <w:tr w:rsidR="003968B2" w14:paraId="06974796" w14:textId="77777777" w:rsidTr="003968B2">
        <w:trPr>
          <w:trHeight w:val="665"/>
        </w:trPr>
        <w:tc>
          <w:tcPr>
            <w:tcW w:w="4013" w:type="dxa"/>
            <w:shd w:val="clear" w:color="auto" w:fill="17365D"/>
          </w:tcPr>
          <w:p w14:paraId="473E5FAA" w14:textId="77777777" w:rsidR="003968B2" w:rsidRDefault="003968B2" w:rsidP="005F0B16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6418" w:type="dxa"/>
            <w:shd w:val="clear" w:color="auto" w:fill="17365D"/>
          </w:tcPr>
          <w:p w14:paraId="3EE8DDF1" w14:textId="77777777" w:rsidR="003968B2" w:rsidRDefault="003968B2" w:rsidP="005F0B16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3968B2" w14:paraId="2079B119" w14:textId="77777777" w:rsidTr="003968B2">
        <w:trPr>
          <w:trHeight w:val="665"/>
        </w:trPr>
        <w:tc>
          <w:tcPr>
            <w:tcW w:w="4013" w:type="dxa"/>
            <w:shd w:val="clear" w:color="auto" w:fill="F3F6F9"/>
          </w:tcPr>
          <w:p w14:paraId="74A20195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1. Pull request</w:t>
            </w:r>
          </w:p>
        </w:tc>
        <w:tc>
          <w:tcPr>
            <w:tcW w:w="6418" w:type="dxa"/>
            <w:shd w:val="clear" w:color="auto" w:fill="F3F6F9"/>
          </w:tcPr>
          <w:p w14:paraId="0623A4E6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Review code; run formatting, unit checks, bundle validation, and package build.</w:t>
            </w:r>
          </w:p>
        </w:tc>
      </w:tr>
      <w:tr w:rsidR="003968B2" w14:paraId="03F1F11F" w14:textId="77777777" w:rsidTr="003968B2">
        <w:trPr>
          <w:trHeight w:val="665"/>
        </w:trPr>
        <w:tc>
          <w:tcPr>
            <w:tcW w:w="4013" w:type="dxa"/>
            <w:shd w:val="clear" w:color="auto" w:fill="FFFFFF"/>
          </w:tcPr>
          <w:p w14:paraId="778BBFA1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2. Development</w:t>
            </w:r>
          </w:p>
        </w:tc>
        <w:tc>
          <w:tcPr>
            <w:tcW w:w="6418" w:type="dxa"/>
            <w:shd w:val="clear" w:color="auto" w:fill="FFFFFF"/>
          </w:tcPr>
          <w:p w14:paraId="4743827E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Deploy the candidate and run smoke, integration, and basic data-quality checks.</w:t>
            </w:r>
          </w:p>
        </w:tc>
      </w:tr>
      <w:tr w:rsidR="003968B2" w14:paraId="784DE393" w14:textId="77777777" w:rsidTr="003968B2">
        <w:trPr>
          <w:trHeight w:val="665"/>
        </w:trPr>
        <w:tc>
          <w:tcPr>
            <w:tcW w:w="4013" w:type="dxa"/>
            <w:shd w:val="clear" w:color="auto" w:fill="F3F6F9"/>
          </w:tcPr>
          <w:p w14:paraId="73BBE177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3. Staging</w:t>
            </w:r>
          </w:p>
        </w:tc>
        <w:tc>
          <w:tcPr>
            <w:tcW w:w="6418" w:type="dxa"/>
            <w:shd w:val="clear" w:color="auto" w:fill="F3F6F9"/>
          </w:tcPr>
          <w:p w14:paraId="09C57CB5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Promote the same build; run regression checks and confirm expected access and outputs.</w:t>
            </w:r>
          </w:p>
        </w:tc>
      </w:tr>
      <w:tr w:rsidR="003968B2" w14:paraId="0703DB84" w14:textId="77777777" w:rsidTr="003968B2">
        <w:trPr>
          <w:trHeight w:val="665"/>
        </w:trPr>
        <w:tc>
          <w:tcPr>
            <w:tcW w:w="4013" w:type="dxa"/>
            <w:shd w:val="clear" w:color="auto" w:fill="FFFFFF"/>
          </w:tcPr>
          <w:p w14:paraId="5F20649A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4. Production</w:t>
            </w:r>
          </w:p>
        </w:tc>
        <w:tc>
          <w:tcPr>
            <w:tcW w:w="6418" w:type="dxa"/>
            <w:shd w:val="clear" w:color="auto" w:fill="FFFFFF"/>
          </w:tcPr>
          <w:p w14:paraId="78C05EDA" w14:textId="77777777" w:rsidR="003968B2" w:rsidRDefault="003968B2" w:rsidP="005F0B16">
            <w:pPr>
              <w:spacing w:before="20" w:after="20"/>
            </w:pPr>
            <w:r>
              <w:rPr>
                <w:sz w:val="17"/>
              </w:rPr>
              <w:t>Require release approval, deploy with the production identity, and run a smoke check.</w:t>
            </w:r>
          </w:p>
        </w:tc>
      </w:tr>
    </w:tbl>
    <w:p w14:paraId="3A091645" w14:textId="77777777" w:rsidR="003968B2" w:rsidRDefault="003968B2" w:rsidP="003968B2">
      <w:pPr>
        <w:spacing w:after="0"/>
      </w:pPr>
    </w:p>
    <w:p w14:paraId="09A81B34" w14:textId="77777777" w:rsidR="003968B2" w:rsidRDefault="003968B2" w:rsidP="003968B2">
      <w:pPr>
        <w:pStyle w:val="Heading2"/>
      </w:pPr>
      <w:r>
        <w:t>5. Risks and open decisions</w:t>
      </w:r>
    </w:p>
    <w:p w14:paraId="11284DF8" w14:textId="77777777" w:rsidR="003968B2" w:rsidRDefault="003968B2" w:rsidP="003968B2">
      <w:pPr>
        <w:pStyle w:val="ListBullet"/>
        <w:spacing w:after="20"/>
      </w:pPr>
      <w:r>
        <w:t>Confirm cloud, region, identity standard, and secret manager.</w:t>
      </w:r>
    </w:p>
    <w:p w14:paraId="5243DFC9" w14:textId="77777777" w:rsidR="003968B2" w:rsidRDefault="003968B2" w:rsidP="003968B2">
      <w:pPr>
        <w:pStyle w:val="ListBullet"/>
        <w:spacing w:after="20"/>
      </w:pPr>
      <w:r>
        <w:t>Choose shared or environment/domain-separated catalogs.</w:t>
      </w:r>
    </w:p>
    <w:p w14:paraId="10ED00CF" w14:textId="77777777" w:rsidR="003968B2" w:rsidRDefault="003968B2" w:rsidP="003968B2">
      <w:pPr>
        <w:pStyle w:val="ListBullet"/>
        <w:spacing w:after="20"/>
      </w:pPr>
      <w:r>
        <w:t>Agree freshness and recovery targets; validate bundle support in the target workspace.</w:t>
      </w:r>
    </w:p>
    <w:p w14:paraId="6F44B00E" w14:textId="77777777" w:rsidR="003968B2" w:rsidRPr="003968B2" w:rsidRDefault="003968B2" w:rsidP="003968B2"/>
    <w:p w14:paraId="0536DAE7" w14:textId="04FB0CA4" w:rsidR="00E021CD" w:rsidRPr="003968B2" w:rsidRDefault="00E021CD" w:rsidP="003968B2"/>
    <w:sectPr w:rsidR="00E021CD" w:rsidRPr="003968B2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98D7C" w14:textId="77777777" w:rsidR="00DF33FB" w:rsidRDefault="00DF33FB">
      <w:pPr>
        <w:spacing w:after="0" w:line="240" w:lineRule="auto"/>
      </w:pPr>
      <w:r>
        <w:separator/>
      </w:r>
    </w:p>
  </w:endnote>
  <w:endnote w:type="continuationSeparator" w:id="0">
    <w:p w14:paraId="6EA2B90F" w14:textId="77777777" w:rsidR="00DF33FB" w:rsidRDefault="00DF3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1154" w14:textId="3532B726" w:rsidR="00E021CD" w:rsidRDefault="00E021C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99D78" w14:textId="77777777" w:rsidR="00DF33FB" w:rsidRDefault="00DF33FB">
      <w:pPr>
        <w:spacing w:after="0" w:line="240" w:lineRule="auto"/>
      </w:pPr>
      <w:r>
        <w:separator/>
      </w:r>
    </w:p>
  </w:footnote>
  <w:footnote w:type="continuationSeparator" w:id="0">
    <w:p w14:paraId="39FA85E1" w14:textId="77777777" w:rsidR="00DF33FB" w:rsidRDefault="00DF3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821221">
    <w:abstractNumId w:val="8"/>
  </w:num>
  <w:num w:numId="2" w16cid:durableId="1268662965">
    <w:abstractNumId w:val="6"/>
  </w:num>
  <w:num w:numId="3" w16cid:durableId="1249659981">
    <w:abstractNumId w:val="5"/>
  </w:num>
  <w:num w:numId="4" w16cid:durableId="1297833587">
    <w:abstractNumId w:val="4"/>
  </w:num>
  <w:num w:numId="5" w16cid:durableId="1186872010">
    <w:abstractNumId w:val="7"/>
  </w:num>
  <w:num w:numId="6" w16cid:durableId="270164697">
    <w:abstractNumId w:val="3"/>
  </w:num>
  <w:num w:numId="7" w16cid:durableId="1699506657">
    <w:abstractNumId w:val="2"/>
  </w:num>
  <w:num w:numId="8" w16cid:durableId="1596282146">
    <w:abstractNumId w:val="1"/>
  </w:num>
  <w:num w:numId="9" w16cid:durableId="90741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EC6"/>
    <w:rsid w:val="00326F90"/>
    <w:rsid w:val="003968B2"/>
    <w:rsid w:val="009A4749"/>
    <w:rsid w:val="00AA1D8D"/>
    <w:rsid w:val="00B47730"/>
    <w:rsid w:val="00CB0664"/>
    <w:rsid w:val="00DF33FB"/>
    <w:rsid w:val="00E021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E87A6"/>
  <w14:defaultImageDpi w14:val="300"/>
  <w15:docId w15:val="{B35DBEEF-90AD-9141-8947-B3A4FBEE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6374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087E8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Databricks Data Platform Business Requirements and System Design</vt:lpstr>
    </vt:vector>
  </TitlesOfParts>
  <Manager/>
  <Company/>
  <LinksUpToDate>false</LinksUpToDate>
  <CharactersWithSpaces>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Databricks Data Platform Business Requirements and System Design</dc:title>
  <dc:subject>Concise interview design proposal</dc:subject>
  <dc:creator>Data Platform Engineering</dc:creator>
  <cp:keywords/>
  <dc:description>generated by python-docx</dc:description>
  <cp:lastModifiedBy>Gaurav Sinha ACI Infotech</cp:lastModifiedBy>
  <cp:revision>2</cp:revision>
  <dcterms:created xsi:type="dcterms:W3CDTF">2026-10-01T11:48:00Z</dcterms:created>
  <dcterms:modified xsi:type="dcterms:W3CDTF">2026-10-01T11:48:00Z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a412f-9fc2-4e03-ac91-992c2aa41d67_Enabled">
    <vt:lpwstr>true</vt:lpwstr>
  </property>
  <property fmtid="{D5CDD505-2E9C-101B-9397-08002B2CF9AE}" pid="3" name="MSIP_Label_fc1a412f-9fc2-4e03-ac91-992c2aa41d67_SetDate">
    <vt:lpwstr>2026-10-01T11:48:59Z</vt:lpwstr>
  </property>
  <property fmtid="{D5CDD505-2E9C-101B-9397-08002B2CF9AE}" pid="4" name="MSIP_Label_fc1a412f-9fc2-4e03-ac91-992c2aa41d67_Method">
    <vt:lpwstr>Standard</vt:lpwstr>
  </property>
  <property fmtid="{D5CDD505-2E9C-101B-9397-08002B2CF9AE}" pid="5" name="MSIP_Label_fc1a412f-9fc2-4e03-ac91-992c2aa41d67_Name">
    <vt:lpwstr>Internal</vt:lpwstr>
  </property>
  <property fmtid="{D5CDD505-2E9C-101B-9397-08002B2CF9AE}" pid="6" name="MSIP_Label_fc1a412f-9fc2-4e03-ac91-992c2aa41d67_SiteId">
    <vt:lpwstr>bfc4e26f-db5d-4926-b507-5f340ca61464</vt:lpwstr>
  </property>
  <property fmtid="{D5CDD505-2E9C-101B-9397-08002B2CF9AE}" pid="7" name="MSIP_Label_fc1a412f-9fc2-4e03-ac91-992c2aa41d67_ActionId">
    <vt:lpwstr>682ba3d5-6cef-4e56-9417-f5141a37816e</vt:lpwstr>
  </property>
  <property fmtid="{D5CDD505-2E9C-101B-9397-08002B2CF9AE}" pid="8" name="MSIP_Label_fc1a412f-9fc2-4e03-ac91-992c2aa41d67_ContentBits">
    <vt:lpwstr>0</vt:lpwstr>
  </property>
  <property fmtid="{D5CDD505-2E9C-101B-9397-08002B2CF9AE}" pid="9" name="MSIP_Label_fc1a412f-9fc2-4e03-ac91-992c2aa41d67_Tag">
    <vt:lpwstr>50, 3, 0, 1</vt:lpwstr>
  </property>
</Properties>
</file>