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5A0D" w14:textId="77777777" w:rsidR="00E93657" w:rsidRPr="00D67162" w:rsidRDefault="00000000">
      <w:pPr>
        <w:pStyle w:val="Title"/>
        <w:jc w:val="center"/>
        <w:rPr>
          <w:color w:val="000000" w:themeColor="text1"/>
        </w:rPr>
      </w:pPr>
      <w:r w:rsidRPr="00D67162">
        <w:rPr>
          <w:color w:val="000000" w:themeColor="text1"/>
        </w:rPr>
        <w:t>Manufacturing Quality Analytics &amp; Predictive Maintenance Optimization</w:t>
      </w:r>
    </w:p>
    <w:p w14:paraId="74BF89A6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Methodology: Lean Six Sigma (DMAIC)</w:t>
      </w:r>
    </w:p>
    <w:p w14:paraId="731098D7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Tools Used: Microsoft Excel (Data Analysis ToolPak, SPC Dashboarding)</w:t>
      </w:r>
    </w:p>
    <w:p w14:paraId="5EC473E7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Dataset: 10,000+ Operational Telemetry Records (AI4I 2020)</w:t>
      </w:r>
      <w:r w:rsidRPr="00D67162">
        <w:rPr>
          <w:color w:val="000000" w:themeColor="text1"/>
        </w:rPr>
        <w:br/>
      </w:r>
    </w:p>
    <w:p w14:paraId="319F523D" w14:textId="77777777" w:rsidR="00E93657" w:rsidRPr="00D67162" w:rsidRDefault="00000000">
      <w:pPr>
        <w:pStyle w:val="Heading1"/>
        <w:rPr>
          <w:color w:val="000000" w:themeColor="text1"/>
        </w:rPr>
      </w:pPr>
      <w:r w:rsidRPr="00D67162">
        <w:rPr>
          <w:color w:val="000000" w:themeColor="text1"/>
        </w:rPr>
        <w:t>1. DEFINE Phase</w:t>
      </w:r>
    </w:p>
    <w:p w14:paraId="4822C886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Problem Statement: The manufacturing assembly line was experiencing unpredicted equipment failures, leading to process disruptions, increased scrap costs, and degraded Overall Equipment Effectiveness (OEE).</w:t>
      </w:r>
    </w:p>
    <w:p w14:paraId="797398C3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Rationale: Before diving into data, defining the exact business problem ensures the analytical project remains focused on actionable factory floor metrics rather than theoretical data science.</w:t>
      </w:r>
    </w:p>
    <w:p w14:paraId="62B87A1B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Project Objective: To utilize historical sensor telemetry to isolate primary operational failure modes and implement a data-driven Statistical Process Control (SPC) system to reduce unexpected machine downtime.</w:t>
      </w:r>
    </w:p>
    <w:p w14:paraId="5A315505" w14:textId="77777777" w:rsidR="00E93657" w:rsidRPr="00D67162" w:rsidRDefault="00000000">
      <w:pPr>
        <w:pStyle w:val="Heading1"/>
        <w:rPr>
          <w:color w:val="000000" w:themeColor="text1"/>
        </w:rPr>
      </w:pPr>
      <w:r w:rsidRPr="00D67162">
        <w:rPr>
          <w:color w:val="000000" w:themeColor="text1"/>
        </w:rPr>
        <w:t>2. MEASURE Phase</w:t>
      </w:r>
    </w:p>
    <w:p w14:paraId="31977A48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Action Taken: To establish a baseline, process data was extracted and categorized by failure modes using standard Excel count and sum functions.</w:t>
      </w:r>
    </w:p>
    <w:p w14:paraId="1B3AF15A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Rationale: In Six Sigma, you cannot improve what you haven't measured. We needed to know the current 'defect rate' to later prove our solutions actually worked.</w:t>
      </w:r>
    </w:p>
    <w:p w14:paraId="3F49D154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Findings:</w:t>
      </w:r>
    </w:p>
    <w:p w14:paraId="0DF04FDF" w14:textId="42EA9164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Baseline Failure Rate: 3.4% across 10,000 records.</w:t>
      </w:r>
    </w:p>
    <w:p w14:paraId="5734D502" w14:textId="7A63CEDA" w:rsidR="00E93657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Failure Stratification: A Pareto analysis identified the primary drivers as Tool Wear Failures (TWF), Overstrain Failures (OSF), and Heat Dissipation Failures (HDF).</w:t>
      </w:r>
    </w:p>
    <w:p w14:paraId="5DCB2FD7" w14:textId="77777777" w:rsidR="00D67162" w:rsidRPr="00D67162" w:rsidRDefault="00D67162" w:rsidP="00D67162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20DC9402" w14:textId="77777777" w:rsidR="00E93657" w:rsidRPr="00D67162" w:rsidRDefault="00000000">
      <w:pPr>
        <w:pStyle w:val="Heading1"/>
        <w:rPr>
          <w:color w:val="000000" w:themeColor="text1"/>
        </w:rPr>
      </w:pPr>
      <w:r w:rsidRPr="00D67162">
        <w:rPr>
          <w:color w:val="000000" w:themeColor="text1"/>
        </w:rPr>
        <w:lastRenderedPageBreak/>
        <w:t>3. ANALYZE Phase</w:t>
      </w:r>
    </w:p>
    <w:p w14:paraId="4926C1E1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Action Taken: Advanced statistical analyses (T-Tests, ANOVA, and Correlation Matrices) were conducted via the Excel Data Analysis ToolPak to isolate the exact mechanical and environmental root causes.</w:t>
      </w:r>
    </w:p>
    <w:p w14:paraId="6EE8B492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Rationale: In manufacturing process development, assumptions are dangerous. We required mathematical proof (p-values &lt; 0.05) to definitively state WHY machines were breaking, ruling out random variance.</w:t>
      </w:r>
    </w:p>
    <w:p w14:paraId="70642B17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Findings &amp; Reasoning:</w:t>
      </w:r>
    </w:p>
    <w:p w14:paraId="4DD5FA7B" w14:textId="2EDC596F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Tool Wear Variance (Two-Sample T-Test): Proved mathematically that tool wear directly causes machine failure (p &lt; 0.001). Failed machines averaged 143.8 minutes of wear with massive variance, compared to 104.5 minutes for safe operational machines.</w:t>
      </w:r>
    </w:p>
    <w:p w14:paraId="24F71488" w14:textId="34D3EAD6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Mechanical Clash (Correlation Matrix): Isolated a severe inverse correlation between Spindle Rotational Speed and Torque (r = -0.875). This identified the specific mechanical clash that triggers Overstrain Failures (OSF).</w:t>
      </w:r>
    </w:p>
    <w:p w14:paraId="35DB62B3" w14:textId="27FCF001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Environmental Dependency: Established a strong positive correlation (r = 0.876) between ambient factory air and internal process temperatures, identifying facility HVAC/ventilation issues as the root cause of Heat Dissipation Failures (HDF).</w:t>
      </w:r>
    </w:p>
    <w:p w14:paraId="3C6636D5" w14:textId="0B6B9C8C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Failure Specificity (Single-Factor ANOVA): Proved (p &lt; 0.001) that different failure modes are driven by fundamentally different torque states. OSF occurs under high-torque conditions (avg. 62.8 Nm), while HDF occurs under low-torque conditions (avg. 48.2 Nm).</w:t>
      </w:r>
    </w:p>
    <w:p w14:paraId="38525FFF" w14:textId="77777777" w:rsidR="00E93657" w:rsidRPr="00D67162" w:rsidRDefault="00000000">
      <w:pPr>
        <w:pStyle w:val="Heading1"/>
        <w:rPr>
          <w:color w:val="000000" w:themeColor="text1"/>
        </w:rPr>
      </w:pPr>
      <w:r w:rsidRPr="00D67162">
        <w:rPr>
          <w:color w:val="000000" w:themeColor="text1"/>
        </w:rPr>
        <w:t>4. IMPROVE Phase</w:t>
      </w:r>
    </w:p>
    <w:p w14:paraId="4B399294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Action Taken: Based on the statistical variance, new Standard Operating Procedures (SOPs) were engineered.</w:t>
      </w:r>
    </w:p>
    <w:p w14:paraId="7AB9028A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Rationale: Finding the root cause is only half the battle. The Improve phase translates the math into operational limits that balance machinery safety with business overhead costs (minimizing tool waste).</w:t>
      </w:r>
    </w:p>
    <w:p w14:paraId="26A372FA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Engineered Solutions:</w:t>
      </w:r>
    </w:p>
    <w:p w14:paraId="677EAA9F" w14:textId="0DE1F841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 xml:space="preserve">Preventative Maintenance Protocol: Implemented a mandatory tool replacement limit of 120 minutes. This optimizes the ROI of the tooling consumable (safely passing the 104-minute operational average) while avoiding the 127.7-minute statistical danger </w:t>
      </w:r>
      <w:r w:rsidR="00D67162" w:rsidRPr="00D67162">
        <w:rPr>
          <w:color w:val="000000" w:themeColor="text1"/>
        </w:rPr>
        <w:t>zone</w:t>
      </w:r>
      <w:r w:rsidR="00D67162">
        <w:rPr>
          <w:color w:val="000000" w:themeColor="text1"/>
        </w:rPr>
        <w:t xml:space="preserve"> (calculated using the standard deviation)</w:t>
      </w:r>
      <w:r w:rsidRPr="00D67162">
        <w:rPr>
          <w:color w:val="000000" w:themeColor="text1"/>
        </w:rPr>
        <w:t>.</w:t>
      </w:r>
    </w:p>
    <w:p w14:paraId="016492BF" w14:textId="7DDDADDF" w:rsidR="00E93657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 xml:space="preserve">Dynamic Load Cap: Engineered an automated spindle speed reduction rule triggered when live torque exceeds 55.0 Nm to prevent the mechanical clash responsible for </w:t>
      </w:r>
      <w:r w:rsidR="00D67162" w:rsidRPr="00D67162">
        <w:rPr>
          <w:color w:val="000000" w:themeColor="text1"/>
        </w:rPr>
        <w:t>overstraining</w:t>
      </w:r>
      <w:r w:rsidRPr="00D67162">
        <w:rPr>
          <w:color w:val="000000" w:themeColor="text1"/>
        </w:rPr>
        <w:t>.</w:t>
      </w:r>
    </w:p>
    <w:p w14:paraId="0C808680" w14:textId="77777777" w:rsidR="00D67162" w:rsidRDefault="00D67162" w:rsidP="00D67162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60C78730" w14:textId="77777777" w:rsidR="00D67162" w:rsidRDefault="00D67162" w:rsidP="00D67162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1FE3DFC3" w14:textId="77777777" w:rsidR="00D67162" w:rsidRPr="00D67162" w:rsidRDefault="00D67162" w:rsidP="00D67162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0A5E5BF8" w14:textId="77777777" w:rsidR="00E93657" w:rsidRPr="00D67162" w:rsidRDefault="00000000">
      <w:pPr>
        <w:pStyle w:val="Heading1"/>
        <w:rPr>
          <w:color w:val="000000" w:themeColor="text1"/>
        </w:rPr>
      </w:pPr>
      <w:r w:rsidRPr="00D67162">
        <w:rPr>
          <w:color w:val="000000" w:themeColor="text1"/>
        </w:rPr>
        <w:t>5. CONTROL Phase</w:t>
      </w:r>
    </w:p>
    <w:p w14:paraId="60FADD82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Action Taken: An automated monitoring system (SPC Chart) was developed in Excel to track live part processing.</w:t>
      </w:r>
    </w:p>
    <w:p w14:paraId="1310B436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Rationale: Without a control system, operators might revert to old habits, causing failures to return. A visual dashboard enforces the new SOPs.</w:t>
      </w:r>
    </w:p>
    <w:p w14:paraId="02DE2DAC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System Features:</w:t>
      </w:r>
    </w:p>
    <w:p w14:paraId="208ADFDA" w14:textId="76D65DFD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 xml:space="preserve"> Automated SPC Dashboard: Designed a dynamic Statistical Process Control chart to monitor live assembly line telemetry.</w:t>
      </w:r>
    </w:p>
    <w:p w14:paraId="0ABA62CD" w14:textId="45D85735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Predictive Alerts: Engineered logic-based threshold warnings ('REPLACE TOOL') that actively flag operators the moment physical parameters breach the newly established 120-minute safety limit.</w:t>
      </w:r>
    </w:p>
    <w:p w14:paraId="2B6D0A39" w14:textId="77777777" w:rsidR="00E93657" w:rsidRPr="00D67162" w:rsidRDefault="00000000">
      <w:pPr>
        <w:pStyle w:val="Heading1"/>
        <w:rPr>
          <w:color w:val="000000" w:themeColor="text1"/>
        </w:rPr>
      </w:pPr>
      <w:r w:rsidRPr="00D67162">
        <w:rPr>
          <w:color w:val="000000" w:themeColor="text1"/>
        </w:rPr>
        <w:t>6. CONCLUSION &amp; BUSINESS IMPACT (BACKTESTING)</w:t>
      </w:r>
    </w:p>
    <w:p w14:paraId="112DE595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Action Taken: Since live deployment wasn't possible, a historical backtest was conducted against the dataset's recorded failures to simulate Return on Investment (ROI).</w:t>
      </w:r>
    </w:p>
    <w:p w14:paraId="28CD3370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Rationale: Stakeholders and recruiters need to see the projected financial and operational impact of the analysis to validate its success.</w:t>
      </w:r>
    </w:p>
    <w:p w14:paraId="633B0CE7" w14:textId="77777777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>Impact Results:</w:t>
      </w:r>
    </w:p>
    <w:p w14:paraId="6B6AE31D" w14:textId="4E3F1858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Applying the 120-minute tool replacement protocol retroactively mathematically eliminated 100% of historical Tool Wear Failures (TWF).</w:t>
      </w:r>
    </w:p>
    <w:p w14:paraId="7E97D0A2" w14:textId="3D4FF2D6" w:rsidR="00E93657" w:rsidRPr="00D67162" w:rsidRDefault="00000000">
      <w:pPr>
        <w:pStyle w:val="ListBullet"/>
        <w:rPr>
          <w:color w:val="000000" w:themeColor="text1"/>
        </w:rPr>
      </w:pPr>
      <w:r w:rsidRPr="00D67162">
        <w:rPr>
          <w:color w:val="000000" w:themeColor="text1"/>
        </w:rPr>
        <w:t>Applying the 55.0 Nm torque cap prevented 67.3% of Overstrain Failures (OSF).</w:t>
      </w:r>
    </w:p>
    <w:p w14:paraId="212BD5DB" w14:textId="1C819E01" w:rsidR="00E93657" w:rsidRPr="00D67162" w:rsidRDefault="00000000">
      <w:pPr>
        <w:rPr>
          <w:color w:val="000000" w:themeColor="text1"/>
        </w:rPr>
      </w:pPr>
      <w:r w:rsidRPr="00D67162">
        <w:rPr>
          <w:color w:val="000000" w:themeColor="text1"/>
        </w:rPr>
        <w:t xml:space="preserve">Final Summary: By replacing static, reactive maintenance with a mathematically optimized, predictive DMAIC framework, this project established the foundational control systems </w:t>
      </w:r>
      <w:r w:rsidR="00D67162">
        <w:rPr>
          <w:color w:val="000000" w:themeColor="text1"/>
        </w:rPr>
        <w:t xml:space="preserve">that </w:t>
      </w:r>
      <w:r w:rsidR="00D67162" w:rsidRPr="00D67162">
        <w:rPr>
          <w:color w:val="000000" w:themeColor="text1"/>
        </w:rPr>
        <w:t>reduced</w:t>
      </w:r>
      <w:r w:rsidRPr="00D67162">
        <w:rPr>
          <w:color w:val="000000" w:themeColor="text1"/>
        </w:rPr>
        <w:t xml:space="preserve"> the 3.4% baseline defect rate</w:t>
      </w:r>
      <w:r w:rsidR="00D67162">
        <w:rPr>
          <w:color w:val="000000" w:themeColor="text1"/>
        </w:rPr>
        <w:t xml:space="preserve"> to </w:t>
      </w:r>
      <w:r w:rsidR="00D67162" w:rsidRPr="00D67162">
        <w:rPr>
          <w:color w:val="000000" w:themeColor="text1"/>
        </w:rPr>
        <w:t>2.29%</w:t>
      </w:r>
      <w:r w:rsidRPr="00D67162">
        <w:rPr>
          <w:color w:val="000000" w:themeColor="text1"/>
        </w:rPr>
        <w:t>, directly improving long-term assembly line Overall Equipment Effectiveness (OEE) and profitability.</w:t>
      </w:r>
    </w:p>
    <w:sectPr w:rsidR="00E93657" w:rsidRPr="00D67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82356">
    <w:abstractNumId w:val="8"/>
  </w:num>
  <w:num w:numId="2" w16cid:durableId="544372370">
    <w:abstractNumId w:val="6"/>
  </w:num>
  <w:num w:numId="3" w16cid:durableId="1782801010">
    <w:abstractNumId w:val="5"/>
  </w:num>
  <w:num w:numId="4" w16cid:durableId="322315375">
    <w:abstractNumId w:val="4"/>
  </w:num>
  <w:num w:numId="5" w16cid:durableId="1008482105">
    <w:abstractNumId w:val="7"/>
  </w:num>
  <w:num w:numId="6" w16cid:durableId="67503519">
    <w:abstractNumId w:val="3"/>
  </w:num>
  <w:num w:numId="7" w16cid:durableId="185020660">
    <w:abstractNumId w:val="2"/>
  </w:num>
  <w:num w:numId="8" w16cid:durableId="87427981">
    <w:abstractNumId w:val="1"/>
  </w:num>
  <w:num w:numId="9" w16cid:durableId="34737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C99"/>
    <w:rsid w:val="00AA1D8D"/>
    <w:rsid w:val="00B47730"/>
    <w:rsid w:val="00CB0664"/>
    <w:rsid w:val="00D67162"/>
    <w:rsid w:val="00E93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45D6E"/>
  <w14:defaultImageDpi w14:val="300"/>
  <w15:docId w15:val="{74999549-10B2-475E-8D3F-B47A8008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Upadhyay</cp:lastModifiedBy>
  <cp:revision>2</cp:revision>
  <dcterms:created xsi:type="dcterms:W3CDTF">2013-12-23T23:15:00Z</dcterms:created>
  <dcterms:modified xsi:type="dcterms:W3CDTF">2026-06-08T10:03:00Z</dcterms:modified>
  <cp:category/>
</cp:coreProperties>
</file>