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101828"/>
          <w:sz w:val="52"/>
          <w:szCs w:val="52"/>
        </w:rPr>
        <w:t xml:space="preserve">Cost Analysis &amp;</w:t>
      </w:r>
    </w:p>
    <w:p>
      <w:pPr>
        <w:spacing w:after="200"/>
        <w:jc w:val="center"/>
      </w:pPr>
      <w:r>
        <w:rPr>
          <w:b/>
          <w:bCs/>
          <w:color w:val="16A34A"/>
          <w:sz w:val="52"/>
          <w:szCs w:val="52"/>
        </w:rPr>
        <w:t xml:space="preserve">Cloud Platform Comparison</w:t>
      </w:r>
    </w:p>
    <w:p>
      <w:pPr>
        <w:pBdr>
          <w:top w:val="single" w:color="16A34A" w:sz="6"/>
        </w:pBdr>
        <w:spacing w:after="60"/>
        <w:jc w:val="center"/>
      </w:pPr>
    </w:p>
    <w:p>
      <w:pPr>
        <w:spacing w:after="400" w:before="180"/>
        <w:jc w:val="center"/>
      </w:pPr>
      <w:r>
        <w:rPr>
          <w:color w:val="667085"/>
          <w:sz w:val="26"/>
          <w:szCs w:val="26"/>
        </w:rPr>
        <w:t xml:space="preserve">One-Year Operating Budget — 14 Hostels, 28 IoT Nodes</w:t>
      </w:r>
    </w:p>
    <w:p>
      <w:pPr>
        <w:spacing w:after="100"/>
        <w:jc w:val="center"/>
      </w:pPr>
      <w:r>
        <w:rPr>
          <w:b/>
          <w:bCs/>
          <w:color w:val="16A34A"/>
          <w:sz w:val="32"/>
          <w:szCs w:val="32"/>
        </w:rPr>
        <w:t xml:space="preserve">WasteWise</w:t>
      </w:r>
    </w:p>
    <w:p>
      <w:pPr>
        <w:spacing w:after="500"/>
        <w:jc w:val="center"/>
      </w:pPr>
      <w:r>
        <w:rPr>
          <w:color w:val="101828"/>
          <w:sz w:val="22"/>
          <w:szCs w:val="22"/>
        </w:rPr>
        <w:t xml:space="preserve">IoT-Based Real-Time Food Waste Monitoring System</w:t>
      </w:r>
    </w:p>
    <w:p>
      <w:pPr>
        <w:spacing w:after="120"/>
        <w:jc w:val="center"/>
      </w:pPr>
      <w:r>
        <w:rPr>
          <w:color w:val="667085"/>
          <w:sz w:val="19"/>
          <w:szCs w:val="19"/>
        </w:rPr>
        <w:t xml:space="preserve">An initiative supported by</w:t>
      </w:r>
    </w:p>
    <w:p>
      <w:pPr>
        <w:spacing w:after="600"/>
        <w:jc w:val="center"/>
      </w:pPr>
      <w:r>
        <w:rPr>
          <w:b/>
          <w:bCs/>
          <w:color w:val="101828"/>
          <w:sz w:val="23"/>
          <w:szCs w:val="23"/>
        </w:rPr>
        <w:t xml:space="preserve">IIT Guwahati — Technology Innovation Hub (TIH)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6A34A" w:color="auto" w:val="clear"/>
            <w:tcMar>
              <w:top w:type="dxa" w:w="80"/>
              <w:left w:type="dxa" w:w="110"/>
              <w:bottom w:type="dxa" w:w="80"/>
              <w:right w:type="dxa" w:w="110"/>
            </w:tcMar>
          </w:tcPr>
          <w:p>
            <w:pPr>
              <w:jc w:val="left"/>
            </w:pPr>
            <w:r>
              <w:rPr>
                <w:b/>
                <w:bCs/>
                <w:color w:val="FFFFFF"/>
                <w:sz w:val="17"/>
                <w:szCs w:val="17"/>
              </w:rPr>
              <w:t xml:space="preserve">Prepared for</w:t>
            </w:r>
          </w:p>
        </w:tc>
        <w:tc>
          <w:tcPr>
            <w:tcW w:type="dxa" w:w="6426"/>
            <w:shd w:fill="16A34A" w:color="auto" w:val="clear"/>
            <w:tcMar>
              <w:top w:type="dxa" w:w="80"/>
              <w:left w:type="dxa" w:w="110"/>
              <w:bottom w:type="dxa" w:w="80"/>
              <w:right w:type="dxa" w:w="110"/>
            </w:tcMar>
          </w:tcPr>
          <w:p>
            <w:pPr>
              <w:jc w:val="left"/>
            </w:pPr>
            <w:r>
              <w:rPr>
                <w:b/>
                <w:bCs/>
                <w:color w:val="FFFFFF"/>
                <w:sz w:val="17"/>
                <w:szCs w:val="17"/>
              </w:rPr>
              <w:t xml:space="preserve">Detail</w:t>
            </w:r>
          </w:p>
        </w:tc>
      </w:tr>
      <w:tr>
        <w:tc>
          <w:tcPr>
            <w:tcW w:type="dxa" w:w="2600"/>
            <w:tcMar>
              <w:top w:type="dxa" w:w="70"/>
              <w:left w:type="dxa" w:w="110"/>
              <w:bottom w:type="dxa" w:w="70"/>
              <w:right w:type="dxa" w:w="110"/>
            </w:tcMar>
          </w:tcPr>
          <w:p>
            <w:pPr>
              <w:jc w:val="left"/>
            </w:pPr>
            <w:r>
              <w:rPr>
                <w:b w:val="false"/>
                <w:bCs w:val="false"/>
                <w:sz w:val="17"/>
                <w:szCs w:val="17"/>
              </w:rPr>
              <w:t xml:space="preserve">Deployment scope</w:t>
            </w:r>
          </w:p>
        </w:tc>
        <w:tc>
          <w:tcPr>
            <w:tcW w:type="dxa" w:w="6426"/>
            <w:tcMar>
              <w:top w:type="dxa" w:w="70"/>
              <w:left w:type="dxa" w:w="110"/>
              <w:bottom w:type="dxa" w:w="70"/>
              <w:right w:type="dxa" w:w="110"/>
            </w:tcMar>
          </w:tcPr>
          <w:p>
            <w:pPr>
              <w:jc w:val="left"/>
            </w:pPr>
            <w:r>
              <w:rPr>
                <w:b w:val="false"/>
                <w:bCs w:val="false"/>
                <w:sz w:val="17"/>
                <w:szCs w:val="17"/>
              </w:rPr>
              <w:t xml:space="preserve">14 hostels · 2 weighing nodes per hostel · ~6,300 students</w:t>
            </w:r>
          </w:p>
        </w:tc>
      </w:tr>
      <w:tr>
        <w:tc>
          <w:tcPr>
            <w:tcW w:type="dxa" w:w="2600"/>
            <w:shd w:fill="F7FAF8" w:color="auto" w:val="clear"/>
            <w:tcMar>
              <w:top w:type="dxa" w:w="70"/>
              <w:left w:type="dxa" w:w="110"/>
              <w:bottom w:type="dxa" w:w="70"/>
              <w:right w:type="dxa" w:w="110"/>
            </w:tcMar>
          </w:tcPr>
          <w:p>
            <w:pPr>
              <w:jc w:val="left"/>
            </w:pPr>
            <w:r>
              <w:rPr>
                <w:b w:val="false"/>
                <w:bCs w:val="false"/>
                <w:sz w:val="17"/>
                <w:szCs w:val="17"/>
              </w:rPr>
              <w:t xml:space="preserve">Period costed</w:t>
            </w:r>
          </w:p>
        </w:tc>
        <w:tc>
          <w:tcPr>
            <w:tcW w:type="dxa" w:w="6426"/>
            <w:shd w:fill="F7FAF8" w:color="auto" w:val="clear"/>
            <w:tcMar>
              <w:top w:type="dxa" w:w="70"/>
              <w:left w:type="dxa" w:w="110"/>
              <w:bottom w:type="dxa" w:w="70"/>
              <w:right w:type="dxa" w:w="110"/>
            </w:tcMar>
          </w:tcPr>
          <w:p>
            <w:pPr>
              <w:jc w:val="left"/>
            </w:pPr>
            <w:r>
              <w:rPr>
                <w:b w:val="false"/>
                <w:bCs w:val="false"/>
                <w:sz w:val="17"/>
                <w:szCs w:val="17"/>
              </w:rPr>
              <w:t xml:space="preserve">12 months (Year 1 CAPEX + OPEX, and Year 2+ recurring)</w:t>
            </w:r>
          </w:p>
        </w:tc>
      </w:tr>
      <w:tr>
        <w:tc>
          <w:tcPr>
            <w:tcW w:type="dxa" w:w="2600"/>
            <w:tcMar>
              <w:top w:type="dxa" w:w="70"/>
              <w:left w:type="dxa" w:w="110"/>
              <w:bottom w:type="dxa" w:w="70"/>
              <w:right w:type="dxa" w:w="110"/>
            </w:tcMar>
          </w:tcPr>
          <w:p>
            <w:pPr>
              <w:jc w:val="left"/>
            </w:pPr>
            <w:r>
              <w:rPr>
                <w:b w:val="false"/>
                <w:bCs w:val="false"/>
                <w:sz w:val="17"/>
                <w:szCs w:val="17"/>
              </w:rPr>
              <w:t xml:space="preserve">Platforms compared</w:t>
            </w:r>
          </w:p>
        </w:tc>
        <w:tc>
          <w:tcPr>
            <w:tcW w:type="dxa" w:w="6426"/>
            <w:tcMar>
              <w:top w:type="dxa" w:w="70"/>
              <w:left w:type="dxa" w:w="110"/>
              <w:bottom w:type="dxa" w:w="70"/>
              <w:right w:type="dxa" w:w="110"/>
            </w:tcMar>
          </w:tcPr>
          <w:p>
            <w:pPr>
              <w:jc w:val="left"/>
            </w:pPr>
            <w:r>
              <w:rPr>
                <w:b w:val="false"/>
                <w:bCs w:val="false"/>
                <w:sz w:val="17"/>
                <w:szCs w:val="17"/>
              </w:rPr>
              <w:t xml:space="preserve">ThingSpeak (paid) vs Amazon Web Services vs self-hosted VPS</w:t>
            </w:r>
          </w:p>
        </w:tc>
      </w:tr>
      <w:tr>
        <w:tc>
          <w:tcPr>
            <w:tcW w:type="dxa" w:w="2600"/>
            <w:shd w:fill="F7FAF8" w:color="auto" w:val="clear"/>
            <w:tcMar>
              <w:top w:type="dxa" w:w="70"/>
              <w:left w:type="dxa" w:w="110"/>
              <w:bottom w:type="dxa" w:w="70"/>
              <w:right w:type="dxa" w:w="110"/>
            </w:tcMar>
          </w:tcPr>
          <w:p>
            <w:pPr>
              <w:jc w:val="left"/>
            </w:pPr>
            <w:r>
              <w:rPr>
                <w:b w:val="false"/>
                <w:bCs w:val="false"/>
                <w:sz w:val="17"/>
                <w:szCs w:val="17"/>
              </w:rPr>
              <w:t xml:space="preserve">Currency basis</w:t>
            </w:r>
          </w:p>
        </w:tc>
        <w:tc>
          <w:tcPr>
            <w:tcW w:type="dxa" w:w="6426"/>
            <w:shd w:fill="F7FAF8" w:color="auto" w:val="clear"/>
            <w:tcMar>
              <w:top w:type="dxa" w:w="70"/>
              <w:left w:type="dxa" w:w="110"/>
              <w:bottom w:type="dxa" w:w="70"/>
              <w:right w:type="dxa" w:w="110"/>
            </w:tcMar>
          </w:tcPr>
          <w:p>
            <w:pPr>
              <w:jc w:val="left"/>
            </w:pPr>
            <w:r>
              <w:rPr>
                <w:b w:val="false"/>
                <w:bCs w:val="false"/>
                <w:sz w:val="17"/>
                <w:szCs w:val="17"/>
              </w:rPr>
              <w:t xml:space="preserve">Indian Rupees (₹), converted at ₹87 = US$1</w:t>
            </w:r>
          </w:p>
        </w:tc>
      </w:tr>
    </w:tbl>
    <w:p>
      <w:r>
        <w:br w:type="page"/>
      </w:r>
    </w:p>
    <w:p>
      <w:pPr>
        <w:pStyle w:val="Heading1"/>
        <w:spacing w:after="150" w:before="300"/>
      </w:pPr>
      <w:r>
        <w:t xml:space="preserve">1. Scope and Assumptions</w:t>
      </w:r>
    </w:p>
    <w:p>
      <w:pPr>
        <w:spacing w:after="110" w:line="280"/>
        <w:jc w:val="both"/>
      </w:pPr>
      <w:r>
        <w:rPr>
          <w:b w:val="false"/>
          <w:bCs w:val="false"/>
          <w:i w:val="false"/>
          <w:iCs w:val="false"/>
          <w:color w:val="101828"/>
          <w:sz w:val="20"/>
          <w:szCs w:val="20"/>
        </w:rPr>
        <w:t xml:space="preserve">This document budgets one full year of operating WasteWise across all fourteen IIT Guwahati hostels, and compares the two cloud platforms under consideration. Every figure below follows from the assumptions in this section; changing an assumption changes the totals, so they are stated explicitly rather than buried.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226"/>
      </w:tblGrid>
      <w:tr>
        <w:trPr>
          <w:tblHeader/>
        </w:trPr>
        <w:tc>
          <w:tcPr>
            <w:tcW w:type="dxa" w:w="2300"/>
            <w:shd w:fill="16A34A" w:color="auto" w:val="clear"/>
            <w:tcMar>
              <w:top w:type="dxa" w:w="80"/>
              <w:left w:type="dxa" w:w="110"/>
              <w:bottom w:type="dxa" w:w="80"/>
              <w:right w:type="dxa" w:w="110"/>
            </w:tcMar>
          </w:tcPr>
          <w:p>
            <w:pPr>
              <w:jc w:val="left"/>
            </w:pPr>
            <w:r>
              <w:rPr>
                <w:b/>
                <w:bCs/>
                <w:color w:val="FFFFFF"/>
                <w:sz w:val="17"/>
                <w:szCs w:val="17"/>
              </w:rPr>
              <w:t xml:space="preserve">Parameter</w:t>
            </w:r>
          </w:p>
        </w:tc>
        <w:tc>
          <w:tcPr>
            <w:tcW w:type="dxa" w:w="2500"/>
            <w:shd w:fill="16A34A" w:color="auto" w:val="clear"/>
            <w:tcMar>
              <w:top w:type="dxa" w:w="80"/>
              <w:left w:type="dxa" w:w="110"/>
              <w:bottom w:type="dxa" w:w="80"/>
              <w:right w:type="dxa" w:w="110"/>
            </w:tcMar>
          </w:tcPr>
          <w:p>
            <w:pPr>
              <w:jc w:val="left"/>
            </w:pPr>
            <w:r>
              <w:rPr>
                <w:b/>
                <w:bCs/>
                <w:color w:val="FFFFFF"/>
                <w:sz w:val="17"/>
                <w:szCs w:val="17"/>
              </w:rPr>
              <w:t xml:space="preserve">Value</w:t>
            </w:r>
          </w:p>
        </w:tc>
        <w:tc>
          <w:tcPr>
            <w:tcW w:type="dxa" w:w="4226"/>
            <w:shd w:fill="16A34A" w:color="auto" w:val="clear"/>
            <w:tcMar>
              <w:top w:type="dxa" w:w="80"/>
              <w:left w:type="dxa" w:w="110"/>
              <w:bottom w:type="dxa" w:w="80"/>
              <w:right w:type="dxa" w:w="110"/>
            </w:tcMar>
          </w:tcPr>
          <w:p>
            <w:pPr>
              <w:jc w:val="left"/>
            </w:pPr>
            <w:r>
              <w:rPr>
                <w:b/>
                <w:bCs/>
                <w:color w:val="FFFFFF"/>
                <w:sz w:val="17"/>
                <w:szCs w:val="17"/>
              </w:rPr>
              <w:t xml:space="preserve">Note</w:t>
            </w:r>
          </w:p>
        </w:tc>
      </w:tr>
      <w:tr>
        <w:tc>
          <w:tcPr>
            <w:tcW w:type="dxa" w:w="2300"/>
            <w:tcMar>
              <w:top w:type="dxa" w:w="70"/>
              <w:left w:type="dxa" w:w="110"/>
              <w:bottom w:type="dxa" w:w="70"/>
              <w:right w:type="dxa" w:w="110"/>
            </w:tcMar>
          </w:tcPr>
          <w:p>
            <w:pPr>
              <w:jc w:val="left"/>
            </w:pPr>
            <w:r>
              <w:rPr>
                <w:b w:val="false"/>
                <w:bCs w:val="false"/>
                <w:sz w:val="17"/>
                <w:szCs w:val="17"/>
              </w:rPr>
              <w:t xml:space="preserve">Hostels</w:t>
            </w:r>
          </w:p>
        </w:tc>
        <w:tc>
          <w:tcPr>
            <w:tcW w:type="dxa" w:w="2500"/>
            <w:tcMar>
              <w:top w:type="dxa" w:w="70"/>
              <w:left w:type="dxa" w:w="110"/>
              <w:bottom w:type="dxa" w:w="70"/>
              <w:right w:type="dxa" w:w="110"/>
            </w:tcMar>
          </w:tcPr>
          <w:p>
            <w:pPr>
              <w:jc w:val="left"/>
            </w:pPr>
            <w:r>
              <w:rPr>
                <w:b w:val="false"/>
                <w:bCs w:val="false"/>
                <w:sz w:val="17"/>
                <w:szCs w:val="17"/>
              </w:rPr>
              <w:t xml:space="preserve">14</w:t>
            </w:r>
          </w:p>
        </w:tc>
        <w:tc>
          <w:tcPr>
            <w:tcW w:type="dxa" w:w="4226"/>
            <w:tcMar>
              <w:top w:type="dxa" w:w="70"/>
              <w:left w:type="dxa" w:w="110"/>
              <w:bottom w:type="dxa" w:w="70"/>
              <w:right w:type="dxa" w:w="110"/>
            </w:tcMar>
          </w:tcPr>
          <w:p>
            <w:pPr>
              <w:jc w:val="left"/>
            </w:pPr>
            <w:r>
              <w:rPr>
                <w:b w:val="false"/>
                <w:bCs w:val="false"/>
                <w:sz w:val="17"/>
                <w:szCs w:val="17"/>
              </w:rPr>
              <w:t xml:space="preserve">Full campus rollout</w:t>
            </w:r>
          </w:p>
        </w:tc>
      </w:tr>
      <w:tr>
        <w:tc>
          <w:tcPr>
            <w:tcW w:type="dxa" w:w="2300"/>
            <w:shd w:fill="F7FAF8" w:color="auto" w:val="clear"/>
            <w:tcMar>
              <w:top w:type="dxa" w:w="70"/>
              <w:left w:type="dxa" w:w="110"/>
              <w:bottom w:type="dxa" w:w="70"/>
              <w:right w:type="dxa" w:w="110"/>
            </w:tcMar>
          </w:tcPr>
          <w:p>
            <w:pPr>
              <w:jc w:val="left"/>
            </w:pPr>
            <w:r>
              <w:rPr>
                <w:b w:val="false"/>
                <w:bCs w:val="false"/>
                <w:sz w:val="17"/>
                <w:szCs w:val="17"/>
              </w:rPr>
              <w:t xml:space="preserve">Nodes (smart scales)</w:t>
            </w:r>
          </w:p>
        </w:tc>
        <w:tc>
          <w:tcPr>
            <w:tcW w:type="dxa" w:w="2500"/>
            <w:shd w:fill="F7FAF8" w:color="auto" w:val="clear"/>
            <w:tcMar>
              <w:top w:type="dxa" w:w="70"/>
              <w:left w:type="dxa" w:w="110"/>
              <w:bottom w:type="dxa" w:w="70"/>
              <w:right w:type="dxa" w:w="110"/>
            </w:tcMar>
          </w:tcPr>
          <w:p>
            <w:pPr>
              <w:jc w:val="left"/>
            </w:pPr>
            <w:r>
              <w:rPr>
                <w:b w:val="false"/>
                <w:bCs w:val="false"/>
                <w:sz w:val="17"/>
                <w:szCs w:val="17"/>
              </w:rPr>
              <w:t xml:space="preserve">28</w:t>
            </w:r>
          </w:p>
        </w:tc>
        <w:tc>
          <w:tcPr>
            <w:tcW w:type="dxa" w:w="4226"/>
            <w:shd w:fill="F7FAF8" w:color="auto" w:val="clear"/>
            <w:tcMar>
              <w:top w:type="dxa" w:w="70"/>
              <w:left w:type="dxa" w:w="110"/>
              <w:bottom w:type="dxa" w:w="70"/>
              <w:right w:type="dxa" w:w="110"/>
            </w:tcMar>
          </w:tcPr>
          <w:p>
            <w:pPr>
              <w:jc w:val="left"/>
            </w:pPr>
            <w:r>
              <w:rPr>
                <w:b w:val="false"/>
                <w:bCs w:val="false"/>
                <w:sz w:val="17"/>
                <w:szCs w:val="17"/>
              </w:rPr>
              <w:t xml:space="preserve">Minimum 2 per hostel</w:t>
            </w:r>
          </w:p>
        </w:tc>
      </w:tr>
      <w:tr>
        <w:tc>
          <w:tcPr>
            <w:tcW w:type="dxa" w:w="2300"/>
            <w:tcMar>
              <w:top w:type="dxa" w:w="70"/>
              <w:left w:type="dxa" w:w="110"/>
              <w:bottom w:type="dxa" w:w="70"/>
              <w:right w:type="dxa" w:w="110"/>
            </w:tcMar>
          </w:tcPr>
          <w:p>
            <w:pPr>
              <w:jc w:val="left"/>
            </w:pPr>
            <w:r>
              <w:rPr>
                <w:b w:val="false"/>
                <w:bCs w:val="false"/>
                <w:sz w:val="17"/>
                <w:szCs w:val="17"/>
              </w:rPr>
              <w:t xml:space="preserve">Students covered</w:t>
            </w:r>
          </w:p>
        </w:tc>
        <w:tc>
          <w:tcPr>
            <w:tcW w:type="dxa" w:w="2500"/>
            <w:tcMar>
              <w:top w:type="dxa" w:w="70"/>
              <w:left w:type="dxa" w:w="110"/>
              <w:bottom w:type="dxa" w:w="70"/>
              <w:right w:type="dxa" w:w="110"/>
            </w:tcMar>
          </w:tcPr>
          <w:p>
            <w:pPr>
              <w:jc w:val="left"/>
            </w:pPr>
            <w:r>
              <w:rPr>
                <w:b w:val="false"/>
                <w:bCs w:val="false"/>
                <w:sz w:val="17"/>
                <w:szCs w:val="17"/>
              </w:rPr>
              <w:t xml:space="preserve">~6,300</w:t>
            </w:r>
          </w:p>
        </w:tc>
        <w:tc>
          <w:tcPr>
            <w:tcW w:type="dxa" w:w="4226"/>
            <w:tcMar>
              <w:top w:type="dxa" w:w="70"/>
              <w:left w:type="dxa" w:w="110"/>
              <w:bottom w:type="dxa" w:w="70"/>
              <w:right w:type="dxa" w:w="110"/>
            </w:tcMar>
          </w:tcPr>
          <w:p>
            <w:pPr>
              <w:jc w:val="left"/>
            </w:pPr>
            <w:r>
              <w:rPr>
                <w:b w:val="false"/>
                <w:bCs w:val="false"/>
                <w:sz w:val="17"/>
                <w:szCs w:val="17"/>
              </w:rPr>
              <w:t xml:space="preserve">~450 residents per hostel</w:t>
            </w:r>
          </w:p>
        </w:tc>
      </w:tr>
      <w:tr>
        <w:tc>
          <w:tcPr>
            <w:tcW w:type="dxa" w:w="2300"/>
            <w:shd w:fill="F7FAF8" w:color="auto" w:val="clear"/>
            <w:tcMar>
              <w:top w:type="dxa" w:w="70"/>
              <w:left w:type="dxa" w:w="110"/>
              <w:bottom w:type="dxa" w:w="70"/>
              <w:right w:type="dxa" w:w="110"/>
            </w:tcMar>
          </w:tcPr>
          <w:p>
            <w:pPr>
              <w:jc w:val="left"/>
            </w:pPr>
            <w:r>
              <w:rPr>
                <w:b w:val="false"/>
                <w:bCs w:val="false"/>
                <w:sz w:val="17"/>
                <w:szCs w:val="17"/>
              </w:rPr>
              <w:t xml:space="preserve">Message model</w:t>
            </w:r>
          </w:p>
        </w:tc>
        <w:tc>
          <w:tcPr>
            <w:tcW w:type="dxa" w:w="2500"/>
            <w:shd w:fill="F7FAF8" w:color="auto" w:val="clear"/>
            <w:tcMar>
              <w:top w:type="dxa" w:w="70"/>
              <w:left w:type="dxa" w:w="110"/>
              <w:bottom w:type="dxa" w:w="70"/>
              <w:right w:type="dxa" w:w="110"/>
            </w:tcMar>
          </w:tcPr>
          <w:p>
            <w:pPr>
              <w:jc w:val="left"/>
            </w:pPr>
            <w:r>
              <w:rPr>
                <w:b w:val="false"/>
                <w:bCs w:val="false"/>
                <w:sz w:val="17"/>
                <w:szCs w:val="17"/>
              </w:rPr>
              <w:t xml:space="preserve">1 message per disposal event</w:t>
            </w:r>
          </w:p>
        </w:tc>
        <w:tc>
          <w:tcPr>
            <w:tcW w:type="dxa" w:w="4226"/>
            <w:shd w:fill="F7FAF8" w:color="auto" w:val="clear"/>
            <w:tcMar>
              <w:top w:type="dxa" w:w="70"/>
              <w:left w:type="dxa" w:w="110"/>
              <w:bottom w:type="dxa" w:w="70"/>
              <w:right w:type="dxa" w:w="110"/>
            </w:tcMar>
          </w:tcPr>
          <w:p>
            <w:pPr>
              <w:jc w:val="left"/>
            </w:pPr>
            <w:r>
              <w:rPr>
                <w:b w:val="false"/>
                <w:bCs w:val="false"/>
                <w:sz w:val="17"/>
                <w:szCs w:val="17"/>
              </w:rPr>
              <w:t xml:space="preserve">Weight, hostel code and Wi-Fi signal sent together</w:t>
            </w:r>
          </w:p>
        </w:tc>
      </w:tr>
      <w:tr>
        <w:tc>
          <w:tcPr>
            <w:tcW w:type="dxa" w:w="2300"/>
            <w:tcMar>
              <w:top w:type="dxa" w:w="70"/>
              <w:left w:type="dxa" w:w="110"/>
              <w:bottom w:type="dxa" w:w="70"/>
              <w:right w:type="dxa" w:w="110"/>
            </w:tcMar>
          </w:tcPr>
          <w:p>
            <w:pPr>
              <w:jc w:val="left"/>
            </w:pPr>
            <w:r>
              <w:rPr>
                <w:b w:val="false"/>
                <w:bCs w:val="false"/>
                <w:sz w:val="17"/>
                <w:szCs w:val="17"/>
              </w:rPr>
              <w:t xml:space="preserve">Operating days</w:t>
            </w:r>
          </w:p>
        </w:tc>
        <w:tc>
          <w:tcPr>
            <w:tcW w:type="dxa" w:w="2500"/>
            <w:tcMar>
              <w:top w:type="dxa" w:w="70"/>
              <w:left w:type="dxa" w:w="110"/>
              <w:bottom w:type="dxa" w:w="70"/>
              <w:right w:type="dxa" w:w="110"/>
            </w:tcMar>
          </w:tcPr>
          <w:p>
            <w:pPr>
              <w:jc w:val="left"/>
            </w:pPr>
            <w:r>
              <w:rPr>
                <w:b w:val="false"/>
                <w:bCs w:val="false"/>
                <w:sz w:val="17"/>
                <w:szCs w:val="17"/>
              </w:rPr>
              <w:t xml:space="preserve">365</w:t>
            </w:r>
          </w:p>
        </w:tc>
        <w:tc>
          <w:tcPr>
            <w:tcW w:type="dxa" w:w="4226"/>
            <w:tcMar>
              <w:top w:type="dxa" w:w="70"/>
              <w:left w:type="dxa" w:w="110"/>
              <w:bottom w:type="dxa" w:w="70"/>
              <w:right w:type="dxa" w:w="110"/>
            </w:tcMar>
          </w:tcPr>
          <w:p>
            <w:pPr>
              <w:jc w:val="left"/>
            </w:pPr>
            <w:r>
              <w:rPr>
                <w:b w:val="false"/>
                <w:bCs w:val="false"/>
                <w:sz w:val="17"/>
                <w:szCs w:val="17"/>
              </w:rPr>
              <w:t xml:space="preserve">On a ~280-day academic calendar, volumes fall ~23%</w:t>
            </w:r>
          </w:p>
        </w:tc>
      </w:tr>
      <w:tr>
        <w:tc>
          <w:tcPr>
            <w:tcW w:type="dxa" w:w="2300"/>
            <w:shd w:fill="F7FAF8" w:color="auto" w:val="clear"/>
            <w:tcMar>
              <w:top w:type="dxa" w:w="70"/>
              <w:left w:type="dxa" w:w="110"/>
              <w:bottom w:type="dxa" w:w="70"/>
              <w:right w:type="dxa" w:w="110"/>
            </w:tcMar>
          </w:tcPr>
          <w:p>
            <w:pPr>
              <w:jc w:val="left"/>
            </w:pPr>
            <w:r>
              <w:rPr>
                <w:b w:val="false"/>
                <w:bCs w:val="false"/>
                <w:sz w:val="17"/>
                <w:szCs w:val="17"/>
              </w:rPr>
              <w:t xml:space="preserve">Connectivity</w:t>
            </w:r>
          </w:p>
        </w:tc>
        <w:tc>
          <w:tcPr>
            <w:tcW w:type="dxa" w:w="2500"/>
            <w:shd w:fill="F7FAF8" w:color="auto" w:val="clear"/>
            <w:tcMar>
              <w:top w:type="dxa" w:w="70"/>
              <w:left w:type="dxa" w:w="110"/>
              <w:bottom w:type="dxa" w:w="70"/>
              <w:right w:type="dxa" w:w="110"/>
            </w:tcMar>
          </w:tcPr>
          <w:p>
            <w:pPr>
              <w:jc w:val="left"/>
            </w:pPr>
            <w:r>
              <w:rPr>
                <w:b w:val="false"/>
                <w:bCs w:val="false"/>
                <w:sz w:val="17"/>
                <w:szCs w:val="17"/>
              </w:rPr>
              <w:t xml:space="preserve">Campus Wi-Fi</w:t>
            </w:r>
          </w:p>
        </w:tc>
        <w:tc>
          <w:tcPr>
            <w:tcW w:type="dxa" w:w="4226"/>
            <w:shd w:fill="F7FAF8" w:color="auto" w:val="clear"/>
            <w:tcMar>
              <w:top w:type="dxa" w:w="70"/>
              <w:left w:type="dxa" w:w="110"/>
              <w:bottom w:type="dxa" w:w="70"/>
              <w:right w:type="dxa" w:w="110"/>
            </w:tcMar>
          </w:tcPr>
          <w:p>
            <w:pPr>
              <w:jc w:val="left"/>
            </w:pPr>
            <w:r>
              <w:rPr>
                <w:b w:val="false"/>
                <w:bCs w:val="false"/>
                <w:sz w:val="17"/>
                <w:szCs w:val="17"/>
              </w:rPr>
              <w:t xml:space="preserve">Assumed free; 4G SIMs would add ~₹200/node/month</w:t>
            </w:r>
          </w:p>
        </w:tc>
      </w:tr>
      <w:tr>
        <w:tc>
          <w:tcPr>
            <w:tcW w:type="dxa" w:w="2300"/>
            <w:tcMar>
              <w:top w:type="dxa" w:w="70"/>
              <w:left w:type="dxa" w:w="110"/>
              <w:bottom w:type="dxa" w:w="70"/>
              <w:right w:type="dxa" w:w="110"/>
            </w:tcMar>
          </w:tcPr>
          <w:p>
            <w:pPr>
              <w:jc w:val="left"/>
            </w:pPr>
            <w:r>
              <w:rPr>
                <w:b w:val="false"/>
                <w:bCs w:val="false"/>
                <w:sz w:val="17"/>
                <w:szCs w:val="17"/>
              </w:rPr>
              <w:t xml:space="preserve">Exchange rate</w:t>
            </w:r>
          </w:p>
        </w:tc>
        <w:tc>
          <w:tcPr>
            <w:tcW w:type="dxa" w:w="2500"/>
            <w:tcMar>
              <w:top w:type="dxa" w:w="70"/>
              <w:left w:type="dxa" w:w="110"/>
              <w:bottom w:type="dxa" w:w="70"/>
              <w:right w:type="dxa" w:w="110"/>
            </w:tcMar>
          </w:tcPr>
          <w:p>
            <w:pPr>
              <w:jc w:val="left"/>
            </w:pPr>
            <w:r>
              <w:rPr>
                <w:b w:val="false"/>
                <w:bCs w:val="false"/>
                <w:sz w:val="17"/>
                <w:szCs w:val="17"/>
              </w:rPr>
              <w:t xml:space="preserve">₹87 = US$1</w:t>
            </w:r>
          </w:p>
        </w:tc>
        <w:tc>
          <w:tcPr>
            <w:tcW w:type="dxa" w:w="4226"/>
            <w:tcMar>
              <w:top w:type="dxa" w:w="70"/>
              <w:left w:type="dxa" w:w="110"/>
              <w:bottom w:type="dxa" w:w="70"/>
              <w:right w:type="dxa" w:w="110"/>
            </w:tcMar>
          </w:tcPr>
          <w:p>
            <w:pPr>
              <w:jc w:val="left"/>
            </w:pPr>
            <w:r>
              <w:rPr>
                <w:b w:val="false"/>
                <w:bCs w:val="false"/>
                <w:sz w:val="17"/>
                <w:szCs w:val="17"/>
              </w:rPr>
              <w:t xml:space="preserve">Adjust if the rate moves materially</w:t>
            </w:r>
          </w:p>
        </w:tc>
      </w:tr>
    </w:tbl>
    <w:p>
      <w:pPr>
        <w:pStyle w:val="Heading2"/>
        <w:spacing w:after="100" w:before="220"/>
      </w:pPr>
      <w:r>
        <w:t xml:space="preserve">1.1 Data volume — the number that drives every cloud quote</w:t>
      </w:r>
    </w:p>
    <w:p>
      <w:pPr>
        <w:spacing w:after="110" w:line="280"/>
        <w:jc w:val="both"/>
      </w:pPr>
      <w:r>
        <w:rPr>
          <w:b w:val="false"/>
          <w:bCs w:val="false"/>
          <w:i w:val="false"/>
          <w:iCs w:val="false"/>
          <w:color w:val="101828"/>
          <w:sz w:val="20"/>
          <w:szCs w:val="20"/>
        </w:rPr>
        <w:t xml:space="preserve">Cloud platforms bill primarily on message count, so the disposal-event rate determines the entire cloud line. Three scenarios are modelled; the Base case is used for all budgets that follow.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shd w:fill="16A34A" w:color="auto" w:val="clear"/>
            <w:tcMar>
              <w:top w:type="dxa" w:w="80"/>
              <w:left w:type="dxa" w:w="110"/>
              <w:bottom w:type="dxa" w:w="80"/>
              <w:right w:type="dxa" w:w="110"/>
            </w:tcMar>
          </w:tcPr>
          <w:p>
            <w:pPr>
              <w:jc w:val="left"/>
            </w:pPr>
            <w:r>
              <w:rPr>
                <w:b/>
                <w:bCs/>
                <w:color w:val="FFFFFF"/>
                <w:sz w:val="17"/>
                <w:szCs w:val="17"/>
              </w:rPr>
              <w:t xml:space="preserve">Scenario</w:t>
            </w:r>
          </w:p>
        </w:tc>
        <w:tc>
          <w:tcPr>
            <w:tcW w:type="dxa" w:w="3000"/>
            <w:shd w:fill="16A34A" w:color="auto" w:val="clear"/>
            <w:tcMar>
              <w:top w:type="dxa" w:w="80"/>
              <w:left w:type="dxa" w:w="110"/>
              <w:bottom w:type="dxa" w:w="80"/>
              <w:right w:type="dxa" w:w="110"/>
            </w:tcMar>
          </w:tcPr>
          <w:p>
            <w:pPr>
              <w:jc w:val="right"/>
            </w:pPr>
            <w:r>
              <w:rPr>
                <w:b/>
                <w:bCs/>
                <w:color w:val="FFFFFF"/>
                <w:sz w:val="17"/>
                <w:szCs w:val="17"/>
              </w:rPr>
              <w:t xml:space="preserve">Events / node / day</w:t>
            </w:r>
          </w:p>
        </w:tc>
        <w:tc>
          <w:tcPr>
            <w:tcW w:type="dxa" w:w="3426"/>
            <w:shd w:fill="16A34A" w:color="auto" w:val="clear"/>
            <w:tcMar>
              <w:top w:type="dxa" w:w="80"/>
              <w:left w:type="dxa" w:w="110"/>
              <w:bottom w:type="dxa" w:w="80"/>
              <w:right w:type="dxa" w:w="110"/>
            </w:tcMar>
          </w:tcPr>
          <w:p>
            <w:pPr>
              <w:jc w:val="right"/>
            </w:pPr>
            <w:r>
              <w:rPr>
                <w:b/>
                <w:bCs/>
                <w:color w:val="FFFFFF"/>
                <w:sz w:val="17"/>
                <w:szCs w:val="17"/>
              </w:rPr>
              <w:t xml:space="preserve">Messages / year</w:t>
            </w:r>
          </w:p>
        </w:tc>
      </w:tr>
      <w:tr>
        <w:tc>
          <w:tcPr>
            <w:tcW w:type="dxa" w:w="2600"/>
            <w:tcMar>
              <w:top w:type="dxa" w:w="70"/>
              <w:left w:type="dxa" w:w="110"/>
              <w:bottom w:type="dxa" w:w="70"/>
              <w:right w:type="dxa" w:w="110"/>
            </w:tcMar>
          </w:tcPr>
          <w:p>
            <w:pPr>
              <w:jc w:val="left"/>
            </w:pPr>
            <w:r>
              <w:rPr>
                <w:b w:val="false"/>
                <w:bCs w:val="false"/>
                <w:sz w:val="17"/>
                <w:szCs w:val="17"/>
              </w:rPr>
              <w:t xml:space="preserve">Low</w:t>
            </w:r>
          </w:p>
        </w:tc>
        <w:tc>
          <w:tcPr>
            <w:tcW w:type="dxa" w:w="3000"/>
            <w:tcMar>
              <w:top w:type="dxa" w:w="70"/>
              <w:left w:type="dxa" w:w="110"/>
              <w:bottom w:type="dxa" w:w="70"/>
              <w:right w:type="dxa" w:w="110"/>
            </w:tcMar>
          </w:tcPr>
          <w:p>
            <w:pPr>
              <w:jc w:val="right"/>
            </w:pPr>
            <w:r>
              <w:rPr>
                <w:b w:val="false"/>
                <w:bCs w:val="false"/>
                <w:sz w:val="17"/>
                <w:szCs w:val="17"/>
              </w:rPr>
              <w:t xml:space="preserve">200</w:t>
            </w:r>
          </w:p>
        </w:tc>
        <w:tc>
          <w:tcPr>
            <w:tcW w:type="dxa" w:w="3426"/>
            <w:tcMar>
              <w:top w:type="dxa" w:w="70"/>
              <w:left w:type="dxa" w:w="110"/>
              <w:bottom w:type="dxa" w:w="70"/>
              <w:right w:type="dxa" w:w="110"/>
            </w:tcMar>
          </w:tcPr>
          <w:p>
            <w:pPr>
              <w:jc w:val="right"/>
            </w:pPr>
            <w:r>
              <w:rPr>
                <w:b w:val="false"/>
                <w:bCs w:val="false"/>
                <w:sz w:val="17"/>
                <w:szCs w:val="17"/>
              </w:rPr>
              <w:t xml:space="preserve">2.04 million</w:t>
            </w:r>
          </w:p>
        </w:tc>
      </w:tr>
      <w:tr>
        <w:tc>
          <w:tcPr>
            <w:tcW w:type="dxa" w:w="2600"/>
            <w:shd w:fill="F7FAF8" w:color="auto" w:val="clear"/>
            <w:tcMar>
              <w:top w:type="dxa" w:w="70"/>
              <w:left w:type="dxa" w:w="110"/>
              <w:bottom w:type="dxa" w:w="70"/>
              <w:right w:type="dxa" w:w="110"/>
            </w:tcMar>
          </w:tcPr>
          <w:p>
            <w:pPr>
              <w:jc w:val="left"/>
            </w:pPr>
            <w:r>
              <w:rPr>
                <w:b w:val="false"/>
                <w:bCs w:val="false"/>
                <w:sz w:val="17"/>
                <w:szCs w:val="17"/>
              </w:rPr>
              <w:t xml:space="preserve">Base (used throughout)</w:t>
            </w:r>
          </w:p>
        </w:tc>
        <w:tc>
          <w:tcPr>
            <w:tcW w:type="dxa" w:w="3000"/>
            <w:shd w:fill="F7FAF8" w:color="auto" w:val="clear"/>
            <w:tcMar>
              <w:top w:type="dxa" w:w="70"/>
              <w:left w:type="dxa" w:w="110"/>
              <w:bottom w:type="dxa" w:w="70"/>
              <w:right w:type="dxa" w:w="110"/>
            </w:tcMar>
          </w:tcPr>
          <w:p>
            <w:pPr>
              <w:jc w:val="right"/>
            </w:pPr>
            <w:r>
              <w:rPr>
                <w:b w:val="false"/>
                <w:bCs w:val="false"/>
                <w:sz w:val="17"/>
                <w:szCs w:val="17"/>
              </w:rPr>
              <w:t xml:space="preserve">400</w:t>
            </w:r>
          </w:p>
        </w:tc>
        <w:tc>
          <w:tcPr>
            <w:tcW w:type="dxa" w:w="3426"/>
            <w:shd w:fill="F7FAF8" w:color="auto" w:val="clear"/>
            <w:tcMar>
              <w:top w:type="dxa" w:w="70"/>
              <w:left w:type="dxa" w:w="110"/>
              <w:bottom w:type="dxa" w:w="70"/>
              <w:right w:type="dxa" w:w="110"/>
            </w:tcMar>
          </w:tcPr>
          <w:p>
            <w:pPr>
              <w:jc w:val="right"/>
            </w:pPr>
            <w:r>
              <w:rPr>
                <w:b w:val="false"/>
                <w:bCs w:val="false"/>
                <w:sz w:val="17"/>
                <w:szCs w:val="17"/>
              </w:rPr>
              <w:t xml:space="preserve">4.09 million</w:t>
            </w:r>
          </w:p>
        </w:tc>
      </w:tr>
      <w:tr>
        <w:tc>
          <w:tcPr>
            <w:tcW w:type="dxa" w:w="2600"/>
            <w:tcMar>
              <w:top w:type="dxa" w:w="70"/>
              <w:left w:type="dxa" w:w="110"/>
              <w:bottom w:type="dxa" w:w="70"/>
              <w:right w:type="dxa" w:w="110"/>
            </w:tcMar>
          </w:tcPr>
          <w:p>
            <w:pPr>
              <w:jc w:val="left"/>
            </w:pPr>
            <w:r>
              <w:rPr>
                <w:b w:val="false"/>
                <w:bCs w:val="false"/>
                <w:sz w:val="17"/>
                <w:szCs w:val="17"/>
              </w:rPr>
              <w:t xml:space="preserve">High</w:t>
            </w:r>
          </w:p>
        </w:tc>
        <w:tc>
          <w:tcPr>
            <w:tcW w:type="dxa" w:w="3000"/>
            <w:tcMar>
              <w:top w:type="dxa" w:w="70"/>
              <w:left w:type="dxa" w:w="110"/>
              <w:bottom w:type="dxa" w:w="70"/>
              <w:right w:type="dxa" w:w="110"/>
            </w:tcMar>
          </w:tcPr>
          <w:p>
            <w:pPr>
              <w:jc w:val="right"/>
            </w:pPr>
            <w:r>
              <w:rPr>
                <w:b w:val="false"/>
                <w:bCs w:val="false"/>
                <w:sz w:val="17"/>
                <w:szCs w:val="17"/>
              </w:rPr>
              <w:t xml:space="preserve">800</w:t>
            </w:r>
          </w:p>
        </w:tc>
        <w:tc>
          <w:tcPr>
            <w:tcW w:type="dxa" w:w="3426"/>
            <w:tcMar>
              <w:top w:type="dxa" w:w="70"/>
              <w:left w:type="dxa" w:w="110"/>
              <w:bottom w:type="dxa" w:w="70"/>
              <w:right w:type="dxa" w:w="110"/>
            </w:tcMar>
          </w:tcPr>
          <w:p>
            <w:pPr>
              <w:jc w:val="right"/>
            </w:pPr>
            <w:r>
              <w:rPr>
                <w:b w:val="false"/>
                <w:bCs w:val="false"/>
                <w:sz w:val="17"/>
                <w:szCs w:val="17"/>
              </w:rPr>
              <w:t xml:space="preserve">8.18 million</w:t>
            </w:r>
          </w:p>
        </w:tc>
      </w:tr>
    </w:tbl>
    <w:p>
      <w:pPr>
        <w:spacing w:after="120"/>
      </w:pPr>
    </w:p>
    <w:p>
      <w:pPr>
        <w:spacing w:after="110" w:line="280"/>
        <w:jc w:val="both"/>
      </w:pPr>
      <w:r>
        <w:rPr>
          <w:b w:val="false"/>
          <w:bCs w:val="false"/>
          <w:i w:val="false"/>
          <w:iCs w:val="false"/>
          <w:color w:val="101828"/>
          <w:sz w:val="20"/>
          <w:szCs w:val="20"/>
        </w:rPr>
        <w:t xml:space="preserve">Even the High scenario stays well inside one ThingSpeak unit (33 million) and is trivial for AWS, so the platform choice is not constrained by capacity — it is decided almost entirely by price and by which features are actually used.</w:t>
      </w:r>
    </w:p>
    <w:p>
      <w:pPr>
        <w:pStyle w:val="Heading1"/>
        <w:spacing w:after="150" w:before="300"/>
      </w:pPr>
      <w:r>
        <w:t xml:space="preserve">2. Key Finding</w:t>
      </w:r>
    </w:p>
    <w:p>
      <w:pPr>
        <w:pBdr>
          <w:top w:val="single" w:color="16A34A" w:sz="2"/>
          <w:bottom w:val="single" w:color="16A34A" w:sz="2"/>
          <w:left w:val="single" w:color="16A34A" w:sz="12"/>
          <w:right w:val="single" w:color="16A34A" w:sz="2"/>
        </w:pBdr>
        <w:shd w:fill="EAF7EF" w:color="auto" w:val="clear"/>
        <w:spacing w:after="140" w:before="120" w:line="280"/>
      </w:pPr>
      <w:r>
        <w:rPr>
          <w:b/>
          <w:bCs/>
          <w:color w:val="16A34A"/>
          <w:sz w:val="20"/>
          <w:szCs w:val="20"/>
        </w:rPr>
        <w:t xml:space="preserve">HEADLINE  </w:t>
      </w:r>
      <w:r>
        <w:rPr>
          <w:color w:val="101828"/>
          <w:sz w:val="20"/>
          <w:szCs w:val="20"/>
        </w:rPr>
        <w:t xml:space="preserve">ThingSpeak’s free tier cannot carry this deployment, and its paid tier costs roughly fifty times more than AWS for the same volume. At Base load, AWS data charges are about US$12 per year against US$650 per year for ThingSpeak Standard.</w:t>
      </w:r>
    </w:p>
    <w:p>
      <w:pPr>
        <w:spacing w:after="110" w:line="280"/>
        <w:jc w:val="both"/>
      </w:pPr>
      <w:r>
        <w:rPr>
          <w:b w:val="false"/>
          <w:bCs w:val="false"/>
          <w:i w:val="false"/>
          <w:iCs w:val="false"/>
          <w:color w:val="101828"/>
          <w:sz w:val="20"/>
          <w:szCs w:val="20"/>
        </w:rPr>
        <w:t xml:space="preserve">Two independent factors rule out the ThingSpeak free tier:</w:t>
      </w:r>
    </w:p>
    <w:p>
      <w:pPr>
        <w:pStyle w:val="ListParagraph"/>
        <w:numPr>
          <w:ilvl w:val="0"/>
          <w:numId w:val="2"/>
        </w:numPr>
        <w:spacing w:after="70" w:line="280"/>
      </w:pPr>
      <w:r>
        <w:rPr>
          <w:color w:val="101828"/>
          <w:sz w:val="20"/>
          <w:szCs w:val="20"/>
        </w:rPr>
        <w:t xml:space="preserve">Capacity — the free tier allows 3 million messages per year. The Base case consumes 4.09 million.</w:t>
      </w:r>
    </w:p>
    <w:p>
      <w:pPr>
        <w:pStyle w:val="ListParagraph"/>
        <w:numPr>
          <w:ilvl w:val="0"/>
          <w:numId w:val="2"/>
        </w:numPr>
        <w:spacing w:after="70" w:line="280"/>
      </w:pPr>
      <w:r>
        <w:rPr>
          <w:color w:val="101828"/>
          <w:sz w:val="20"/>
          <w:szCs w:val="20"/>
        </w:rPr>
        <w:t xml:space="preserve">Licensing — the free tier is restricted to non-commercial use. The moment sponsor advertisements are displayed, the deployment becomes commercial, which also places the Home and (arguably) Academic licences out of scope.</w:t>
      </w:r>
    </w:p>
    <w:p>
      <w:pPr>
        <w:spacing w:after="60"/>
      </w:pPr>
    </w:p>
    <w:p>
      <w:pPr>
        <w:spacing w:after="110" w:line="280"/>
        <w:jc w:val="both"/>
      </w:pPr>
      <w:r>
        <w:rPr>
          <w:b/>
          <w:bCs/>
          <w:i w:val="false"/>
          <w:iCs w:val="false"/>
          <w:color w:val="101828"/>
          <w:sz w:val="20"/>
          <w:szCs w:val="20"/>
        </w:rPr>
        <w:t xml:space="preserve">Why the gap is so large. </w:t>
      </w:r>
      <w:r>
        <w:rPr>
          <w:b w:val="false"/>
          <w:bCs w:val="false"/>
          <w:i w:val="false"/>
          <w:iCs w:val="false"/>
          <w:color w:val="101828"/>
          <w:sz w:val="20"/>
          <w:szCs w:val="20"/>
        </w:rPr>
        <w:t xml:space="preserve">A ThingSpeak licence bundles data storage together with hosted dashboards, charts and MATLAB analytics. WasteWise does not use any of them — the project already has its own Node.js backend, its own analytics and its own bento dashboard, and reaches ThingSpeak only as a time-series table through a server-side proxy. Paying commercial rates for a feature set that is bypassed is the single largest avoidable cost in this budget.</w:t>
      </w:r>
    </w:p>
    <w:p>
      <w:r>
        <w:br w:type="page"/>
      </w:r>
    </w:p>
    <w:p>
      <w:pPr>
        <w:pStyle w:val="Heading1"/>
        <w:spacing w:after="150" w:before="300"/>
      </w:pPr>
      <w:r>
        <w:t xml:space="preserve">3. Cloud Platform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80"/>
        <w:gridCol w:w="2523"/>
        <w:gridCol w:w="2123"/>
      </w:tblGrid>
      <w:tr>
        <w:trPr>
          <w:tblHeader/>
        </w:trPr>
        <w:tc>
          <w:tcPr>
            <w:tcW w:type="dxa" w:w="2000"/>
            <w:shd w:fill="16A34A" w:color="auto" w:val="clear"/>
            <w:tcMar>
              <w:top w:type="dxa" w:w="80"/>
              <w:left w:type="dxa" w:w="110"/>
              <w:bottom w:type="dxa" w:w="80"/>
              <w:right w:type="dxa" w:w="110"/>
            </w:tcMar>
          </w:tcPr>
          <w:p>
            <w:pPr>
              <w:jc w:val="left"/>
            </w:pPr>
            <w:r>
              <w:rPr>
                <w:b/>
                <w:bCs/>
                <w:color w:val="FFFFFF"/>
                <w:sz w:val="17"/>
                <w:szCs w:val="17"/>
              </w:rPr>
              <w:t xml:space="preserve">Criterion</w:t>
            </w:r>
          </w:p>
        </w:tc>
        <w:tc>
          <w:tcPr>
            <w:tcW w:type="dxa" w:w="2380"/>
            <w:shd w:fill="16A34A" w:color="auto" w:val="clear"/>
            <w:tcMar>
              <w:top w:type="dxa" w:w="80"/>
              <w:left w:type="dxa" w:w="110"/>
              <w:bottom w:type="dxa" w:w="80"/>
              <w:right w:type="dxa" w:w="110"/>
            </w:tcMar>
          </w:tcPr>
          <w:p>
            <w:pPr>
              <w:jc w:val="left"/>
            </w:pPr>
            <w:r>
              <w:rPr>
                <w:b/>
                <w:bCs/>
                <w:color w:val="FFFFFF"/>
                <w:sz w:val="17"/>
                <w:szCs w:val="17"/>
              </w:rPr>
              <w:t xml:space="preserve">ThingSpeak (Standard)</w:t>
            </w:r>
          </w:p>
        </w:tc>
        <w:tc>
          <w:tcPr>
            <w:tcW w:type="dxa" w:w="2523"/>
            <w:shd w:fill="16A34A" w:color="auto" w:val="clear"/>
            <w:tcMar>
              <w:top w:type="dxa" w:w="80"/>
              <w:left w:type="dxa" w:w="110"/>
              <w:bottom w:type="dxa" w:w="80"/>
              <w:right w:type="dxa" w:w="110"/>
            </w:tcMar>
          </w:tcPr>
          <w:p>
            <w:pPr>
              <w:jc w:val="left"/>
            </w:pPr>
            <w:r>
              <w:rPr>
                <w:b/>
                <w:bCs/>
                <w:color w:val="FFFFFF"/>
                <w:sz w:val="17"/>
                <w:szCs w:val="17"/>
              </w:rPr>
              <w:t xml:space="preserve">AWS (IoT Core + DynamoDB)</w:t>
            </w:r>
          </w:p>
        </w:tc>
        <w:tc>
          <w:tcPr>
            <w:tcW w:type="dxa" w:w="2123"/>
            <w:shd w:fill="16A34A" w:color="auto" w:val="clear"/>
            <w:tcMar>
              <w:top w:type="dxa" w:w="80"/>
              <w:left w:type="dxa" w:w="110"/>
              <w:bottom w:type="dxa" w:w="80"/>
              <w:right w:type="dxa" w:w="110"/>
            </w:tcMar>
          </w:tcPr>
          <w:p>
            <w:pPr>
              <w:jc w:val="left"/>
            </w:pPr>
            <w:r>
              <w:rPr>
                <w:b/>
                <w:bCs/>
                <w:color w:val="FFFFFF"/>
                <w:sz w:val="17"/>
                <w:szCs w:val="17"/>
              </w:rPr>
              <w:t xml:space="preserve">Self-hosted VPS</w:t>
            </w:r>
          </w:p>
        </w:tc>
      </w:tr>
      <w:tr>
        <w:tc>
          <w:tcPr>
            <w:tcW w:type="dxa" w:w="2000"/>
            <w:tcMar>
              <w:top w:type="dxa" w:w="70"/>
              <w:left w:type="dxa" w:w="110"/>
              <w:bottom w:type="dxa" w:w="70"/>
              <w:right w:type="dxa" w:w="110"/>
            </w:tcMar>
          </w:tcPr>
          <w:p>
            <w:pPr>
              <w:jc w:val="left"/>
            </w:pPr>
            <w:r>
              <w:rPr>
                <w:b w:val="false"/>
                <w:bCs w:val="false"/>
                <w:sz w:val="17"/>
                <w:szCs w:val="17"/>
              </w:rPr>
              <w:t xml:space="preserve">Data cost / year</w:t>
            </w:r>
          </w:p>
        </w:tc>
        <w:tc>
          <w:tcPr>
            <w:tcW w:type="dxa" w:w="2380"/>
            <w:tcMar>
              <w:top w:type="dxa" w:w="70"/>
              <w:left w:type="dxa" w:w="110"/>
              <w:bottom w:type="dxa" w:w="70"/>
              <w:right w:type="dxa" w:w="110"/>
            </w:tcMar>
          </w:tcPr>
          <w:p>
            <w:pPr>
              <w:jc w:val="left"/>
            </w:pPr>
            <w:r>
              <w:rPr>
                <w:b w:val="false"/>
                <w:bCs w:val="false"/>
                <w:sz w:val="17"/>
                <w:szCs w:val="17"/>
              </w:rPr>
              <w:t xml:space="preserve">US$650  (₹56,550)</w:t>
            </w:r>
          </w:p>
        </w:tc>
        <w:tc>
          <w:tcPr>
            <w:tcW w:type="dxa" w:w="2523"/>
            <w:tcMar>
              <w:top w:type="dxa" w:w="70"/>
              <w:left w:type="dxa" w:w="110"/>
              <w:bottom w:type="dxa" w:w="70"/>
              <w:right w:type="dxa" w:w="110"/>
            </w:tcMar>
          </w:tcPr>
          <w:p>
            <w:pPr>
              <w:jc w:val="left"/>
            </w:pPr>
            <w:r>
              <w:rPr>
                <w:b w:val="false"/>
                <w:bCs w:val="false"/>
                <w:sz w:val="17"/>
                <w:szCs w:val="17"/>
              </w:rPr>
              <w:t xml:space="preserve">US$12  (₹1,050)</w:t>
            </w:r>
          </w:p>
        </w:tc>
        <w:tc>
          <w:tcPr>
            <w:tcW w:type="dxa" w:w="2123"/>
            <w:tcMar>
              <w:top w:type="dxa" w:w="70"/>
              <w:left w:type="dxa" w:w="110"/>
              <w:bottom w:type="dxa" w:w="70"/>
              <w:right w:type="dxa" w:w="110"/>
            </w:tcMar>
          </w:tcPr>
          <w:p>
            <w:pPr>
              <w:jc w:val="left"/>
            </w:pPr>
            <w:r>
              <w:rPr>
                <w:b w:val="false"/>
                <w:bCs w:val="false"/>
                <w:sz w:val="17"/>
                <w:szCs w:val="17"/>
              </w:rPr>
              <w:t xml:space="preserve">included in VPS</w:t>
            </w:r>
          </w:p>
        </w:tc>
      </w:tr>
      <w:tr>
        <w:tc>
          <w:tcPr>
            <w:tcW w:type="dxa" w:w="2000"/>
            <w:shd w:fill="F7FAF8" w:color="auto" w:val="clear"/>
            <w:tcMar>
              <w:top w:type="dxa" w:w="70"/>
              <w:left w:type="dxa" w:w="110"/>
              <w:bottom w:type="dxa" w:w="70"/>
              <w:right w:type="dxa" w:w="110"/>
            </w:tcMar>
          </w:tcPr>
          <w:p>
            <w:pPr>
              <w:jc w:val="left"/>
            </w:pPr>
            <w:r>
              <w:rPr>
                <w:b w:val="false"/>
                <w:bCs w:val="false"/>
                <w:sz w:val="17"/>
                <w:szCs w:val="17"/>
              </w:rPr>
              <w:t xml:space="preserve">App hosting / year</w:t>
            </w:r>
          </w:p>
        </w:tc>
        <w:tc>
          <w:tcPr>
            <w:tcW w:type="dxa" w:w="2380"/>
            <w:shd w:fill="F7FAF8" w:color="auto" w:val="clear"/>
            <w:tcMar>
              <w:top w:type="dxa" w:w="70"/>
              <w:left w:type="dxa" w:w="110"/>
              <w:bottom w:type="dxa" w:w="70"/>
              <w:right w:type="dxa" w:w="110"/>
            </w:tcMar>
          </w:tcPr>
          <w:p>
            <w:pPr>
              <w:jc w:val="left"/>
            </w:pPr>
            <w:r>
              <w:rPr>
                <w:b w:val="false"/>
                <w:bCs w:val="false"/>
                <w:sz w:val="17"/>
                <w:szCs w:val="17"/>
              </w:rPr>
              <w:t xml:space="preserve">Vercel free tier</w:t>
            </w:r>
          </w:p>
        </w:tc>
        <w:tc>
          <w:tcPr>
            <w:tcW w:type="dxa" w:w="2523"/>
            <w:shd w:fill="F7FAF8" w:color="auto" w:val="clear"/>
            <w:tcMar>
              <w:top w:type="dxa" w:w="70"/>
              <w:left w:type="dxa" w:w="110"/>
              <w:bottom w:type="dxa" w:w="70"/>
              <w:right w:type="dxa" w:w="110"/>
            </w:tcMar>
          </w:tcPr>
          <w:p>
            <w:pPr>
              <w:jc w:val="left"/>
            </w:pPr>
            <w:r>
              <w:rPr>
                <w:b w:val="false"/>
                <w:bCs w:val="false"/>
                <w:sz w:val="17"/>
                <w:szCs w:val="17"/>
              </w:rPr>
              <w:t xml:space="preserve">Lightsail US$60 (₹5,220)</w:t>
            </w:r>
          </w:p>
        </w:tc>
        <w:tc>
          <w:tcPr>
            <w:tcW w:type="dxa" w:w="2123"/>
            <w:shd w:fill="F7FAF8" w:color="auto" w:val="clear"/>
            <w:tcMar>
              <w:top w:type="dxa" w:w="70"/>
              <w:left w:type="dxa" w:w="110"/>
              <w:bottom w:type="dxa" w:w="70"/>
              <w:right w:type="dxa" w:w="110"/>
            </w:tcMar>
          </w:tcPr>
          <w:p>
            <w:pPr>
              <w:jc w:val="left"/>
            </w:pPr>
            <w:r>
              <w:rPr>
                <w:b w:val="false"/>
                <w:bCs w:val="false"/>
                <w:sz w:val="17"/>
                <w:szCs w:val="17"/>
              </w:rPr>
              <w:t xml:space="preserve">US$70 (₹6,000)</w:t>
            </w:r>
          </w:p>
        </w:tc>
      </w:tr>
      <w:tr>
        <w:tc>
          <w:tcPr>
            <w:tcW w:type="dxa" w:w="2000"/>
            <w:tcMar>
              <w:top w:type="dxa" w:w="70"/>
              <w:left w:type="dxa" w:w="110"/>
              <w:bottom w:type="dxa" w:w="70"/>
              <w:right w:type="dxa" w:w="110"/>
            </w:tcMar>
          </w:tcPr>
          <w:p>
            <w:pPr>
              <w:jc w:val="left"/>
            </w:pPr>
            <w:r>
              <w:rPr>
                <w:b w:val="false"/>
                <w:bCs w:val="false"/>
                <w:sz w:val="17"/>
                <w:szCs w:val="17"/>
              </w:rPr>
              <w:t xml:space="preserve">Cloud subtotal / year</w:t>
            </w:r>
          </w:p>
        </w:tc>
        <w:tc>
          <w:tcPr>
            <w:tcW w:type="dxa" w:w="2380"/>
            <w:tcMar>
              <w:top w:type="dxa" w:w="70"/>
              <w:left w:type="dxa" w:w="110"/>
              <w:bottom w:type="dxa" w:w="70"/>
              <w:right w:type="dxa" w:w="110"/>
            </w:tcMar>
          </w:tcPr>
          <w:p>
            <w:pPr>
              <w:jc w:val="left"/>
            </w:pPr>
            <w:r>
              <w:rPr>
                <w:b w:val="false"/>
                <w:bCs w:val="false"/>
                <w:sz w:val="17"/>
                <w:szCs w:val="17"/>
              </w:rPr>
              <w:t xml:space="preserve">₹56,550 and up</w:t>
            </w:r>
          </w:p>
        </w:tc>
        <w:tc>
          <w:tcPr>
            <w:tcW w:type="dxa" w:w="2523"/>
            <w:tcMar>
              <w:top w:type="dxa" w:w="70"/>
              <w:left w:type="dxa" w:w="110"/>
              <w:bottom w:type="dxa" w:w="70"/>
              <w:right w:type="dxa" w:w="110"/>
            </w:tcMar>
          </w:tcPr>
          <w:p>
            <w:pPr>
              <w:jc w:val="left"/>
            </w:pPr>
            <w:r>
              <w:rPr>
                <w:b w:val="false"/>
                <w:bCs w:val="false"/>
                <w:sz w:val="17"/>
                <w:szCs w:val="17"/>
              </w:rPr>
              <w:t xml:space="preserve">₹5,200 – 6,500</w:t>
            </w:r>
          </w:p>
        </w:tc>
        <w:tc>
          <w:tcPr>
            <w:tcW w:type="dxa" w:w="2123"/>
            <w:tcMar>
              <w:top w:type="dxa" w:w="70"/>
              <w:left w:type="dxa" w:w="110"/>
              <w:bottom w:type="dxa" w:w="70"/>
              <w:right w:type="dxa" w:w="110"/>
            </w:tcMar>
          </w:tcPr>
          <w:p>
            <w:pPr>
              <w:jc w:val="left"/>
            </w:pPr>
            <w:r>
              <w:rPr>
                <w:b w:val="false"/>
                <w:bCs w:val="false"/>
                <w:sz w:val="17"/>
                <w:szCs w:val="17"/>
              </w:rPr>
              <w:t xml:space="preserve">₹6,000</w:t>
            </w:r>
          </w:p>
        </w:tc>
      </w:tr>
      <w:tr>
        <w:tc>
          <w:tcPr>
            <w:tcW w:type="dxa" w:w="2000"/>
            <w:shd w:fill="F7FAF8" w:color="auto" w:val="clear"/>
            <w:tcMar>
              <w:top w:type="dxa" w:w="70"/>
              <w:left w:type="dxa" w:w="110"/>
              <w:bottom w:type="dxa" w:w="70"/>
              <w:right w:type="dxa" w:w="110"/>
            </w:tcMar>
          </w:tcPr>
          <w:p>
            <w:pPr>
              <w:jc w:val="left"/>
            </w:pPr>
            <w:r>
              <w:rPr>
                <w:b w:val="false"/>
                <w:bCs w:val="false"/>
                <w:sz w:val="17"/>
                <w:szCs w:val="17"/>
              </w:rPr>
              <w:t xml:space="preserve">Year-1 free allowance</w:t>
            </w:r>
          </w:p>
        </w:tc>
        <w:tc>
          <w:tcPr>
            <w:tcW w:type="dxa" w:w="2380"/>
            <w:shd w:fill="F7FAF8" w:color="auto" w:val="clear"/>
            <w:tcMar>
              <w:top w:type="dxa" w:w="70"/>
              <w:left w:type="dxa" w:w="110"/>
              <w:bottom w:type="dxa" w:w="70"/>
              <w:right w:type="dxa" w:w="110"/>
            </w:tcMar>
          </w:tcPr>
          <w:p>
            <w:pPr>
              <w:jc w:val="left"/>
            </w:pPr>
            <w:r>
              <w:rPr>
                <w:b w:val="false"/>
                <w:bCs w:val="false"/>
                <w:sz w:val="17"/>
                <w:szCs w:val="17"/>
              </w:rPr>
              <w:t xml:space="preserve">None — paid from day one</w:t>
            </w:r>
          </w:p>
        </w:tc>
        <w:tc>
          <w:tcPr>
            <w:tcW w:type="dxa" w:w="2523"/>
            <w:shd w:fill="F7FAF8" w:color="auto" w:val="clear"/>
            <w:tcMar>
              <w:top w:type="dxa" w:w="70"/>
              <w:left w:type="dxa" w:w="110"/>
              <w:bottom w:type="dxa" w:w="70"/>
              <w:right w:type="dxa" w:w="110"/>
            </w:tcMar>
          </w:tcPr>
          <w:p>
            <w:pPr>
              <w:jc w:val="left"/>
            </w:pPr>
            <w:r>
              <w:rPr>
                <w:b w:val="false"/>
                <w:bCs w:val="false"/>
                <w:sz w:val="17"/>
                <w:szCs w:val="17"/>
              </w:rPr>
              <w:t xml:space="preserve">500k messages/month for 12 months (covers Base entirely)</w:t>
            </w:r>
          </w:p>
        </w:tc>
        <w:tc>
          <w:tcPr>
            <w:tcW w:type="dxa" w:w="2123"/>
            <w:shd w:fill="F7FAF8" w:color="auto" w:val="clear"/>
            <w:tcMar>
              <w:top w:type="dxa" w:w="70"/>
              <w:left w:type="dxa" w:w="110"/>
              <w:bottom w:type="dxa" w:w="70"/>
              <w:right w:type="dxa" w:w="110"/>
            </w:tcMar>
          </w:tcPr>
          <w:p>
            <w:pPr>
              <w:jc w:val="left"/>
            </w:pPr>
            <w:r>
              <w:rPr>
                <w:b w:val="false"/>
                <w:bCs w:val="false"/>
                <w:sz w:val="17"/>
                <w:szCs w:val="17"/>
              </w:rPr>
              <w:t xml:space="preserve">Not applicable</w:t>
            </w:r>
          </w:p>
        </w:tc>
      </w:tr>
      <w:tr>
        <w:tc>
          <w:tcPr>
            <w:tcW w:type="dxa" w:w="2000"/>
            <w:tcMar>
              <w:top w:type="dxa" w:w="70"/>
              <w:left w:type="dxa" w:w="110"/>
              <w:bottom w:type="dxa" w:w="70"/>
              <w:right w:type="dxa" w:w="110"/>
            </w:tcMar>
          </w:tcPr>
          <w:p>
            <w:pPr>
              <w:jc w:val="left"/>
            </w:pPr>
            <w:r>
              <w:rPr>
                <w:b w:val="false"/>
                <w:bCs w:val="false"/>
                <w:sz w:val="17"/>
                <w:szCs w:val="17"/>
              </w:rPr>
              <w:t xml:space="preserve">Message cap</w:t>
            </w:r>
          </w:p>
        </w:tc>
        <w:tc>
          <w:tcPr>
            <w:tcW w:type="dxa" w:w="2380"/>
            <w:tcMar>
              <w:top w:type="dxa" w:w="70"/>
              <w:left w:type="dxa" w:w="110"/>
              <w:bottom w:type="dxa" w:w="70"/>
              <w:right w:type="dxa" w:w="110"/>
            </w:tcMar>
          </w:tcPr>
          <w:p>
            <w:pPr>
              <w:jc w:val="left"/>
            </w:pPr>
            <w:r>
              <w:rPr>
                <w:b w:val="false"/>
                <w:bCs w:val="false"/>
                <w:sz w:val="17"/>
                <w:szCs w:val="17"/>
              </w:rPr>
              <w:t xml:space="preserve">33 million/yr per unit</w:t>
            </w:r>
          </w:p>
        </w:tc>
        <w:tc>
          <w:tcPr>
            <w:tcW w:type="dxa" w:w="2523"/>
            <w:tcMar>
              <w:top w:type="dxa" w:w="70"/>
              <w:left w:type="dxa" w:w="110"/>
              <w:bottom w:type="dxa" w:w="70"/>
              <w:right w:type="dxa" w:w="110"/>
            </w:tcMar>
          </w:tcPr>
          <w:p>
            <w:pPr>
              <w:jc w:val="left"/>
            </w:pPr>
            <w:r>
              <w:rPr>
                <w:b w:val="false"/>
                <w:bCs w:val="false"/>
                <w:sz w:val="17"/>
                <w:szCs w:val="17"/>
              </w:rPr>
              <w:t xml:space="preserve">None — pay per use</w:t>
            </w:r>
          </w:p>
        </w:tc>
        <w:tc>
          <w:tcPr>
            <w:tcW w:type="dxa" w:w="2123"/>
            <w:tcMar>
              <w:top w:type="dxa" w:w="70"/>
              <w:left w:type="dxa" w:w="110"/>
              <w:bottom w:type="dxa" w:w="70"/>
              <w:right w:type="dxa" w:w="110"/>
            </w:tcMar>
          </w:tcPr>
          <w:p>
            <w:pPr>
              <w:jc w:val="left"/>
            </w:pPr>
            <w:r>
              <w:rPr>
                <w:b w:val="false"/>
                <w:bCs w:val="false"/>
                <w:sz w:val="17"/>
                <w:szCs w:val="17"/>
              </w:rPr>
              <w:t xml:space="preserve">None</w:t>
            </w:r>
          </w:p>
        </w:tc>
      </w:tr>
      <w:tr>
        <w:tc>
          <w:tcPr>
            <w:tcW w:type="dxa" w:w="2000"/>
            <w:shd w:fill="F7FAF8" w:color="auto" w:val="clear"/>
            <w:tcMar>
              <w:top w:type="dxa" w:w="70"/>
              <w:left w:type="dxa" w:w="110"/>
              <w:bottom w:type="dxa" w:w="70"/>
              <w:right w:type="dxa" w:w="110"/>
            </w:tcMar>
          </w:tcPr>
          <w:p>
            <w:pPr>
              <w:jc w:val="left"/>
            </w:pPr>
            <w:r>
              <w:rPr>
                <w:b w:val="false"/>
                <w:bCs w:val="false"/>
                <w:sz w:val="17"/>
                <w:szCs w:val="17"/>
              </w:rPr>
              <w:t xml:space="preserve">Update rate limit</w:t>
            </w:r>
          </w:p>
        </w:tc>
        <w:tc>
          <w:tcPr>
            <w:tcW w:type="dxa" w:w="2380"/>
            <w:shd w:fill="F7FAF8" w:color="auto" w:val="clear"/>
            <w:tcMar>
              <w:top w:type="dxa" w:w="70"/>
              <w:left w:type="dxa" w:w="110"/>
              <w:bottom w:type="dxa" w:w="70"/>
              <w:right w:type="dxa" w:w="110"/>
            </w:tcMar>
          </w:tcPr>
          <w:p>
            <w:pPr>
              <w:jc w:val="left"/>
            </w:pPr>
            <w:r>
              <w:rPr>
                <w:b w:val="false"/>
                <w:bCs w:val="false"/>
                <w:sz w:val="17"/>
                <w:szCs w:val="17"/>
              </w:rPr>
              <w:t xml:space="preserve">1/sec paid; 15 sec free</w:t>
            </w:r>
          </w:p>
        </w:tc>
        <w:tc>
          <w:tcPr>
            <w:tcW w:type="dxa" w:w="2523"/>
            <w:shd w:fill="F7FAF8" w:color="auto" w:val="clear"/>
            <w:tcMar>
              <w:top w:type="dxa" w:w="70"/>
              <w:left w:type="dxa" w:w="110"/>
              <w:bottom w:type="dxa" w:w="70"/>
              <w:right w:type="dxa" w:w="110"/>
            </w:tcMar>
          </w:tcPr>
          <w:p>
            <w:pPr>
              <w:jc w:val="left"/>
            </w:pPr>
            <w:r>
              <w:rPr>
                <w:b w:val="false"/>
                <w:bCs w:val="false"/>
                <w:sz w:val="17"/>
                <w:szCs w:val="17"/>
              </w:rPr>
              <w:t xml:space="preserve">None</w:t>
            </w:r>
          </w:p>
        </w:tc>
        <w:tc>
          <w:tcPr>
            <w:tcW w:type="dxa" w:w="2123"/>
            <w:shd w:fill="F7FAF8" w:color="auto" w:val="clear"/>
            <w:tcMar>
              <w:top w:type="dxa" w:w="70"/>
              <w:left w:type="dxa" w:w="110"/>
              <w:bottom w:type="dxa" w:w="70"/>
              <w:right w:type="dxa" w:w="110"/>
            </w:tcMar>
          </w:tcPr>
          <w:p>
            <w:pPr>
              <w:jc w:val="left"/>
            </w:pPr>
            <w:r>
              <w:rPr>
                <w:b w:val="false"/>
                <w:bCs w:val="false"/>
                <w:sz w:val="17"/>
                <w:szCs w:val="17"/>
              </w:rPr>
              <w:t xml:space="preserve">None</w:t>
            </w:r>
          </w:p>
        </w:tc>
      </w:tr>
      <w:tr>
        <w:tc>
          <w:tcPr>
            <w:tcW w:type="dxa" w:w="2000"/>
            <w:tcMar>
              <w:top w:type="dxa" w:w="70"/>
              <w:left w:type="dxa" w:w="110"/>
              <w:bottom w:type="dxa" w:w="70"/>
              <w:right w:type="dxa" w:w="110"/>
            </w:tcMar>
          </w:tcPr>
          <w:p>
            <w:pPr>
              <w:jc w:val="left"/>
            </w:pPr>
            <w:r>
              <w:rPr>
                <w:b w:val="false"/>
                <w:bCs w:val="false"/>
                <w:sz w:val="17"/>
                <w:szCs w:val="17"/>
              </w:rPr>
              <w:t xml:space="preserve">Channels</w:t>
            </w:r>
          </w:p>
        </w:tc>
        <w:tc>
          <w:tcPr>
            <w:tcW w:type="dxa" w:w="2380"/>
            <w:tcMar>
              <w:top w:type="dxa" w:w="70"/>
              <w:left w:type="dxa" w:w="110"/>
              <w:bottom w:type="dxa" w:w="70"/>
              <w:right w:type="dxa" w:w="110"/>
            </w:tcMar>
          </w:tcPr>
          <w:p>
            <w:pPr>
              <w:jc w:val="left"/>
            </w:pPr>
            <w:r>
              <w:rPr>
                <w:b w:val="false"/>
                <w:bCs w:val="false"/>
                <w:sz w:val="17"/>
                <w:szCs w:val="17"/>
              </w:rPr>
              <w:t xml:space="preserve">250 per unit</w:t>
            </w:r>
          </w:p>
        </w:tc>
        <w:tc>
          <w:tcPr>
            <w:tcW w:type="dxa" w:w="2523"/>
            <w:tcMar>
              <w:top w:type="dxa" w:w="70"/>
              <w:left w:type="dxa" w:w="110"/>
              <w:bottom w:type="dxa" w:w="70"/>
              <w:right w:type="dxa" w:w="110"/>
            </w:tcMar>
          </w:tcPr>
          <w:p>
            <w:pPr>
              <w:jc w:val="left"/>
            </w:pPr>
            <w:r>
              <w:rPr>
                <w:b w:val="false"/>
                <w:bCs w:val="false"/>
                <w:sz w:val="17"/>
                <w:szCs w:val="17"/>
              </w:rPr>
              <w:t xml:space="preserve">Not applicable</w:t>
            </w:r>
          </w:p>
        </w:tc>
        <w:tc>
          <w:tcPr>
            <w:tcW w:type="dxa" w:w="2123"/>
            <w:tcMar>
              <w:top w:type="dxa" w:w="70"/>
              <w:left w:type="dxa" w:w="110"/>
              <w:bottom w:type="dxa" w:w="70"/>
              <w:right w:type="dxa" w:w="110"/>
            </w:tcMar>
          </w:tcPr>
          <w:p>
            <w:pPr>
              <w:jc w:val="left"/>
            </w:pPr>
            <w:r>
              <w:rPr>
                <w:b w:val="false"/>
                <w:bCs w:val="false"/>
                <w:sz w:val="17"/>
                <w:szCs w:val="17"/>
              </w:rPr>
              <w:t xml:space="preserve">Not applicable</w:t>
            </w:r>
          </w:p>
        </w:tc>
      </w:tr>
      <w:tr>
        <w:tc>
          <w:tcPr>
            <w:tcW w:type="dxa" w:w="2000"/>
            <w:shd w:fill="F7FAF8" w:color="auto" w:val="clear"/>
            <w:tcMar>
              <w:top w:type="dxa" w:w="70"/>
              <w:left w:type="dxa" w:w="110"/>
              <w:bottom w:type="dxa" w:w="70"/>
              <w:right w:type="dxa" w:w="110"/>
            </w:tcMar>
          </w:tcPr>
          <w:p>
            <w:pPr>
              <w:jc w:val="left"/>
            </w:pPr>
            <w:r>
              <w:rPr>
                <w:b w:val="false"/>
                <w:bCs w:val="false"/>
                <w:sz w:val="17"/>
                <w:szCs w:val="17"/>
              </w:rPr>
              <w:t xml:space="preserve">Built-in dashboards</w:t>
            </w:r>
          </w:p>
        </w:tc>
        <w:tc>
          <w:tcPr>
            <w:tcW w:type="dxa" w:w="2380"/>
            <w:shd w:fill="F7FAF8" w:color="auto" w:val="clear"/>
            <w:tcMar>
              <w:top w:type="dxa" w:w="70"/>
              <w:left w:type="dxa" w:w="110"/>
              <w:bottom w:type="dxa" w:w="70"/>
              <w:right w:type="dxa" w:w="110"/>
            </w:tcMar>
          </w:tcPr>
          <w:p>
            <w:pPr>
              <w:jc w:val="left"/>
            </w:pPr>
            <w:r>
              <w:rPr>
                <w:b w:val="false"/>
                <w:bCs w:val="false"/>
                <w:sz w:val="17"/>
                <w:szCs w:val="17"/>
              </w:rPr>
              <w:t xml:space="preserve">Yes — but unused</w:t>
            </w:r>
          </w:p>
        </w:tc>
        <w:tc>
          <w:tcPr>
            <w:tcW w:type="dxa" w:w="2523"/>
            <w:shd w:fill="F7FAF8" w:color="auto" w:val="clear"/>
            <w:tcMar>
              <w:top w:type="dxa" w:w="70"/>
              <w:left w:type="dxa" w:w="110"/>
              <w:bottom w:type="dxa" w:w="70"/>
              <w:right w:type="dxa" w:w="110"/>
            </w:tcMar>
          </w:tcPr>
          <w:p>
            <w:pPr>
              <w:jc w:val="left"/>
            </w:pPr>
            <w:r>
              <w:rPr>
                <w:b w:val="false"/>
                <w:bCs w:val="false"/>
                <w:sz w:val="17"/>
                <w:szCs w:val="17"/>
              </w:rPr>
              <w:t xml:space="preserve">No — already built</w:t>
            </w:r>
          </w:p>
        </w:tc>
        <w:tc>
          <w:tcPr>
            <w:tcW w:type="dxa" w:w="2123"/>
            <w:shd w:fill="F7FAF8" w:color="auto" w:val="clear"/>
            <w:tcMar>
              <w:top w:type="dxa" w:w="70"/>
              <w:left w:type="dxa" w:w="110"/>
              <w:bottom w:type="dxa" w:w="70"/>
              <w:right w:type="dxa" w:w="110"/>
            </w:tcMar>
          </w:tcPr>
          <w:p>
            <w:pPr>
              <w:jc w:val="left"/>
            </w:pPr>
            <w:r>
              <w:rPr>
                <w:b w:val="false"/>
                <w:bCs w:val="false"/>
                <w:sz w:val="17"/>
                <w:szCs w:val="17"/>
              </w:rPr>
              <w:t xml:space="preserve">No — already built</w:t>
            </w:r>
          </w:p>
        </w:tc>
      </w:tr>
      <w:tr>
        <w:tc>
          <w:tcPr>
            <w:tcW w:type="dxa" w:w="2000"/>
            <w:tcMar>
              <w:top w:type="dxa" w:w="70"/>
              <w:left w:type="dxa" w:w="110"/>
              <w:bottom w:type="dxa" w:w="70"/>
              <w:right w:type="dxa" w:w="110"/>
            </w:tcMar>
          </w:tcPr>
          <w:p>
            <w:pPr>
              <w:jc w:val="left"/>
            </w:pPr>
            <w:r>
              <w:rPr>
                <w:b w:val="false"/>
                <w:bCs w:val="false"/>
                <w:sz w:val="17"/>
                <w:szCs w:val="17"/>
              </w:rPr>
              <w:t xml:space="preserve">4-channel workaround</w:t>
            </w:r>
          </w:p>
        </w:tc>
        <w:tc>
          <w:tcPr>
            <w:tcW w:type="dxa" w:w="2380"/>
            <w:tcMar>
              <w:top w:type="dxa" w:w="70"/>
              <w:left w:type="dxa" w:w="110"/>
              <w:bottom w:type="dxa" w:w="70"/>
              <w:right w:type="dxa" w:w="110"/>
            </w:tcMar>
          </w:tcPr>
          <w:p>
            <w:pPr>
              <w:jc w:val="left"/>
            </w:pPr>
            <w:r>
              <w:rPr>
                <w:b w:val="false"/>
                <w:bCs w:val="false"/>
                <w:sz w:val="17"/>
                <w:szCs w:val="17"/>
              </w:rPr>
              <w:t xml:space="preserve">Needed on free tier only</w:t>
            </w:r>
          </w:p>
        </w:tc>
        <w:tc>
          <w:tcPr>
            <w:tcW w:type="dxa" w:w="2523"/>
            <w:tcMar>
              <w:top w:type="dxa" w:w="70"/>
              <w:left w:type="dxa" w:w="110"/>
              <w:bottom w:type="dxa" w:w="70"/>
              <w:right w:type="dxa" w:w="110"/>
            </w:tcMar>
          </w:tcPr>
          <w:p>
            <w:pPr>
              <w:jc w:val="left"/>
            </w:pPr>
            <w:r>
              <w:rPr>
                <w:b w:val="false"/>
                <w:bCs w:val="false"/>
                <w:sz w:val="17"/>
                <w:szCs w:val="17"/>
              </w:rPr>
              <w:t xml:space="preserve">Eliminated</w:t>
            </w:r>
          </w:p>
        </w:tc>
        <w:tc>
          <w:tcPr>
            <w:tcW w:type="dxa" w:w="2123"/>
            <w:tcMar>
              <w:top w:type="dxa" w:w="70"/>
              <w:left w:type="dxa" w:w="110"/>
              <w:bottom w:type="dxa" w:w="70"/>
              <w:right w:type="dxa" w:w="110"/>
            </w:tcMar>
          </w:tcPr>
          <w:p>
            <w:pPr>
              <w:jc w:val="left"/>
            </w:pPr>
            <w:r>
              <w:rPr>
                <w:b w:val="false"/>
                <w:bCs w:val="false"/>
                <w:sz w:val="17"/>
                <w:szCs w:val="17"/>
              </w:rPr>
              <w:t xml:space="preserve">Eliminated</w:t>
            </w:r>
          </w:p>
        </w:tc>
      </w:tr>
      <w:tr>
        <w:tc>
          <w:tcPr>
            <w:tcW w:type="dxa" w:w="2000"/>
            <w:shd w:fill="F7FAF8" w:color="auto" w:val="clear"/>
            <w:tcMar>
              <w:top w:type="dxa" w:w="70"/>
              <w:left w:type="dxa" w:w="110"/>
              <w:bottom w:type="dxa" w:w="70"/>
              <w:right w:type="dxa" w:w="110"/>
            </w:tcMar>
          </w:tcPr>
          <w:p>
            <w:pPr>
              <w:jc w:val="left"/>
            </w:pPr>
            <w:r>
              <w:rPr>
                <w:b w:val="false"/>
                <w:bCs w:val="false"/>
                <w:sz w:val="17"/>
                <w:szCs w:val="17"/>
              </w:rPr>
              <w:t xml:space="preserve">Integration effort</w:t>
            </w:r>
          </w:p>
        </w:tc>
        <w:tc>
          <w:tcPr>
            <w:tcW w:type="dxa" w:w="2380"/>
            <w:shd w:fill="F7FAF8" w:color="auto" w:val="clear"/>
            <w:tcMar>
              <w:top w:type="dxa" w:w="70"/>
              <w:left w:type="dxa" w:w="110"/>
              <w:bottom w:type="dxa" w:w="70"/>
              <w:right w:type="dxa" w:w="110"/>
            </w:tcMar>
          </w:tcPr>
          <w:p>
            <w:pPr>
              <w:jc w:val="left"/>
            </w:pPr>
            <w:r>
              <w:rPr>
                <w:b w:val="false"/>
                <w:bCs w:val="false"/>
                <w:sz w:val="17"/>
                <w:szCs w:val="17"/>
              </w:rPr>
              <w:t xml:space="preserve">Lowest</w:t>
            </w:r>
          </w:p>
        </w:tc>
        <w:tc>
          <w:tcPr>
            <w:tcW w:type="dxa" w:w="2523"/>
            <w:shd w:fill="F7FAF8" w:color="auto" w:val="clear"/>
            <w:tcMar>
              <w:top w:type="dxa" w:w="70"/>
              <w:left w:type="dxa" w:w="110"/>
              <w:bottom w:type="dxa" w:w="70"/>
              <w:right w:type="dxa" w:w="110"/>
            </w:tcMar>
          </w:tcPr>
          <w:p>
            <w:pPr>
              <w:jc w:val="left"/>
            </w:pPr>
            <w:r>
              <w:rPr>
                <w:b w:val="false"/>
                <w:bCs w:val="false"/>
                <w:sz w:val="17"/>
                <w:szCs w:val="17"/>
              </w:rPr>
              <w:t xml:space="preserve">Highest</w:t>
            </w:r>
          </w:p>
        </w:tc>
        <w:tc>
          <w:tcPr>
            <w:tcW w:type="dxa" w:w="2123"/>
            <w:shd w:fill="F7FAF8" w:color="auto" w:val="clear"/>
            <w:tcMar>
              <w:top w:type="dxa" w:w="70"/>
              <w:left w:type="dxa" w:w="110"/>
              <w:bottom w:type="dxa" w:w="70"/>
              <w:right w:type="dxa" w:w="110"/>
            </w:tcMar>
          </w:tcPr>
          <w:p>
            <w:pPr>
              <w:jc w:val="left"/>
            </w:pPr>
            <w:r>
              <w:rPr>
                <w:b w:val="false"/>
                <w:bCs w:val="false"/>
                <w:sz w:val="17"/>
                <w:szCs w:val="17"/>
              </w:rPr>
              <w:t xml:space="preserve">Medium</w:t>
            </w:r>
          </w:p>
        </w:tc>
      </w:tr>
      <w:tr>
        <w:tc>
          <w:tcPr>
            <w:tcW w:type="dxa" w:w="2000"/>
            <w:tcMar>
              <w:top w:type="dxa" w:w="70"/>
              <w:left w:type="dxa" w:w="110"/>
              <w:bottom w:type="dxa" w:w="70"/>
              <w:right w:type="dxa" w:w="110"/>
            </w:tcMar>
          </w:tcPr>
          <w:p>
            <w:pPr>
              <w:jc w:val="left"/>
            </w:pPr>
            <w:r>
              <w:rPr>
                <w:b w:val="false"/>
                <w:bCs w:val="false"/>
                <w:sz w:val="17"/>
                <w:szCs w:val="17"/>
              </w:rPr>
              <w:t xml:space="preserve">Operational burden</w:t>
            </w:r>
          </w:p>
        </w:tc>
        <w:tc>
          <w:tcPr>
            <w:tcW w:type="dxa" w:w="2380"/>
            <w:tcMar>
              <w:top w:type="dxa" w:w="70"/>
              <w:left w:type="dxa" w:w="110"/>
              <w:bottom w:type="dxa" w:w="70"/>
              <w:right w:type="dxa" w:w="110"/>
            </w:tcMar>
          </w:tcPr>
          <w:p>
            <w:pPr>
              <w:jc w:val="left"/>
            </w:pPr>
            <w:r>
              <w:rPr>
                <w:b w:val="false"/>
                <w:bCs w:val="false"/>
                <w:sz w:val="17"/>
                <w:szCs w:val="17"/>
              </w:rPr>
              <w:t xml:space="preserve">None</w:t>
            </w:r>
          </w:p>
        </w:tc>
        <w:tc>
          <w:tcPr>
            <w:tcW w:type="dxa" w:w="2523"/>
            <w:tcMar>
              <w:top w:type="dxa" w:w="70"/>
              <w:left w:type="dxa" w:w="110"/>
              <w:bottom w:type="dxa" w:w="70"/>
              <w:right w:type="dxa" w:w="110"/>
            </w:tcMar>
          </w:tcPr>
          <w:p>
            <w:pPr>
              <w:jc w:val="left"/>
            </w:pPr>
            <w:r>
              <w:rPr>
                <w:b w:val="false"/>
                <w:bCs w:val="false"/>
                <w:sz w:val="17"/>
                <w:szCs w:val="17"/>
              </w:rPr>
              <w:t xml:space="preserve">Low</w:t>
            </w:r>
          </w:p>
        </w:tc>
        <w:tc>
          <w:tcPr>
            <w:tcW w:type="dxa" w:w="2123"/>
            <w:tcMar>
              <w:top w:type="dxa" w:w="70"/>
              <w:left w:type="dxa" w:w="110"/>
              <w:bottom w:type="dxa" w:w="70"/>
              <w:right w:type="dxa" w:w="110"/>
            </w:tcMar>
          </w:tcPr>
          <w:p>
            <w:pPr>
              <w:jc w:val="left"/>
            </w:pPr>
            <w:r>
              <w:rPr>
                <w:b w:val="false"/>
                <w:bCs w:val="false"/>
                <w:sz w:val="17"/>
                <w:szCs w:val="17"/>
              </w:rPr>
              <w:t xml:space="preserve">Patching and backups are yours</w:t>
            </w:r>
          </w:p>
        </w:tc>
      </w:tr>
      <w:tr>
        <w:tc>
          <w:tcPr>
            <w:tcW w:type="dxa" w:w="2000"/>
            <w:shd w:fill="F7FAF8" w:color="auto" w:val="clear"/>
            <w:tcMar>
              <w:top w:type="dxa" w:w="70"/>
              <w:left w:type="dxa" w:w="110"/>
              <w:bottom w:type="dxa" w:w="70"/>
              <w:right w:type="dxa" w:w="110"/>
            </w:tcMar>
          </w:tcPr>
          <w:p>
            <w:pPr>
              <w:jc w:val="left"/>
            </w:pPr>
            <w:r>
              <w:rPr>
                <w:b w:val="false"/>
                <w:bCs w:val="false"/>
                <w:sz w:val="17"/>
                <w:szCs w:val="17"/>
              </w:rPr>
              <w:t xml:space="preserve">Scales to other campuses</w:t>
            </w:r>
          </w:p>
        </w:tc>
        <w:tc>
          <w:tcPr>
            <w:tcW w:type="dxa" w:w="2380"/>
            <w:shd w:fill="F7FAF8" w:color="auto" w:val="clear"/>
            <w:tcMar>
              <w:top w:type="dxa" w:w="70"/>
              <w:left w:type="dxa" w:w="110"/>
              <w:bottom w:type="dxa" w:w="70"/>
              <w:right w:type="dxa" w:w="110"/>
            </w:tcMar>
          </w:tcPr>
          <w:p>
            <w:pPr>
              <w:jc w:val="left"/>
            </w:pPr>
            <w:r>
              <w:rPr>
                <w:b w:val="false"/>
                <w:bCs w:val="false"/>
                <w:sz w:val="17"/>
                <w:szCs w:val="17"/>
              </w:rPr>
              <w:t xml:space="preserve">Limited by units purchased</w:t>
            </w:r>
          </w:p>
        </w:tc>
        <w:tc>
          <w:tcPr>
            <w:tcW w:type="dxa" w:w="2523"/>
            <w:shd w:fill="F7FAF8" w:color="auto" w:val="clear"/>
            <w:tcMar>
              <w:top w:type="dxa" w:w="70"/>
              <w:left w:type="dxa" w:w="110"/>
              <w:bottom w:type="dxa" w:w="70"/>
              <w:right w:type="dxa" w:w="110"/>
            </w:tcMar>
          </w:tcPr>
          <w:p>
            <w:pPr>
              <w:jc w:val="left"/>
            </w:pPr>
            <w:r>
              <w:rPr>
                <w:b w:val="false"/>
                <w:bCs w:val="false"/>
                <w:sz w:val="17"/>
                <w:szCs w:val="17"/>
              </w:rPr>
              <w:t xml:space="preserve">Effortless</w:t>
            </w:r>
          </w:p>
        </w:tc>
        <w:tc>
          <w:tcPr>
            <w:tcW w:type="dxa" w:w="2123"/>
            <w:shd w:fill="F7FAF8" w:color="auto" w:val="clear"/>
            <w:tcMar>
              <w:top w:type="dxa" w:w="70"/>
              <w:left w:type="dxa" w:w="110"/>
              <w:bottom w:type="dxa" w:w="70"/>
              <w:right w:type="dxa" w:w="110"/>
            </w:tcMar>
          </w:tcPr>
          <w:p>
            <w:pPr>
              <w:jc w:val="left"/>
            </w:pPr>
            <w:r>
              <w:rPr>
                <w:b w:val="false"/>
                <w:bCs w:val="false"/>
                <w:sz w:val="17"/>
                <w:szCs w:val="17"/>
              </w:rPr>
              <w:t xml:space="preserve">Requires a larger instance</w:t>
            </w:r>
          </w:p>
        </w:tc>
      </w:tr>
      <w:tr>
        <w:tc>
          <w:tcPr>
            <w:tcW w:type="dxa" w:w="2000"/>
            <w:tcMar>
              <w:top w:type="dxa" w:w="70"/>
              <w:left w:type="dxa" w:w="110"/>
              <w:bottom w:type="dxa" w:w="70"/>
              <w:right w:type="dxa" w:w="110"/>
            </w:tcMar>
          </w:tcPr>
          <w:p>
            <w:pPr>
              <w:jc w:val="left"/>
            </w:pPr>
            <w:r>
              <w:rPr>
                <w:b w:val="false"/>
                <w:bCs w:val="false"/>
                <w:sz w:val="17"/>
                <w:szCs w:val="17"/>
              </w:rPr>
              <w:t xml:space="preserve">Vendor lock-in</w:t>
            </w:r>
          </w:p>
        </w:tc>
        <w:tc>
          <w:tcPr>
            <w:tcW w:type="dxa" w:w="2380"/>
            <w:tcMar>
              <w:top w:type="dxa" w:w="70"/>
              <w:left w:type="dxa" w:w="110"/>
              <w:bottom w:type="dxa" w:w="70"/>
              <w:right w:type="dxa" w:w="110"/>
            </w:tcMar>
          </w:tcPr>
          <w:p>
            <w:pPr>
              <w:jc w:val="left"/>
            </w:pPr>
            <w:r>
              <w:rPr>
                <w:b w:val="false"/>
                <w:bCs w:val="false"/>
                <w:sz w:val="17"/>
                <w:szCs w:val="17"/>
              </w:rPr>
              <w:t xml:space="preserve">High (MathWorks)</w:t>
            </w:r>
          </w:p>
        </w:tc>
        <w:tc>
          <w:tcPr>
            <w:tcW w:type="dxa" w:w="2523"/>
            <w:tcMar>
              <w:top w:type="dxa" w:w="70"/>
              <w:left w:type="dxa" w:w="110"/>
              <w:bottom w:type="dxa" w:w="70"/>
              <w:right w:type="dxa" w:w="110"/>
            </w:tcMar>
          </w:tcPr>
          <w:p>
            <w:pPr>
              <w:jc w:val="left"/>
            </w:pPr>
            <w:r>
              <w:rPr>
                <w:b w:val="false"/>
                <w:bCs w:val="false"/>
                <w:sz w:val="17"/>
                <w:szCs w:val="17"/>
              </w:rPr>
              <w:t xml:space="preserve">Medium</w:t>
            </w:r>
          </w:p>
        </w:tc>
        <w:tc>
          <w:tcPr>
            <w:tcW w:type="dxa" w:w="2123"/>
            <w:tcMar>
              <w:top w:type="dxa" w:w="70"/>
              <w:left w:type="dxa" w:w="110"/>
              <w:bottom w:type="dxa" w:w="70"/>
              <w:right w:type="dxa" w:w="110"/>
            </w:tcMar>
          </w:tcPr>
          <w:p>
            <w:pPr>
              <w:jc w:val="left"/>
            </w:pPr>
            <w:r>
              <w:rPr>
                <w:b w:val="false"/>
                <w:bCs w:val="false"/>
                <w:sz w:val="17"/>
                <w:szCs w:val="17"/>
              </w:rPr>
              <w:t xml:space="preserve">None</w:t>
            </w:r>
          </w:p>
        </w:tc>
      </w:tr>
    </w:tbl>
    <w:p>
      <w:pPr>
        <w:spacing w:after="140"/>
      </w:pPr>
    </w:p>
    <w:p>
      <w:pPr>
        <w:spacing w:after="110" w:line="280"/>
        <w:jc w:val="both"/>
      </w:pPr>
      <w:r>
        <w:rPr>
          <w:b/>
          <w:bCs/>
          <w:i w:val="false"/>
          <w:iCs w:val="false"/>
          <w:color w:val="101828"/>
          <w:sz w:val="20"/>
          <w:szCs w:val="20"/>
        </w:rPr>
        <w:t xml:space="preserve">Architectural bonus. </w:t>
      </w:r>
      <w:r>
        <w:rPr>
          <w:b w:val="false"/>
          <w:bCs w:val="false"/>
          <w:i w:val="false"/>
          <w:iCs w:val="false"/>
          <w:color w:val="101828"/>
          <w:sz w:val="20"/>
          <w:szCs w:val="20"/>
        </w:rPr>
        <w:t xml:space="preserve">The current design splits the 14 hostels across four ThingSpeak channels purely to work around the free tier’s 15-second write limit. On AWS, on a self-hosted database, or even on paid ThingSpeak, that workaround disappears entirely — removing the channel-routing logic from both the firmware and the server. The migration therefore simplifies the system as well as reducing its cost.</w:t>
      </w:r>
    </w:p>
    <w:p>
      <w:pPr>
        <w:pStyle w:val="Heading1"/>
        <w:spacing w:after="150" w:before="300"/>
      </w:pPr>
      <w:r>
        <w:t xml:space="preserve">4. Hardware Capital Expenditure</w:t>
      </w:r>
    </w:p>
    <w:p>
      <w:pPr>
        <w:spacing w:after="110" w:line="280"/>
        <w:jc w:val="both"/>
      </w:pPr>
      <w:r>
        <w:rPr>
          <w:b w:val="false"/>
          <w:bCs w:val="false"/>
          <w:i w:val="false"/>
          <w:iCs w:val="false"/>
          <w:color w:val="101828"/>
          <w:sz w:val="20"/>
          <w:szCs w:val="20"/>
        </w:rPr>
        <w:t xml:space="preserve">Identical across all three platform options. Prices are Indian-market estimates for the components already proven in the prototype.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400"/>
        <w:gridCol w:w="2426"/>
      </w:tblGrid>
      <w:tr>
        <w:trPr>
          <w:tblHeader/>
        </w:trPr>
        <w:tc>
          <w:tcPr>
            <w:tcW w:type="dxa" w:w="3400"/>
            <w:shd w:fill="16A34A" w:color="auto" w:val="clear"/>
            <w:tcMar>
              <w:top w:type="dxa" w:w="80"/>
              <w:left w:type="dxa" w:w="110"/>
              <w:bottom w:type="dxa" w:w="80"/>
              <w:right w:type="dxa" w:w="110"/>
            </w:tcMar>
          </w:tcPr>
          <w:p>
            <w:pPr>
              <w:jc w:val="left"/>
            </w:pPr>
            <w:r>
              <w:rPr>
                <w:b/>
                <w:bCs/>
                <w:color w:val="FFFFFF"/>
                <w:sz w:val="17"/>
                <w:szCs w:val="17"/>
              </w:rPr>
              <w:t xml:space="preserve">Component</w:t>
            </w:r>
          </w:p>
        </w:tc>
        <w:tc>
          <w:tcPr>
            <w:tcW w:type="dxa" w:w="1800"/>
            <w:shd w:fill="16A34A" w:color="auto" w:val="clear"/>
            <w:tcMar>
              <w:top w:type="dxa" w:w="80"/>
              <w:left w:type="dxa" w:w="110"/>
              <w:bottom w:type="dxa" w:w="80"/>
              <w:right w:type="dxa" w:w="110"/>
            </w:tcMar>
          </w:tcPr>
          <w:p>
            <w:pPr>
              <w:jc w:val="right"/>
            </w:pPr>
            <w:r>
              <w:rPr>
                <w:b/>
                <w:bCs/>
                <w:color w:val="FFFFFF"/>
                <w:sz w:val="17"/>
                <w:szCs w:val="17"/>
              </w:rPr>
              <w:t xml:space="preserve">Unit price</w:t>
            </w:r>
          </w:p>
        </w:tc>
        <w:tc>
          <w:tcPr>
            <w:tcW w:type="dxa" w:w="1400"/>
            <w:shd w:fill="16A34A" w:color="auto" w:val="clear"/>
            <w:tcMar>
              <w:top w:type="dxa" w:w="80"/>
              <w:left w:type="dxa" w:w="110"/>
              <w:bottom w:type="dxa" w:w="80"/>
              <w:right w:type="dxa" w:w="110"/>
            </w:tcMar>
          </w:tcPr>
          <w:p>
            <w:pPr>
              <w:jc w:val="right"/>
            </w:pPr>
            <w:r>
              <w:rPr>
                <w:b/>
                <w:bCs/>
                <w:color w:val="FFFFFF"/>
                <w:sz w:val="17"/>
                <w:szCs w:val="17"/>
              </w:rPr>
              <w:t xml:space="preserve">Qty</w:t>
            </w:r>
          </w:p>
        </w:tc>
        <w:tc>
          <w:tcPr>
            <w:tcW w:type="dxa" w:w="2426"/>
            <w:shd w:fill="16A34A" w:color="auto" w:val="clear"/>
            <w:tcMar>
              <w:top w:type="dxa" w:w="80"/>
              <w:left w:type="dxa" w:w="110"/>
              <w:bottom w:type="dxa" w:w="80"/>
              <w:right w:type="dxa" w:w="110"/>
            </w:tcMar>
          </w:tcPr>
          <w:p>
            <w:pPr>
              <w:jc w:val="right"/>
            </w:pPr>
            <w:r>
              <w:rPr>
                <w:b/>
                <w:bCs/>
                <w:color w:val="FFFFFF"/>
                <w:sz w:val="17"/>
                <w:szCs w:val="17"/>
              </w:rPr>
              <w:t xml:space="preserve">Total</w:t>
            </w:r>
          </w:p>
        </w:tc>
      </w:tr>
      <w:tr>
        <w:tc>
          <w:tcPr>
            <w:tcW w:type="dxa" w:w="3400"/>
            <w:tcMar>
              <w:top w:type="dxa" w:w="70"/>
              <w:left w:type="dxa" w:w="110"/>
              <w:bottom w:type="dxa" w:w="70"/>
              <w:right w:type="dxa" w:w="110"/>
            </w:tcMar>
          </w:tcPr>
          <w:p>
            <w:pPr>
              <w:jc w:val="left"/>
            </w:pPr>
            <w:r>
              <w:rPr>
                <w:b w:val="false"/>
                <w:bCs w:val="false"/>
                <w:sz w:val="17"/>
                <w:szCs w:val="17"/>
              </w:rPr>
              <w:t xml:space="preserve">ESP32 development board</w:t>
            </w:r>
          </w:p>
        </w:tc>
        <w:tc>
          <w:tcPr>
            <w:tcW w:type="dxa" w:w="1800"/>
            <w:tcMar>
              <w:top w:type="dxa" w:w="70"/>
              <w:left w:type="dxa" w:w="110"/>
              <w:bottom w:type="dxa" w:w="70"/>
              <w:right w:type="dxa" w:w="110"/>
            </w:tcMar>
          </w:tcPr>
          <w:p>
            <w:pPr>
              <w:jc w:val="right"/>
            </w:pPr>
            <w:r>
              <w:rPr>
                <w:b w:val="false"/>
                <w:bCs w:val="false"/>
                <w:sz w:val="17"/>
                <w:szCs w:val="17"/>
              </w:rPr>
              <w:t xml:space="preserve">₹450</w:t>
            </w:r>
          </w:p>
        </w:tc>
        <w:tc>
          <w:tcPr>
            <w:tcW w:type="dxa" w:w="1400"/>
            <w:tcMar>
              <w:top w:type="dxa" w:w="70"/>
              <w:left w:type="dxa" w:w="110"/>
              <w:bottom w:type="dxa" w:w="70"/>
              <w:right w:type="dxa" w:w="110"/>
            </w:tcMar>
          </w:tcPr>
          <w:p>
            <w:pPr>
              <w:jc w:val="right"/>
            </w:pPr>
            <w:r>
              <w:rPr>
                <w:b w:val="false"/>
                <w:bCs w:val="false"/>
                <w:sz w:val="17"/>
                <w:szCs w:val="17"/>
              </w:rPr>
              <w:t xml:space="preserve">28</w:t>
            </w:r>
          </w:p>
        </w:tc>
        <w:tc>
          <w:tcPr>
            <w:tcW w:type="dxa" w:w="2426"/>
            <w:tcMar>
              <w:top w:type="dxa" w:w="70"/>
              <w:left w:type="dxa" w:w="110"/>
              <w:bottom w:type="dxa" w:w="70"/>
              <w:right w:type="dxa" w:w="110"/>
            </w:tcMar>
          </w:tcPr>
          <w:p>
            <w:pPr>
              <w:jc w:val="right"/>
            </w:pPr>
            <w:r>
              <w:rPr>
                <w:b w:val="false"/>
                <w:bCs w:val="false"/>
                <w:sz w:val="17"/>
                <w:szCs w:val="17"/>
              </w:rPr>
              <w:t xml:space="preserve">₹12,600</w:t>
            </w:r>
          </w:p>
        </w:tc>
      </w:tr>
      <w:tr>
        <w:tc>
          <w:tcPr>
            <w:tcW w:type="dxa" w:w="3400"/>
            <w:shd w:fill="F7FAF8" w:color="auto" w:val="clear"/>
            <w:tcMar>
              <w:top w:type="dxa" w:w="70"/>
              <w:left w:type="dxa" w:w="110"/>
              <w:bottom w:type="dxa" w:w="70"/>
              <w:right w:type="dxa" w:w="110"/>
            </w:tcMar>
          </w:tcPr>
          <w:p>
            <w:pPr>
              <w:jc w:val="left"/>
            </w:pPr>
            <w:r>
              <w:rPr>
                <w:b w:val="false"/>
                <w:bCs w:val="false"/>
                <w:sz w:val="17"/>
                <w:szCs w:val="17"/>
              </w:rPr>
              <w:t xml:space="preserve">HX711 24-bit amplifier</w:t>
            </w:r>
          </w:p>
        </w:tc>
        <w:tc>
          <w:tcPr>
            <w:tcW w:type="dxa" w:w="1800"/>
            <w:shd w:fill="F7FAF8" w:color="auto" w:val="clear"/>
            <w:tcMar>
              <w:top w:type="dxa" w:w="70"/>
              <w:left w:type="dxa" w:w="110"/>
              <w:bottom w:type="dxa" w:w="70"/>
              <w:right w:type="dxa" w:w="110"/>
            </w:tcMar>
          </w:tcPr>
          <w:p>
            <w:pPr>
              <w:jc w:val="right"/>
            </w:pPr>
            <w:r>
              <w:rPr>
                <w:b w:val="false"/>
                <w:bCs w:val="false"/>
                <w:sz w:val="17"/>
                <w:szCs w:val="17"/>
              </w:rPr>
              <w:t xml:space="preserve">₹120</w:t>
            </w:r>
          </w:p>
        </w:tc>
        <w:tc>
          <w:tcPr>
            <w:tcW w:type="dxa" w:w="1400"/>
            <w:shd w:fill="F7FAF8" w:color="auto" w:val="clear"/>
            <w:tcMar>
              <w:top w:type="dxa" w:w="70"/>
              <w:left w:type="dxa" w:w="110"/>
              <w:bottom w:type="dxa" w:w="70"/>
              <w:right w:type="dxa" w:w="110"/>
            </w:tcMar>
          </w:tcPr>
          <w:p>
            <w:pPr>
              <w:jc w:val="right"/>
            </w:pPr>
            <w:r>
              <w:rPr>
                <w:b w:val="false"/>
                <w:bCs w:val="false"/>
                <w:sz w:val="17"/>
                <w:szCs w:val="17"/>
              </w:rPr>
              <w:t xml:space="preserve">28</w:t>
            </w:r>
          </w:p>
        </w:tc>
        <w:tc>
          <w:tcPr>
            <w:tcW w:type="dxa" w:w="2426"/>
            <w:shd w:fill="F7FAF8" w:color="auto" w:val="clear"/>
            <w:tcMar>
              <w:top w:type="dxa" w:w="70"/>
              <w:left w:type="dxa" w:w="110"/>
              <w:bottom w:type="dxa" w:w="70"/>
              <w:right w:type="dxa" w:w="110"/>
            </w:tcMar>
          </w:tcPr>
          <w:p>
            <w:pPr>
              <w:jc w:val="right"/>
            </w:pPr>
            <w:r>
              <w:rPr>
                <w:b w:val="false"/>
                <w:bCs w:val="false"/>
                <w:sz w:val="17"/>
                <w:szCs w:val="17"/>
              </w:rPr>
              <w:t xml:space="preserve">₹3,360</w:t>
            </w:r>
          </w:p>
        </w:tc>
      </w:tr>
      <w:tr>
        <w:tc>
          <w:tcPr>
            <w:tcW w:type="dxa" w:w="3400"/>
            <w:tcMar>
              <w:top w:type="dxa" w:w="70"/>
              <w:left w:type="dxa" w:w="110"/>
              <w:bottom w:type="dxa" w:w="70"/>
              <w:right w:type="dxa" w:w="110"/>
            </w:tcMar>
          </w:tcPr>
          <w:p>
            <w:pPr>
              <w:jc w:val="left"/>
            </w:pPr>
            <w:r>
              <w:rPr>
                <w:b w:val="false"/>
                <w:bCs w:val="false"/>
                <w:sz w:val="17"/>
                <w:szCs w:val="17"/>
              </w:rPr>
              <w:t xml:space="preserve">Load cell + mounting hardware</w:t>
            </w:r>
          </w:p>
        </w:tc>
        <w:tc>
          <w:tcPr>
            <w:tcW w:type="dxa" w:w="1800"/>
            <w:tcMar>
              <w:top w:type="dxa" w:w="70"/>
              <w:left w:type="dxa" w:w="110"/>
              <w:bottom w:type="dxa" w:w="70"/>
              <w:right w:type="dxa" w:w="110"/>
            </w:tcMar>
          </w:tcPr>
          <w:p>
            <w:pPr>
              <w:jc w:val="right"/>
            </w:pPr>
            <w:r>
              <w:rPr>
                <w:b w:val="false"/>
                <w:bCs w:val="false"/>
                <w:sz w:val="17"/>
                <w:szCs w:val="17"/>
              </w:rPr>
              <w:t xml:space="preserve">₹1,100</w:t>
            </w:r>
          </w:p>
        </w:tc>
        <w:tc>
          <w:tcPr>
            <w:tcW w:type="dxa" w:w="1400"/>
            <w:tcMar>
              <w:top w:type="dxa" w:w="70"/>
              <w:left w:type="dxa" w:w="110"/>
              <w:bottom w:type="dxa" w:w="70"/>
              <w:right w:type="dxa" w:w="110"/>
            </w:tcMar>
          </w:tcPr>
          <w:p>
            <w:pPr>
              <w:jc w:val="right"/>
            </w:pPr>
            <w:r>
              <w:rPr>
                <w:b w:val="false"/>
                <w:bCs w:val="false"/>
                <w:sz w:val="17"/>
                <w:szCs w:val="17"/>
              </w:rPr>
              <w:t xml:space="preserve">28</w:t>
            </w:r>
          </w:p>
        </w:tc>
        <w:tc>
          <w:tcPr>
            <w:tcW w:type="dxa" w:w="2426"/>
            <w:tcMar>
              <w:top w:type="dxa" w:w="70"/>
              <w:left w:type="dxa" w:w="110"/>
              <w:bottom w:type="dxa" w:w="70"/>
              <w:right w:type="dxa" w:w="110"/>
            </w:tcMar>
          </w:tcPr>
          <w:p>
            <w:pPr>
              <w:jc w:val="right"/>
            </w:pPr>
            <w:r>
              <w:rPr>
                <w:b w:val="false"/>
                <w:bCs w:val="false"/>
                <w:sz w:val="17"/>
                <w:szCs w:val="17"/>
              </w:rPr>
              <w:t xml:space="preserve">₹30,800</w:t>
            </w:r>
          </w:p>
        </w:tc>
      </w:tr>
      <w:tr>
        <w:tc>
          <w:tcPr>
            <w:tcW w:type="dxa" w:w="3400"/>
            <w:shd w:fill="F7FAF8" w:color="auto" w:val="clear"/>
            <w:tcMar>
              <w:top w:type="dxa" w:w="70"/>
              <w:left w:type="dxa" w:w="110"/>
              <w:bottom w:type="dxa" w:w="70"/>
              <w:right w:type="dxa" w:w="110"/>
            </w:tcMar>
          </w:tcPr>
          <w:p>
            <w:pPr>
              <w:jc w:val="left"/>
            </w:pPr>
            <w:r>
              <w:rPr>
                <w:b w:val="false"/>
                <w:bCs w:val="false"/>
                <w:sz w:val="17"/>
                <w:szCs w:val="17"/>
              </w:rPr>
              <w:t xml:space="preserve">5 V 2 A power adapter</w:t>
            </w:r>
          </w:p>
        </w:tc>
        <w:tc>
          <w:tcPr>
            <w:tcW w:type="dxa" w:w="1800"/>
            <w:shd w:fill="F7FAF8" w:color="auto" w:val="clear"/>
            <w:tcMar>
              <w:top w:type="dxa" w:w="70"/>
              <w:left w:type="dxa" w:w="110"/>
              <w:bottom w:type="dxa" w:w="70"/>
              <w:right w:type="dxa" w:w="110"/>
            </w:tcMar>
          </w:tcPr>
          <w:p>
            <w:pPr>
              <w:jc w:val="right"/>
            </w:pPr>
            <w:r>
              <w:rPr>
                <w:b w:val="false"/>
                <w:bCs w:val="false"/>
                <w:sz w:val="17"/>
                <w:szCs w:val="17"/>
              </w:rPr>
              <w:t xml:space="preserve">₹200</w:t>
            </w:r>
          </w:p>
        </w:tc>
        <w:tc>
          <w:tcPr>
            <w:tcW w:type="dxa" w:w="1400"/>
            <w:shd w:fill="F7FAF8" w:color="auto" w:val="clear"/>
            <w:tcMar>
              <w:top w:type="dxa" w:w="70"/>
              <w:left w:type="dxa" w:w="110"/>
              <w:bottom w:type="dxa" w:w="70"/>
              <w:right w:type="dxa" w:w="110"/>
            </w:tcMar>
          </w:tcPr>
          <w:p>
            <w:pPr>
              <w:jc w:val="right"/>
            </w:pPr>
            <w:r>
              <w:rPr>
                <w:b w:val="false"/>
                <w:bCs w:val="false"/>
                <w:sz w:val="17"/>
                <w:szCs w:val="17"/>
              </w:rPr>
              <w:t xml:space="preserve">28</w:t>
            </w:r>
          </w:p>
        </w:tc>
        <w:tc>
          <w:tcPr>
            <w:tcW w:type="dxa" w:w="2426"/>
            <w:shd w:fill="F7FAF8" w:color="auto" w:val="clear"/>
            <w:tcMar>
              <w:top w:type="dxa" w:w="70"/>
              <w:left w:type="dxa" w:w="110"/>
              <w:bottom w:type="dxa" w:w="70"/>
              <w:right w:type="dxa" w:w="110"/>
            </w:tcMar>
          </w:tcPr>
          <w:p>
            <w:pPr>
              <w:jc w:val="right"/>
            </w:pPr>
            <w:r>
              <w:rPr>
                <w:b w:val="false"/>
                <w:bCs w:val="false"/>
                <w:sz w:val="17"/>
                <w:szCs w:val="17"/>
              </w:rPr>
              <w:t xml:space="preserve">₹5,600</w:t>
            </w:r>
          </w:p>
        </w:tc>
      </w:tr>
      <w:tr>
        <w:tc>
          <w:tcPr>
            <w:tcW w:type="dxa" w:w="3400"/>
            <w:tcMar>
              <w:top w:type="dxa" w:w="70"/>
              <w:left w:type="dxa" w:w="110"/>
              <w:bottom w:type="dxa" w:w="70"/>
              <w:right w:type="dxa" w:w="110"/>
            </w:tcMar>
          </w:tcPr>
          <w:p>
            <w:pPr>
              <w:jc w:val="left"/>
            </w:pPr>
            <w:r>
              <w:rPr>
                <w:b w:val="false"/>
                <w:bCs w:val="false"/>
                <w:sz w:val="17"/>
                <w:szCs w:val="17"/>
              </w:rPr>
              <w:t xml:space="preserve">IP54 enclosure + glands</w:t>
            </w:r>
          </w:p>
        </w:tc>
        <w:tc>
          <w:tcPr>
            <w:tcW w:type="dxa" w:w="1800"/>
            <w:tcMar>
              <w:top w:type="dxa" w:w="70"/>
              <w:left w:type="dxa" w:w="110"/>
              <w:bottom w:type="dxa" w:w="70"/>
              <w:right w:type="dxa" w:w="110"/>
            </w:tcMar>
          </w:tcPr>
          <w:p>
            <w:pPr>
              <w:jc w:val="right"/>
            </w:pPr>
            <w:r>
              <w:rPr>
                <w:b w:val="false"/>
                <w:bCs w:val="false"/>
                <w:sz w:val="17"/>
                <w:szCs w:val="17"/>
              </w:rPr>
              <w:t xml:space="preserve">₹350</w:t>
            </w:r>
          </w:p>
        </w:tc>
        <w:tc>
          <w:tcPr>
            <w:tcW w:type="dxa" w:w="1400"/>
            <w:tcMar>
              <w:top w:type="dxa" w:w="70"/>
              <w:left w:type="dxa" w:w="110"/>
              <w:bottom w:type="dxa" w:w="70"/>
              <w:right w:type="dxa" w:w="110"/>
            </w:tcMar>
          </w:tcPr>
          <w:p>
            <w:pPr>
              <w:jc w:val="right"/>
            </w:pPr>
            <w:r>
              <w:rPr>
                <w:b w:val="false"/>
                <w:bCs w:val="false"/>
                <w:sz w:val="17"/>
                <w:szCs w:val="17"/>
              </w:rPr>
              <w:t xml:space="preserve">28</w:t>
            </w:r>
          </w:p>
        </w:tc>
        <w:tc>
          <w:tcPr>
            <w:tcW w:type="dxa" w:w="2426"/>
            <w:tcMar>
              <w:top w:type="dxa" w:w="70"/>
              <w:left w:type="dxa" w:w="110"/>
              <w:bottom w:type="dxa" w:w="70"/>
              <w:right w:type="dxa" w:w="110"/>
            </w:tcMar>
          </w:tcPr>
          <w:p>
            <w:pPr>
              <w:jc w:val="right"/>
            </w:pPr>
            <w:r>
              <w:rPr>
                <w:b w:val="false"/>
                <w:bCs w:val="false"/>
                <w:sz w:val="17"/>
                <w:szCs w:val="17"/>
              </w:rPr>
              <w:t xml:space="preserve">₹9,800</w:t>
            </w:r>
          </w:p>
        </w:tc>
      </w:tr>
      <w:tr>
        <w:tc>
          <w:tcPr>
            <w:tcW w:type="dxa" w:w="3400"/>
            <w:shd w:fill="F7FAF8" w:color="auto" w:val="clear"/>
            <w:tcMar>
              <w:top w:type="dxa" w:w="70"/>
              <w:left w:type="dxa" w:w="110"/>
              <w:bottom w:type="dxa" w:w="70"/>
              <w:right w:type="dxa" w:w="110"/>
            </w:tcMar>
          </w:tcPr>
          <w:p>
            <w:pPr>
              <w:jc w:val="left"/>
            </w:pPr>
            <w:r>
              <w:rPr>
                <w:b w:val="false"/>
                <w:bCs w:val="false"/>
                <w:sz w:val="17"/>
                <w:szCs w:val="17"/>
              </w:rPr>
              <w:t xml:space="preserve">Wiring, connectors, fasteners</w:t>
            </w:r>
          </w:p>
        </w:tc>
        <w:tc>
          <w:tcPr>
            <w:tcW w:type="dxa" w:w="1800"/>
            <w:shd w:fill="F7FAF8" w:color="auto" w:val="clear"/>
            <w:tcMar>
              <w:top w:type="dxa" w:w="70"/>
              <w:left w:type="dxa" w:w="110"/>
              <w:bottom w:type="dxa" w:w="70"/>
              <w:right w:type="dxa" w:w="110"/>
            </w:tcMar>
          </w:tcPr>
          <w:p>
            <w:pPr>
              <w:jc w:val="right"/>
            </w:pPr>
            <w:r>
              <w:rPr>
                <w:b w:val="false"/>
                <w:bCs w:val="false"/>
                <w:sz w:val="17"/>
                <w:szCs w:val="17"/>
              </w:rPr>
              <w:t xml:space="preserve">₹180</w:t>
            </w:r>
          </w:p>
        </w:tc>
        <w:tc>
          <w:tcPr>
            <w:tcW w:type="dxa" w:w="1400"/>
            <w:shd w:fill="F7FAF8" w:color="auto" w:val="clear"/>
            <w:tcMar>
              <w:top w:type="dxa" w:w="70"/>
              <w:left w:type="dxa" w:w="110"/>
              <w:bottom w:type="dxa" w:w="70"/>
              <w:right w:type="dxa" w:w="110"/>
            </w:tcMar>
          </w:tcPr>
          <w:p>
            <w:pPr>
              <w:jc w:val="right"/>
            </w:pPr>
            <w:r>
              <w:rPr>
                <w:b w:val="false"/>
                <w:bCs w:val="false"/>
                <w:sz w:val="17"/>
                <w:szCs w:val="17"/>
              </w:rPr>
              <w:t xml:space="preserve">28</w:t>
            </w:r>
          </w:p>
        </w:tc>
        <w:tc>
          <w:tcPr>
            <w:tcW w:type="dxa" w:w="2426"/>
            <w:shd w:fill="F7FAF8" w:color="auto" w:val="clear"/>
            <w:tcMar>
              <w:top w:type="dxa" w:w="70"/>
              <w:left w:type="dxa" w:w="110"/>
              <w:bottom w:type="dxa" w:w="70"/>
              <w:right w:type="dxa" w:w="110"/>
            </w:tcMar>
          </w:tcPr>
          <w:p>
            <w:pPr>
              <w:jc w:val="right"/>
            </w:pPr>
            <w:r>
              <w:rPr>
                <w:b w:val="false"/>
                <w:bCs w:val="false"/>
                <w:sz w:val="17"/>
                <w:szCs w:val="17"/>
              </w:rPr>
              <w:t xml:space="preserve">₹5,040</w:t>
            </w:r>
          </w:p>
        </w:tc>
      </w:tr>
      <w:tr>
        <w:tc>
          <w:tcPr>
            <w:tcW w:type="dxa" w:w="3400"/>
            <w:tcMar>
              <w:top w:type="dxa" w:w="70"/>
              <w:left w:type="dxa" w:w="110"/>
              <w:bottom w:type="dxa" w:w="70"/>
              <w:right w:type="dxa" w:w="110"/>
            </w:tcMar>
          </w:tcPr>
          <w:p>
            <w:pPr>
              <w:jc w:val="left"/>
            </w:pPr>
            <w:r>
              <w:rPr>
                <w:b w:val="false"/>
                <w:bCs w:val="false"/>
                <w:sz w:val="17"/>
                <w:szCs w:val="17"/>
              </w:rPr>
              <w:t xml:space="preserve">Spares and attrition (~15%)</w:t>
            </w:r>
          </w:p>
        </w:tc>
        <w:tc>
          <w:tcPr>
            <w:tcW w:type="dxa" w:w="1800"/>
            <w:tcMar>
              <w:top w:type="dxa" w:w="70"/>
              <w:left w:type="dxa" w:w="110"/>
              <w:bottom w:type="dxa" w:w="70"/>
              <w:right w:type="dxa" w:w="110"/>
            </w:tcMar>
          </w:tcPr>
          <w:p>
            <w:pPr>
              <w:jc w:val="right"/>
            </w:pPr>
            <w:r>
              <w:rPr>
                <w:b w:val="false"/>
                <w:bCs w:val="false"/>
                <w:sz w:val="17"/>
                <w:szCs w:val="17"/>
              </w:rPr>
              <w:t xml:space="preserve">—</w:t>
            </w:r>
          </w:p>
        </w:tc>
        <w:tc>
          <w:tcPr>
            <w:tcW w:type="dxa" w:w="1400"/>
            <w:tcMar>
              <w:top w:type="dxa" w:w="70"/>
              <w:left w:type="dxa" w:w="110"/>
              <w:bottom w:type="dxa" w:w="70"/>
              <w:right w:type="dxa" w:w="110"/>
            </w:tcMar>
          </w:tcPr>
          <w:p>
            <w:pPr>
              <w:jc w:val="right"/>
            </w:pPr>
            <w:r>
              <w:rPr>
                <w:b w:val="false"/>
                <w:bCs w:val="false"/>
                <w:sz w:val="17"/>
                <w:szCs w:val="17"/>
              </w:rPr>
              <w:t xml:space="preserve">~4 nodes</w:t>
            </w:r>
          </w:p>
        </w:tc>
        <w:tc>
          <w:tcPr>
            <w:tcW w:type="dxa" w:w="2426"/>
            <w:tcMar>
              <w:top w:type="dxa" w:w="70"/>
              <w:left w:type="dxa" w:w="110"/>
              <w:bottom w:type="dxa" w:w="70"/>
              <w:right w:type="dxa" w:w="110"/>
            </w:tcMar>
          </w:tcPr>
          <w:p>
            <w:pPr>
              <w:jc w:val="right"/>
            </w:pPr>
            <w:r>
              <w:rPr>
                <w:b w:val="false"/>
                <w:bCs w:val="false"/>
                <w:sz w:val="17"/>
                <w:szCs w:val="17"/>
              </w:rPr>
              <w:t xml:space="preserve">₹10,080</w:t>
            </w:r>
          </w:p>
        </w:tc>
      </w:tr>
      <w:tr>
        <w:tc>
          <w:tcPr>
            <w:tcW w:type="dxa" w:w="3400"/>
            <w:shd w:fill="EAF7EF" w:color="auto" w:val="clear"/>
            <w:tcMar>
              <w:top w:type="dxa" w:w="70"/>
              <w:left w:type="dxa" w:w="110"/>
              <w:bottom w:type="dxa" w:w="70"/>
              <w:right w:type="dxa" w:w="110"/>
            </w:tcMar>
          </w:tcPr>
          <w:p>
            <w:pPr>
              <w:jc w:val="left"/>
            </w:pPr>
            <w:r>
              <w:rPr>
                <w:b/>
                <w:bCs/>
                <w:sz w:val="17"/>
                <w:szCs w:val="17"/>
              </w:rPr>
              <w:t xml:space="preserve">HARDWARE CAPEX TOTAL</w:t>
            </w:r>
          </w:p>
        </w:tc>
        <w:tc>
          <w:tcPr>
            <w:tcW w:type="dxa" w:w="1800"/>
            <w:shd w:fill="EAF7EF" w:color="auto" w:val="clear"/>
            <w:tcMar>
              <w:top w:type="dxa" w:w="70"/>
              <w:left w:type="dxa" w:w="110"/>
              <w:bottom w:type="dxa" w:w="70"/>
              <w:right w:type="dxa" w:w="110"/>
            </w:tcMar>
          </w:tcPr>
          <w:p>
            <w:pPr>
              <w:jc w:val="right"/>
            </w:pPr>
            <w:r>
              <w:rPr>
                <w:b/>
                <w:bCs/>
                <w:sz w:val="17"/>
                <w:szCs w:val="17"/>
              </w:rPr>
              <w:t xml:space="preserve"/>
            </w:r>
          </w:p>
        </w:tc>
        <w:tc>
          <w:tcPr>
            <w:tcW w:type="dxa" w:w="1400"/>
            <w:shd w:fill="EAF7EF" w:color="auto" w:val="clear"/>
            <w:tcMar>
              <w:top w:type="dxa" w:w="70"/>
              <w:left w:type="dxa" w:w="110"/>
              <w:bottom w:type="dxa" w:w="70"/>
              <w:right w:type="dxa" w:w="110"/>
            </w:tcMar>
          </w:tcPr>
          <w:p>
            <w:pPr>
              <w:jc w:val="right"/>
            </w:pPr>
            <w:r>
              <w:rPr>
                <w:b/>
                <w:bCs/>
                <w:sz w:val="17"/>
                <w:szCs w:val="17"/>
              </w:rPr>
              <w:t xml:space="preserve"/>
            </w:r>
          </w:p>
        </w:tc>
        <w:tc>
          <w:tcPr>
            <w:tcW w:type="dxa" w:w="2426"/>
            <w:shd w:fill="EAF7EF" w:color="auto" w:val="clear"/>
            <w:tcMar>
              <w:top w:type="dxa" w:w="70"/>
              <w:left w:type="dxa" w:w="110"/>
              <w:bottom w:type="dxa" w:w="70"/>
              <w:right w:type="dxa" w:w="110"/>
            </w:tcMar>
          </w:tcPr>
          <w:p>
            <w:pPr>
              <w:jc w:val="right"/>
            </w:pPr>
            <w:r>
              <w:rPr>
                <w:b/>
                <w:bCs/>
                <w:sz w:val="17"/>
                <w:szCs w:val="17"/>
              </w:rPr>
              <w:t xml:space="preserve">≈ ₹77,000</w:t>
            </w:r>
          </w:p>
        </w:tc>
      </w:tr>
    </w:tbl>
    <w:p>
      <w:pPr>
        <w:spacing w:after="120"/>
      </w:pPr>
    </w:p>
    <w:p>
      <w:pPr>
        <w:spacing w:after="110" w:line="280"/>
        <w:jc w:val="both"/>
      </w:pPr>
      <w:r>
        <w:rPr>
          <w:b w:val="false"/>
          <w:bCs w:val="false"/>
          <w:i w:val="false"/>
          <w:iCs w:val="false"/>
          <w:color w:val="101828"/>
          <w:sz w:val="20"/>
          <w:szCs w:val="20"/>
        </w:rPr>
        <w:t xml:space="preserve">Per-node cost works out to roughly ₹2,400. A realistic range is ₹60,000 to ₹1,00,000 for the full set, driven almost entirely by load-cell quality.</w:t>
      </w:r>
    </w:p>
    <w:p>
      <w:r>
        <w:br w:type="page"/>
      </w:r>
    </w:p>
    <w:p>
      <w:pPr>
        <w:pStyle w:val="Heading1"/>
        <w:spacing w:after="150" w:before="300"/>
      </w:pPr>
      <w:r>
        <w:t xml:space="preserve">5. One-Year Budget — Three Options</w:t>
      </w:r>
    </w:p>
    <w:p>
      <w:pPr>
        <w:spacing w:after="110" w:line="280"/>
        <w:jc w:val="both"/>
      </w:pPr>
      <w:r>
        <w:rPr>
          <w:b w:val="false"/>
          <w:bCs w:val="false"/>
          <w:i w:val="false"/>
          <w:iCs w:val="false"/>
          <w:color w:val="101828"/>
          <w:sz w:val="20"/>
          <w:szCs w:val="20"/>
        </w:rPr>
        <w:t xml:space="preserve">Excludes television displays, which are costed separately in section 6 because they are optional and revenue-generating rather than operational.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100"/>
        <w:gridCol w:w="1926"/>
      </w:tblGrid>
      <w:tr>
        <w:trPr>
          <w:tblHeader/>
        </w:trPr>
        <w:tc>
          <w:tcPr>
            <w:tcW w:type="dxa" w:w="3000"/>
            <w:shd w:fill="16A34A" w:color="auto" w:val="clear"/>
            <w:tcMar>
              <w:top w:type="dxa" w:w="80"/>
              <w:left w:type="dxa" w:w="110"/>
              <w:bottom w:type="dxa" w:w="80"/>
              <w:right w:type="dxa" w:w="110"/>
            </w:tcMar>
          </w:tcPr>
          <w:p>
            <w:pPr>
              <w:jc w:val="left"/>
            </w:pPr>
            <w:r>
              <w:rPr>
                <w:b/>
                <w:bCs/>
                <w:color w:val="FFFFFF"/>
                <w:sz w:val="17"/>
                <w:szCs w:val="17"/>
              </w:rPr>
              <w:t xml:space="preserve">Line item</w:t>
            </w:r>
          </w:p>
        </w:tc>
        <w:tc>
          <w:tcPr>
            <w:tcW w:type="dxa" w:w="2000"/>
            <w:shd w:fill="16A34A" w:color="auto" w:val="clear"/>
            <w:tcMar>
              <w:top w:type="dxa" w:w="80"/>
              <w:left w:type="dxa" w:w="110"/>
              <w:bottom w:type="dxa" w:w="80"/>
              <w:right w:type="dxa" w:w="110"/>
            </w:tcMar>
          </w:tcPr>
          <w:p>
            <w:pPr>
              <w:jc w:val="right"/>
            </w:pPr>
            <w:r>
              <w:rPr>
                <w:b/>
                <w:bCs/>
                <w:color w:val="FFFFFF"/>
                <w:sz w:val="17"/>
                <w:szCs w:val="17"/>
              </w:rPr>
              <w:t xml:space="preserve">ThingSpeak</w:t>
            </w:r>
          </w:p>
        </w:tc>
        <w:tc>
          <w:tcPr>
            <w:tcW w:type="dxa" w:w="2100"/>
            <w:shd w:fill="16A34A" w:color="auto" w:val="clear"/>
            <w:tcMar>
              <w:top w:type="dxa" w:w="80"/>
              <w:left w:type="dxa" w:w="110"/>
              <w:bottom w:type="dxa" w:w="80"/>
              <w:right w:type="dxa" w:w="110"/>
            </w:tcMar>
          </w:tcPr>
          <w:p>
            <w:pPr>
              <w:jc w:val="right"/>
            </w:pPr>
            <w:r>
              <w:rPr>
                <w:b/>
                <w:bCs/>
                <w:color w:val="FFFFFF"/>
                <w:sz w:val="17"/>
                <w:szCs w:val="17"/>
              </w:rPr>
              <w:t xml:space="preserve">AWS</w:t>
            </w:r>
          </w:p>
        </w:tc>
        <w:tc>
          <w:tcPr>
            <w:tcW w:type="dxa" w:w="1926"/>
            <w:shd w:fill="16A34A" w:color="auto" w:val="clear"/>
            <w:tcMar>
              <w:top w:type="dxa" w:w="80"/>
              <w:left w:type="dxa" w:w="110"/>
              <w:bottom w:type="dxa" w:w="80"/>
              <w:right w:type="dxa" w:w="110"/>
            </w:tcMar>
          </w:tcPr>
          <w:p>
            <w:pPr>
              <w:jc w:val="right"/>
            </w:pPr>
            <w:r>
              <w:rPr>
                <w:b/>
                <w:bCs/>
                <w:color w:val="FFFFFF"/>
                <w:sz w:val="17"/>
                <w:szCs w:val="17"/>
              </w:rPr>
              <w:t xml:space="preserve">Self-hosted</w:t>
            </w:r>
          </w:p>
        </w:tc>
      </w:tr>
      <w:tr>
        <w:tc>
          <w:tcPr>
            <w:tcW w:type="dxa" w:w="3000"/>
            <w:tcMar>
              <w:top w:type="dxa" w:w="70"/>
              <w:left w:type="dxa" w:w="110"/>
              <w:bottom w:type="dxa" w:w="70"/>
              <w:right w:type="dxa" w:w="110"/>
            </w:tcMar>
          </w:tcPr>
          <w:p>
            <w:pPr>
              <w:jc w:val="left"/>
            </w:pPr>
            <w:r>
              <w:rPr>
                <w:b w:val="false"/>
                <w:bCs w:val="false"/>
                <w:sz w:val="17"/>
                <w:szCs w:val="17"/>
              </w:rPr>
              <w:t xml:space="preserve">Hardware (one-time)</w:t>
            </w:r>
          </w:p>
        </w:tc>
        <w:tc>
          <w:tcPr>
            <w:tcW w:type="dxa" w:w="2000"/>
            <w:tcMar>
              <w:top w:type="dxa" w:w="70"/>
              <w:left w:type="dxa" w:w="110"/>
              <w:bottom w:type="dxa" w:w="70"/>
              <w:right w:type="dxa" w:w="110"/>
            </w:tcMar>
          </w:tcPr>
          <w:p>
            <w:pPr>
              <w:jc w:val="right"/>
            </w:pPr>
            <w:r>
              <w:rPr>
                <w:b w:val="false"/>
                <w:bCs w:val="false"/>
                <w:sz w:val="17"/>
                <w:szCs w:val="17"/>
              </w:rPr>
              <w:t xml:space="preserve">₹77,000</w:t>
            </w:r>
          </w:p>
        </w:tc>
        <w:tc>
          <w:tcPr>
            <w:tcW w:type="dxa" w:w="2100"/>
            <w:tcMar>
              <w:top w:type="dxa" w:w="70"/>
              <w:left w:type="dxa" w:w="110"/>
              <w:bottom w:type="dxa" w:w="70"/>
              <w:right w:type="dxa" w:w="110"/>
            </w:tcMar>
          </w:tcPr>
          <w:p>
            <w:pPr>
              <w:jc w:val="right"/>
            </w:pPr>
            <w:r>
              <w:rPr>
                <w:b w:val="false"/>
                <w:bCs w:val="false"/>
                <w:sz w:val="17"/>
                <w:szCs w:val="17"/>
              </w:rPr>
              <w:t xml:space="preserve">₹77,000</w:t>
            </w:r>
          </w:p>
        </w:tc>
        <w:tc>
          <w:tcPr>
            <w:tcW w:type="dxa" w:w="1926"/>
            <w:tcMar>
              <w:top w:type="dxa" w:w="70"/>
              <w:left w:type="dxa" w:w="110"/>
              <w:bottom w:type="dxa" w:w="70"/>
              <w:right w:type="dxa" w:w="110"/>
            </w:tcMar>
          </w:tcPr>
          <w:p>
            <w:pPr>
              <w:jc w:val="right"/>
            </w:pPr>
            <w:r>
              <w:rPr>
                <w:b w:val="false"/>
                <w:bCs w:val="false"/>
                <w:sz w:val="17"/>
                <w:szCs w:val="17"/>
              </w:rPr>
              <w:t xml:space="preserve">₹77,000</w:t>
            </w:r>
          </w:p>
        </w:tc>
      </w:tr>
      <w:tr>
        <w:tc>
          <w:tcPr>
            <w:tcW w:type="dxa" w:w="3000"/>
            <w:shd w:fill="F7FAF8" w:color="auto" w:val="clear"/>
            <w:tcMar>
              <w:top w:type="dxa" w:w="70"/>
              <w:left w:type="dxa" w:w="110"/>
              <w:bottom w:type="dxa" w:w="70"/>
              <w:right w:type="dxa" w:w="110"/>
            </w:tcMar>
          </w:tcPr>
          <w:p>
            <w:pPr>
              <w:jc w:val="left"/>
            </w:pPr>
            <w:r>
              <w:rPr>
                <w:b w:val="false"/>
                <w:bCs w:val="false"/>
                <w:sz w:val="17"/>
                <w:szCs w:val="17"/>
              </w:rPr>
              <w:t xml:space="preserve">Cloud data / messages</w:t>
            </w:r>
          </w:p>
        </w:tc>
        <w:tc>
          <w:tcPr>
            <w:tcW w:type="dxa" w:w="2000"/>
            <w:shd w:fill="F7FAF8" w:color="auto" w:val="clear"/>
            <w:tcMar>
              <w:top w:type="dxa" w:w="70"/>
              <w:left w:type="dxa" w:w="110"/>
              <w:bottom w:type="dxa" w:w="70"/>
              <w:right w:type="dxa" w:w="110"/>
            </w:tcMar>
          </w:tcPr>
          <w:p>
            <w:pPr>
              <w:jc w:val="right"/>
            </w:pPr>
            <w:r>
              <w:rPr>
                <w:b w:val="false"/>
                <w:bCs w:val="false"/>
                <w:sz w:val="17"/>
                <w:szCs w:val="17"/>
              </w:rPr>
              <w:t xml:space="preserve">₹56,550</w:t>
            </w:r>
          </w:p>
        </w:tc>
        <w:tc>
          <w:tcPr>
            <w:tcW w:type="dxa" w:w="2100"/>
            <w:shd w:fill="F7FAF8" w:color="auto" w:val="clear"/>
            <w:tcMar>
              <w:top w:type="dxa" w:w="70"/>
              <w:left w:type="dxa" w:w="110"/>
              <w:bottom w:type="dxa" w:w="70"/>
              <w:right w:type="dxa" w:w="110"/>
            </w:tcMar>
          </w:tcPr>
          <w:p>
            <w:pPr>
              <w:jc w:val="right"/>
            </w:pPr>
            <w:r>
              <w:rPr>
                <w:b w:val="false"/>
                <w:bCs w:val="false"/>
                <w:sz w:val="17"/>
                <w:szCs w:val="17"/>
              </w:rPr>
              <w:t xml:space="preserve">₹1,050  (₹0 in yr 1)</w:t>
            </w:r>
          </w:p>
        </w:tc>
        <w:tc>
          <w:tcPr>
            <w:tcW w:type="dxa" w:w="1926"/>
            <w:shd w:fill="F7FAF8" w:color="auto" w:val="clear"/>
            <w:tcMar>
              <w:top w:type="dxa" w:w="70"/>
              <w:left w:type="dxa" w:w="110"/>
              <w:bottom w:type="dxa" w:w="70"/>
              <w:right w:type="dxa" w:w="110"/>
            </w:tcMar>
          </w:tcPr>
          <w:p>
            <w:pPr>
              <w:jc w:val="right"/>
            </w:pPr>
            <w:r>
              <w:rPr>
                <w:b w:val="false"/>
                <w:bCs w:val="false"/>
                <w:sz w:val="17"/>
                <w:szCs w:val="17"/>
              </w:rPr>
              <w:t xml:space="preserve">—</w:t>
            </w:r>
          </w:p>
        </w:tc>
      </w:tr>
      <w:tr>
        <w:tc>
          <w:tcPr>
            <w:tcW w:type="dxa" w:w="3000"/>
            <w:tcMar>
              <w:top w:type="dxa" w:w="70"/>
              <w:left w:type="dxa" w:w="110"/>
              <w:bottom w:type="dxa" w:w="70"/>
              <w:right w:type="dxa" w:w="110"/>
            </w:tcMar>
          </w:tcPr>
          <w:p>
            <w:pPr>
              <w:jc w:val="left"/>
            </w:pPr>
            <w:r>
              <w:rPr>
                <w:b w:val="false"/>
                <w:bCs w:val="false"/>
                <w:sz w:val="17"/>
                <w:szCs w:val="17"/>
              </w:rPr>
              <w:t xml:space="preserve">Application hosting</w:t>
            </w:r>
          </w:p>
        </w:tc>
        <w:tc>
          <w:tcPr>
            <w:tcW w:type="dxa" w:w="2000"/>
            <w:tcMar>
              <w:top w:type="dxa" w:w="70"/>
              <w:left w:type="dxa" w:w="110"/>
              <w:bottom w:type="dxa" w:w="70"/>
              <w:right w:type="dxa" w:w="110"/>
            </w:tcMar>
          </w:tcPr>
          <w:p>
            <w:pPr>
              <w:jc w:val="right"/>
            </w:pPr>
            <w:r>
              <w:rPr>
                <w:b w:val="false"/>
                <w:bCs w:val="false"/>
                <w:sz w:val="17"/>
                <w:szCs w:val="17"/>
              </w:rPr>
              <w:t xml:space="preserve">₹0 (Vercel)</w:t>
            </w:r>
          </w:p>
        </w:tc>
        <w:tc>
          <w:tcPr>
            <w:tcW w:type="dxa" w:w="2100"/>
            <w:tcMar>
              <w:top w:type="dxa" w:w="70"/>
              <w:left w:type="dxa" w:w="110"/>
              <w:bottom w:type="dxa" w:w="70"/>
              <w:right w:type="dxa" w:w="110"/>
            </w:tcMar>
          </w:tcPr>
          <w:p>
            <w:pPr>
              <w:jc w:val="right"/>
            </w:pPr>
            <w:r>
              <w:rPr>
                <w:b w:val="false"/>
                <w:bCs w:val="false"/>
                <w:sz w:val="17"/>
                <w:szCs w:val="17"/>
              </w:rPr>
              <w:t xml:space="preserve">₹5,220</w:t>
            </w:r>
          </w:p>
        </w:tc>
        <w:tc>
          <w:tcPr>
            <w:tcW w:type="dxa" w:w="1926"/>
            <w:tcMar>
              <w:top w:type="dxa" w:w="70"/>
              <w:left w:type="dxa" w:w="110"/>
              <w:bottom w:type="dxa" w:w="70"/>
              <w:right w:type="dxa" w:w="110"/>
            </w:tcMar>
          </w:tcPr>
          <w:p>
            <w:pPr>
              <w:jc w:val="right"/>
            </w:pPr>
            <w:r>
              <w:rPr>
                <w:b w:val="false"/>
                <w:bCs w:val="false"/>
                <w:sz w:val="17"/>
                <w:szCs w:val="17"/>
              </w:rPr>
              <w:t xml:space="preserve">₹6,000</w:t>
            </w:r>
          </w:p>
        </w:tc>
      </w:tr>
      <w:tr>
        <w:tc>
          <w:tcPr>
            <w:tcW w:type="dxa" w:w="3000"/>
            <w:shd w:fill="F7FAF8" w:color="auto" w:val="clear"/>
            <w:tcMar>
              <w:top w:type="dxa" w:w="70"/>
              <w:left w:type="dxa" w:w="110"/>
              <w:bottom w:type="dxa" w:w="70"/>
              <w:right w:type="dxa" w:w="110"/>
            </w:tcMar>
          </w:tcPr>
          <w:p>
            <w:pPr>
              <w:jc w:val="left"/>
            </w:pPr>
            <w:r>
              <w:rPr>
                <w:b w:val="false"/>
                <w:bCs w:val="false"/>
                <w:sz w:val="17"/>
                <w:szCs w:val="17"/>
              </w:rPr>
              <w:t xml:space="preserve">Domain (.in / .com)</w:t>
            </w:r>
          </w:p>
        </w:tc>
        <w:tc>
          <w:tcPr>
            <w:tcW w:type="dxa" w:w="2000"/>
            <w:shd w:fill="F7FAF8" w:color="auto" w:val="clear"/>
            <w:tcMar>
              <w:top w:type="dxa" w:w="70"/>
              <w:left w:type="dxa" w:w="110"/>
              <w:bottom w:type="dxa" w:w="70"/>
              <w:right w:type="dxa" w:w="110"/>
            </w:tcMar>
          </w:tcPr>
          <w:p>
            <w:pPr>
              <w:jc w:val="right"/>
            </w:pPr>
            <w:r>
              <w:rPr>
                <w:b w:val="false"/>
                <w:bCs w:val="false"/>
                <w:sz w:val="17"/>
                <w:szCs w:val="17"/>
              </w:rPr>
              <w:t xml:space="preserve">₹1,200</w:t>
            </w:r>
          </w:p>
        </w:tc>
        <w:tc>
          <w:tcPr>
            <w:tcW w:type="dxa" w:w="2100"/>
            <w:shd w:fill="F7FAF8" w:color="auto" w:val="clear"/>
            <w:tcMar>
              <w:top w:type="dxa" w:w="70"/>
              <w:left w:type="dxa" w:w="110"/>
              <w:bottom w:type="dxa" w:w="70"/>
              <w:right w:type="dxa" w:w="110"/>
            </w:tcMar>
          </w:tcPr>
          <w:p>
            <w:pPr>
              <w:jc w:val="right"/>
            </w:pPr>
            <w:r>
              <w:rPr>
                <w:b w:val="false"/>
                <w:bCs w:val="false"/>
                <w:sz w:val="17"/>
                <w:szCs w:val="17"/>
              </w:rPr>
              <w:t xml:space="preserve">₹1,200</w:t>
            </w:r>
          </w:p>
        </w:tc>
        <w:tc>
          <w:tcPr>
            <w:tcW w:type="dxa" w:w="1926"/>
            <w:shd w:fill="F7FAF8" w:color="auto" w:val="clear"/>
            <w:tcMar>
              <w:top w:type="dxa" w:w="70"/>
              <w:left w:type="dxa" w:w="110"/>
              <w:bottom w:type="dxa" w:w="70"/>
              <w:right w:type="dxa" w:w="110"/>
            </w:tcMar>
          </w:tcPr>
          <w:p>
            <w:pPr>
              <w:jc w:val="right"/>
            </w:pPr>
            <w:r>
              <w:rPr>
                <w:b w:val="false"/>
                <w:bCs w:val="false"/>
                <w:sz w:val="17"/>
                <w:szCs w:val="17"/>
              </w:rPr>
              <w:t xml:space="preserve">₹1,200</w:t>
            </w:r>
          </w:p>
        </w:tc>
      </w:tr>
      <w:tr>
        <w:tc>
          <w:tcPr>
            <w:tcW w:type="dxa" w:w="3000"/>
            <w:tcMar>
              <w:top w:type="dxa" w:w="70"/>
              <w:left w:type="dxa" w:w="110"/>
              <w:bottom w:type="dxa" w:w="70"/>
              <w:right w:type="dxa" w:w="110"/>
            </w:tcMar>
          </w:tcPr>
          <w:p>
            <w:pPr>
              <w:jc w:val="left"/>
            </w:pPr>
            <w:r>
              <w:rPr>
                <w:b w:val="false"/>
                <w:bCs w:val="false"/>
                <w:sz w:val="17"/>
                <w:szCs w:val="17"/>
              </w:rPr>
              <w:t xml:space="preserve">Ad media (Cloudinary free tier)</w:t>
            </w:r>
          </w:p>
        </w:tc>
        <w:tc>
          <w:tcPr>
            <w:tcW w:type="dxa" w:w="2000"/>
            <w:tcMar>
              <w:top w:type="dxa" w:w="70"/>
              <w:left w:type="dxa" w:w="110"/>
              <w:bottom w:type="dxa" w:w="70"/>
              <w:right w:type="dxa" w:w="110"/>
            </w:tcMar>
          </w:tcPr>
          <w:p>
            <w:pPr>
              <w:jc w:val="right"/>
            </w:pPr>
            <w:r>
              <w:rPr>
                <w:b w:val="false"/>
                <w:bCs w:val="false"/>
                <w:sz w:val="17"/>
                <w:szCs w:val="17"/>
              </w:rPr>
              <w:t xml:space="preserve">₹0</w:t>
            </w:r>
          </w:p>
        </w:tc>
        <w:tc>
          <w:tcPr>
            <w:tcW w:type="dxa" w:w="2100"/>
            <w:tcMar>
              <w:top w:type="dxa" w:w="70"/>
              <w:left w:type="dxa" w:w="110"/>
              <w:bottom w:type="dxa" w:w="70"/>
              <w:right w:type="dxa" w:w="110"/>
            </w:tcMar>
          </w:tcPr>
          <w:p>
            <w:pPr>
              <w:jc w:val="right"/>
            </w:pPr>
            <w:r>
              <w:rPr>
                <w:b w:val="false"/>
                <w:bCs w:val="false"/>
                <w:sz w:val="17"/>
                <w:szCs w:val="17"/>
              </w:rPr>
              <w:t xml:space="preserve">₹0</w:t>
            </w:r>
          </w:p>
        </w:tc>
        <w:tc>
          <w:tcPr>
            <w:tcW w:type="dxa" w:w="1926"/>
            <w:tcMar>
              <w:top w:type="dxa" w:w="70"/>
              <w:left w:type="dxa" w:w="110"/>
              <w:bottom w:type="dxa" w:w="70"/>
              <w:right w:type="dxa" w:w="110"/>
            </w:tcMar>
          </w:tcPr>
          <w:p>
            <w:pPr>
              <w:jc w:val="right"/>
            </w:pPr>
            <w:r>
              <w:rPr>
                <w:b w:val="false"/>
                <w:bCs w:val="false"/>
                <w:sz w:val="17"/>
                <w:szCs w:val="17"/>
              </w:rPr>
              <w:t xml:space="preserve">₹0</w:t>
            </w:r>
          </w:p>
        </w:tc>
      </w:tr>
      <w:tr>
        <w:tc>
          <w:tcPr>
            <w:tcW w:type="dxa" w:w="3000"/>
            <w:shd w:fill="F7FAF8" w:color="auto" w:val="clear"/>
            <w:tcMar>
              <w:top w:type="dxa" w:w="70"/>
              <w:left w:type="dxa" w:w="110"/>
              <w:bottom w:type="dxa" w:w="70"/>
              <w:right w:type="dxa" w:w="110"/>
            </w:tcMar>
          </w:tcPr>
          <w:p>
            <w:pPr>
              <w:jc w:val="left"/>
            </w:pPr>
            <w:r>
              <w:rPr>
                <w:b w:val="false"/>
                <w:bCs w:val="false"/>
                <w:sz w:val="17"/>
                <w:szCs w:val="17"/>
              </w:rPr>
              <w:t xml:space="preserve">Maintenance and recalibration</w:t>
            </w:r>
          </w:p>
        </w:tc>
        <w:tc>
          <w:tcPr>
            <w:tcW w:type="dxa" w:w="2000"/>
            <w:shd w:fill="F7FAF8" w:color="auto" w:val="clear"/>
            <w:tcMar>
              <w:top w:type="dxa" w:w="70"/>
              <w:left w:type="dxa" w:w="110"/>
              <w:bottom w:type="dxa" w:w="70"/>
              <w:right w:type="dxa" w:w="110"/>
            </w:tcMar>
          </w:tcPr>
          <w:p>
            <w:pPr>
              <w:jc w:val="right"/>
            </w:pPr>
            <w:r>
              <w:rPr>
                <w:b w:val="false"/>
                <w:bCs w:val="false"/>
                <w:sz w:val="17"/>
                <w:szCs w:val="17"/>
              </w:rPr>
              <w:t xml:space="preserve">₹10,000</w:t>
            </w:r>
          </w:p>
        </w:tc>
        <w:tc>
          <w:tcPr>
            <w:tcW w:type="dxa" w:w="2100"/>
            <w:shd w:fill="F7FAF8" w:color="auto" w:val="clear"/>
            <w:tcMar>
              <w:top w:type="dxa" w:w="70"/>
              <w:left w:type="dxa" w:w="110"/>
              <w:bottom w:type="dxa" w:w="70"/>
              <w:right w:type="dxa" w:w="110"/>
            </w:tcMar>
          </w:tcPr>
          <w:p>
            <w:pPr>
              <w:jc w:val="right"/>
            </w:pPr>
            <w:r>
              <w:rPr>
                <w:b w:val="false"/>
                <w:bCs w:val="false"/>
                <w:sz w:val="17"/>
                <w:szCs w:val="17"/>
              </w:rPr>
              <w:t xml:space="preserve">₹10,000</w:t>
            </w:r>
          </w:p>
        </w:tc>
        <w:tc>
          <w:tcPr>
            <w:tcW w:type="dxa" w:w="1926"/>
            <w:shd w:fill="F7FAF8" w:color="auto" w:val="clear"/>
            <w:tcMar>
              <w:top w:type="dxa" w:w="70"/>
              <w:left w:type="dxa" w:w="110"/>
              <w:bottom w:type="dxa" w:w="70"/>
              <w:right w:type="dxa" w:w="110"/>
            </w:tcMar>
          </w:tcPr>
          <w:p>
            <w:pPr>
              <w:jc w:val="right"/>
            </w:pPr>
            <w:r>
              <w:rPr>
                <w:b w:val="false"/>
                <w:bCs w:val="false"/>
                <w:sz w:val="17"/>
                <w:szCs w:val="17"/>
              </w:rPr>
              <w:t xml:space="preserve">₹10,000</w:t>
            </w:r>
          </w:p>
        </w:tc>
      </w:tr>
      <w:tr>
        <w:tc>
          <w:tcPr>
            <w:tcW w:type="dxa" w:w="3000"/>
            <w:tcMar>
              <w:top w:type="dxa" w:w="70"/>
              <w:left w:type="dxa" w:w="110"/>
              <w:bottom w:type="dxa" w:w="70"/>
              <w:right w:type="dxa" w:w="110"/>
            </w:tcMar>
          </w:tcPr>
          <w:p>
            <w:pPr>
              <w:jc w:val="left"/>
            </w:pPr>
            <w:r>
              <w:rPr>
                <w:b w:val="false"/>
                <w:bCs w:val="false"/>
                <w:sz w:val="17"/>
                <w:szCs w:val="17"/>
              </w:rPr>
              <w:t xml:space="preserve">Contingency (10%)</w:t>
            </w:r>
          </w:p>
        </w:tc>
        <w:tc>
          <w:tcPr>
            <w:tcW w:type="dxa" w:w="2000"/>
            <w:tcMar>
              <w:top w:type="dxa" w:w="70"/>
              <w:left w:type="dxa" w:w="110"/>
              <w:bottom w:type="dxa" w:w="70"/>
              <w:right w:type="dxa" w:w="110"/>
            </w:tcMar>
          </w:tcPr>
          <w:p>
            <w:pPr>
              <w:jc w:val="right"/>
            </w:pPr>
            <w:r>
              <w:rPr>
                <w:b w:val="false"/>
                <w:bCs w:val="false"/>
                <w:sz w:val="17"/>
                <w:szCs w:val="17"/>
              </w:rPr>
              <w:t xml:space="preserve">₹14,475</w:t>
            </w:r>
          </w:p>
        </w:tc>
        <w:tc>
          <w:tcPr>
            <w:tcW w:type="dxa" w:w="2100"/>
            <w:tcMar>
              <w:top w:type="dxa" w:w="70"/>
              <w:left w:type="dxa" w:w="110"/>
              <w:bottom w:type="dxa" w:w="70"/>
              <w:right w:type="dxa" w:w="110"/>
            </w:tcMar>
          </w:tcPr>
          <w:p>
            <w:pPr>
              <w:jc w:val="right"/>
            </w:pPr>
            <w:r>
              <w:rPr>
                <w:b w:val="false"/>
                <w:bCs w:val="false"/>
                <w:sz w:val="17"/>
                <w:szCs w:val="17"/>
              </w:rPr>
              <w:t xml:space="preserve">₹9,447</w:t>
            </w:r>
          </w:p>
        </w:tc>
        <w:tc>
          <w:tcPr>
            <w:tcW w:type="dxa" w:w="1926"/>
            <w:tcMar>
              <w:top w:type="dxa" w:w="70"/>
              <w:left w:type="dxa" w:w="110"/>
              <w:bottom w:type="dxa" w:w="70"/>
              <w:right w:type="dxa" w:w="110"/>
            </w:tcMar>
          </w:tcPr>
          <w:p>
            <w:pPr>
              <w:jc w:val="right"/>
            </w:pPr>
            <w:r>
              <w:rPr>
                <w:b w:val="false"/>
                <w:bCs w:val="false"/>
                <w:sz w:val="17"/>
                <w:szCs w:val="17"/>
              </w:rPr>
              <w:t xml:space="preserve">₹9,420</w:t>
            </w:r>
          </w:p>
        </w:tc>
      </w:tr>
      <w:tr>
        <w:tc>
          <w:tcPr>
            <w:tcW w:type="dxa" w:w="3000"/>
            <w:shd w:fill="EAF7EF" w:color="auto" w:val="clear"/>
            <w:tcMar>
              <w:top w:type="dxa" w:w="70"/>
              <w:left w:type="dxa" w:w="110"/>
              <w:bottom w:type="dxa" w:w="70"/>
              <w:right w:type="dxa" w:w="110"/>
            </w:tcMar>
          </w:tcPr>
          <w:p>
            <w:pPr>
              <w:jc w:val="left"/>
            </w:pPr>
            <w:r>
              <w:rPr>
                <w:b/>
                <w:bCs/>
                <w:sz w:val="17"/>
                <w:szCs w:val="17"/>
              </w:rPr>
              <w:t xml:space="preserve">YEAR 1 TOTAL</w:t>
            </w:r>
          </w:p>
        </w:tc>
        <w:tc>
          <w:tcPr>
            <w:tcW w:type="dxa" w:w="2000"/>
            <w:shd w:fill="EAF7EF" w:color="auto" w:val="clear"/>
            <w:tcMar>
              <w:top w:type="dxa" w:w="70"/>
              <w:left w:type="dxa" w:w="110"/>
              <w:bottom w:type="dxa" w:w="70"/>
              <w:right w:type="dxa" w:w="110"/>
            </w:tcMar>
          </w:tcPr>
          <w:p>
            <w:pPr>
              <w:jc w:val="right"/>
            </w:pPr>
            <w:r>
              <w:rPr>
                <w:b/>
                <w:bCs/>
                <w:sz w:val="17"/>
                <w:szCs w:val="17"/>
              </w:rPr>
              <w:t xml:space="preserve">≈ ₹1,59,225</w:t>
            </w:r>
          </w:p>
        </w:tc>
        <w:tc>
          <w:tcPr>
            <w:tcW w:type="dxa" w:w="2100"/>
            <w:shd w:fill="EAF7EF" w:color="auto" w:val="clear"/>
            <w:tcMar>
              <w:top w:type="dxa" w:w="70"/>
              <w:left w:type="dxa" w:w="110"/>
              <w:bottom w:type="dxa" w:w="70"/>
              <w:right w:type="dxa" w:w="110"/>
            </w:tcMar>
          </w:tcPr>
          <w:p>
            <w:pPr>
              <w:jc w:val="right"/>
            </w:pPr>
            <w:r>
              <w:rPr>
                <w:b/>
                <w:bCs/>
                <w:sz w:val="17"/>
                <w:szCs w:val="17"/>
              </w:rPr>
              <w:t xml:space="preserve">≈ ₹1,03,917</w:t>
            </w:r>
          </w:p>
        </w:tc>
        <w:tc>
          <w:tcPr>
            <w:tcW w:type="dxa" w:w="1926"/>
            <w:shd w:fill="EAF7EF" w:color="auto" w:val="clear"/>
            <w:tcMar>
              <w:top w:type="dxa" w:w="70"/>
              <w:left w:type="dxa" w:w="110"/>
              <w:bottom w:type="dxa" w:w="70"/>
              <w:right w:type="dxa" w:w="110"/>
            </w:tcMar>
          </w:tcPr>
          <w:p>
            <w:pPr>
              <w:jc w:val="right"/>
            </w:pPr>
            <w:r>
              <w:rPr>
                <w:b/>
                <w:bCs/>
                <w:sz w:val="17"/>
                <w:szCs w:val="17"/>
              </w:rPr>
              <w:t xml:space="preserve">≈ ₹1,03,620</w:t>
            </w:r>
          </w:p>
        </w:tc>
      </w:tr>
      <w:tr>
        <w:tc>
          <w:tcPr>
            <w:tcW w:type="dxa" w:w="3000"/>
            <w:shd w:fill="EAF7EF" w:color="auto" w:val="clear"/>
            <w:tcMar>
              <w:top w:type="dxa" w:w="70"/>
              <w:left w:type="dxa" w:w="110"/>
              <w:bottom w:type="dxa" w:w="70"/>
              <w:right w:type="dxa" w:w="110"/>
            </w:tcMar>
          </w:tcPr>
          <w:p>
            <w:pPr>
              <w:jc w:val="left"/>
            </w:pPr>
            <w:r>
              <w:rPr>
                <w:b/>
                <w:bCs/>
                <w:sz w:val="17"/>
                <w:szCs w:val="17"/>
              </w:rPr>
              <w:t xml:space="preserve">Year 2+ recurring</w:t>
            </w:r>
          </w:p>
        </w:tc>
        <w:tc>
          <w:tcPr>
            <w:tcW w:type="dxa" w:w="2000"/>
            <w:shd w:fill="EAF7EF" w:color="auto" w:val="clear"/>
            <w:tcMar>
              <w:top w:type="dxa" w:w="70"/>
              <w:left w:type="dxa" w:w="110"/>
              <w:bottom w:type="dxa" w:w="70"/>
              <w:right w:type="dxa" w:w="110"/>
            </w:tcMar>
          </w:tcPr>
          <w:p>
            <w:pPr>
              <w:jc w:val="right"/>
            </w:pPr>
            <w:r>
              <w:rPr>
                <w:b/>
                <w:bCs/>
                <w:sz w:val="17"/>
                <w:szCs w:val="17"/>
              </w:rPr>
              <w:t xml:space="preserve">≈ ₹74,600</w:t>
            </w:r>
          </w:p>
        </w:tc>
        <w:tc>
          <w:tcPr>
            <w:tcW w:type="dxa" w:w="2100"/>
            <w:shd w:fill="EAF7EF" w:color="auto" w:val="clear"/>
            <w:tcMar>
              <w:top w:type="dxa" w:w="70"/>
              <w:left w:type="dxa" w:w="110"/>
              <w:bottom w:type="dxa" w:w="70"/>
              <w:right w:type="dxa" w:w="110"/>
            </w:tcMar>
          </w:tcPr>
          <w:p>
            <w:pPr>
              <w:jc w:val="right"/>
            </w:pPr>
            <w:r>
              <w:rPr>
                <w:b/>
                <w:bCs/>
                <w:sz w:val="17"/>
                <w:szCs w:val="17"/>
              </w:rPr>
              <w:t xml:space="preserve">≈ ₹19,000</w:t>
            </w:r>
          </w:p>
        </w:tc>
        <w:tc>
          <w:tcPr>
            <w:tcW w:type="dxa" w:w="1926"/>
            <w:shd w:fill="EAF7EF" w:color="auto" w:val="clear"/>
            <w:tcMar>
              <w:top w:type="dxa" w:w="70"/>
              <w:left w:type="dxa" w:w="110"/>
              <w:bottom w:type="dxa" w:w="70"/>
              <w:right w:type="dxa" w:w="110"/>
            </w:tcMar>
          </w:tcPr>
          <w:p>
            <w:pPr>
              <w:jc w:val="right"/>
            </w:pPr>
            <w:r>
              <w:rPr>
                <w:b/>
                <w:bCs/>
                <w:sz w:val="17"/>
                <w:szCs w:val="17"/>
              </w:rPr>
              <w:t xml:space="preserve">≈ ₹19,000</w:t>
            </w:r>
          </w:p>
        </w:tc>
      </w:tr>
    </w:tbl>
    <w:p>
      <w:pPr>
        <w:spacing w:after="140"/>
      </w:pPr>
    </w:p>
    <w:p>
      <w:pPr>
        <w:pBdr>
          <w:top w:val="single" w:color="16A34A" w:sz="2"/>
          <w:bottom w:val="single" w:color="16A34A" w:sz="2"/>
          <w:left w:val="single" w:color="16A34A" w:sz="12"/>
          <w:right w:val="single" w:color="16A34A" w:sz="2"/>
        </w:pBdr>
        <w:shd w:fill="EAF7EF" w:color="auto" w:val="clear"/>
        <w:spacing w:after="140" w:before="120" w:line="280"/>
      </w:pPr>
      <w:r>
        <w:rPr>
          <w:b/>
          <w:bCs/>
          <w:color w:val="16A34A"/>
          <w:sz w:val="20"/>
          <w:szCs w:val="20"/>
        </w:rPr>
        <w:t xml:space="preserve">SAVING  </w:t>
      </w:r>
      <w:r>
        <w:rPr>
          <w:color w:val="101828"/>
          <w:sz w:val="20"/>
          <w:szCs w:val="20"/>
        </w:rPr>
        <w:t xml:space="preserve">Choosing AWS over ThingSpeak saves approximately ₹55,000 every year in recurring cost — enough to fund roughly twenty additional sensor nodes annually, or to absorb the entire maintenance budget several times over.</w:t>
      </w:r>
    </w:p>
    <w:p>
      <w:pPr>
        <w:pStyle w:val="Heading1"/>
        <w:spacing w:after="150" w:before="300"/>
      </w:pPr>
      <w:r>
        <w:t xml:space="preserve">6. Advertising Infrastructure and Revenue</w:t>
      </w:r>
    </w:p>
    <w:p>
      <w:pPr>
        <w:spacing w:after="110" w:line="280"/>
        <w:jc w:val="both"/>
      </w:pPr>
      <w:r>
        <w:rPr>
          <w:b w:val="false"/>
          <w:bCs w:val="false"/>
          <w:i w:val="false"/>
          <w:iCs w:val="false"/>
          <w:color w:val="101828"/>
          <w:sz w:val="20"/>
          <w:szCs w:val="20"/>
        </w:rPr>
        <w:t xml:space="preserve">The advertisement module allows the deployment to fund itself. It requires a display in each mess, which is the largest single capital line in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1700"/>
        <w:gridCol w:w="1200"/>
        <w:gridCol w:w="2226"/>
      </w:tblGrid>
      <w:tr>
        <w:trPr>
          <w:tblHeader/>
        </w:trPr>
        <w:tc>
          <w:tcPr>
            <w:tcW w:type="dxa" w:w="3900"/>
            <w:shd w:fill="16A34A" w:color="auto" w:val="clear"/>
            <w:tcMar>
              <w:top w:type="dxa" w:w="80"/>
              <w:left w:type="dxa" w:w="110"/>
              <w:bottom w:type="dxa" w:w="80"/>
              <w:right w:type="dxa" w:w="110"/>
            </w:tcMar>
          </w:tcPr>
          <w:p>
            <w:pPr>
              <w:jc w:val="left"/>
            </w:pPr>
            <w:r>
              <w:rPr>
                <w:b/>
                <w:bCs/>
                <w:color w:val="FFFFFF"/>
                <w:sz w:val="17"/>
                <w:szCs w:val="17"/>
              </w:rPr>
              <w:t xml:space="preserve">Item</w:t>
            </w:r>
          </w:p>
        </w:tc>
        <w:tc>
          <w:tcPr>
            <w:tcW w:type="dxa" w:w="1700"/>
            <w:shd w:fill="16A34A" w:color="auto" w:val="clear"/>
            <w:tcMar>
              <w:top w:type="dxa" w:w="80"/>
              <w:left w:type="dxa" w:w="110"/>
              <w:bottom w:type="dxa" w:w="80"/>
              <w:right w:type="dxa" w:w="110"/>
            </w:tcMar>
          </w:tcPr>
          <w:p>
            <w:pPr>
              <w:jc w:val="right"/>
            </w:pPr>
            <w:r>
              <w:rPr>
                <w:b/>
                <w:bCs/>
                <w:color w:val="FFFFFF"/>
                <w:sz w:val="17"/>
                <w:szCs w:val="17"/>
              </w:rPr>
              <w:t xml:space="preserve">Unit price</w:t>
            </w:r>
          </w:p>
        </w:tc>
        <w:tc>
          <w:tcPr>
            <w:tcW w:type="dxa" w:w="1200"/>
            <w:shd w:fill="16A34A" w:color="auto" w:val="clear"/>
            <w:tcMar>
              <w:top w:type="dxa" w:w="80"/>
              <w:left w:type="dxa" w:w="110"/>
              <w:bottom w:type="dxa" w:w="80"/>
              <w:right w:type="dxa" w:w="110"/>
            </w:tcMar>
          </w:tcPr>
          <w:p>
            <w:pPr>
              <w:jc w:val="right"/>
            </w:pPr>
            <w:r>
              <w:rPr>
                <w:b/>
                <w:bCs/>
                <w:color w:val="FFFFFF"/>
                <w:sz w:val="17"/>
                <w:szCs w:val="17"/>
              </w:rPr>
              <w:t xml:space="preserve">Qty</w:t>
            </w:r>
          </w:p>
        </w:tc>
        <w:tc>
          <w:tcPr>
            <w:tcW w:type="dxa" w:w="2226"/>
            <w:shd w:fill="16A34A" w:color="auto" w:val="clear"/>
            <w:tcMar>
              <w:top w:type="dxa" w:w="80"/>
              <w:left w:type="dxa" w:w="110"/>
              <w:bottom w:type="dxa" w:w="80"/>
              <w:right w:type="dxa" w:w="110"/>
            </w:tcMar>
          </w:tcPr>
          <w:p>
            <w:pPr>
              <w:jc w:val="right"/>
            </w:pPr>
            <w:r>
              <w:rPr>
                <w:b/>
                <w:bCs/>
                <w:color w:val="FFFFFF"/>
                <w:sz w:val="17"/>
                <w:szCs w:val="17"/>
              </w:rPr>
              <w:t xml:space="preserve">Total</w:t>
            </w:r>
          </w:p>
        </w:tc>
      </w:tr>
      <w:tr>
        <w:tc>
          <w:tcPr>
            <w:tcW w:type="dxa" w:w="3900"/>
            <w:tcMar>
              <w:top w:type="dxa" w:w="70"/>
              <w:left w:type="dxa" w:w="110"/>
              <w:bottom w:type="dxa" w:w="70"/>
              <w:right w:type="dxa" w:w="110"/>
            </w:tcMar>
          </w:tcPr>
          <w:p>
            <w:pPr>
              <w:jc w:val="left"/>
            </w:pPr>
            <w:r>
              <w:rPr>
                <w:b w:val="false"/>
                <w:bCs w:val="false"/>
                <w:sz w:val="17"/>
                <w:szCs w:val="17"/>
              </w:rPr>
              <w:t xml:space="preserve">32-inch smart television</w:t>
            </w:r>
          </w:p>
        </w:tc>
        <w:tc>
          <w:tcPr>
            <w:tcW w:type="dxa" w:w="1700"/>
            <w:tcMar>
              <w:top w:type="dxa" w:w="70"/>
              <w:left w:type="dxa" w:w="110"/>
              <w:bottom w:type="dxa" w:w="70"/>
              <w:right w:type="dxa" w:w="110"/>
            </w:tcMar>
          </w:tcPr>
          <w:p>
            <w:pPr>
              <w:jc w:val="right"/>
            </w:pPr>
            <w:r>
              <w:rPr>
                <w:b w:val="false"/>
                <w:bCs w:val="false"/>
                <w:sz w:val="17"/>
                <w:szCs w:val="17"/>
              </w:rPr>
              <w:t xml:space="preserve">₹14,000</w:t>
            </w:r>
          </w:p>
        </w:tc>
        <w:tc>
          <w:tcPr>
            <w:tcW w:type="dxa" w:w="1200"/>
            <w:tcMar>
              <w:top w:type="dxa" w:w="70"/>
              <w:left w:type="dxa" w:w="110"/>
              <w:bottom w:type="dxa" w:w="70"/>
              <w:right w:type="dxa" w:w="110"/>
            </w:tcMar>
          </w:tcPr>
          <w:p>
            <w:pPr>
              <w:jc w:val="right"/>
            </w:pPr>
            <w:r>
              <w:rPr>
                <w:b w:val="false"/>
                <w:bCs w:val="false"/>
                <w:sz w:val="17"/>
                <w:szCs w:val="17"/>
              </w:rPr>
              <w:t xml:space="preserve">14</w:t>
            </w:r>
          </w:p>
        </w:tc>
        <w:tc>
          <w:tcPr>
            <w:tcW w:type="dxa" w:w="2226"/>
            <w:tcMar>
              <w:top w:type="dxa" w:w="70"/>
              <w:left w:type="dxa" w:w="110"/>
              <w:bottom w:type="dxa" w:w="70"/>
              <w:right w:type="dxa" w:w="110"/>
            </w:tcMar>
          </w:tcPr>
          <w:p>
            <w:pPr>
              <w:jc w:val="right"/>
            </w:pPr>
            <w:r>
              <w:rPr>
                <w:b w:val="false"/>
                <w:bCs w:val="false"/>
                <w:sz w:val="17"/>
                <w:szCs w:val="17"/>
              </w:rPr>
              <w:t xml:space="preserve">₹1,96,000</w:t>
            </w:r>
          </w:p>
        </w:tc>
      </w:tr>
      <w:tr>
        <w:tc>
          <w:tcPr>
            <w:tcW w:type="dxa" w:w="3900"/>
            <w:shd w:fill="F7FAF8" w:color="auto" w:val="clear"/>
            <w:tcMar>
              <w:top w:type="dxa" w:w="70"/>
              <w:left w:type="dxa" w:w="110"/>
              <w:bottom w:type="dxa" w:w="70"/>
              <w:right w:type="dxa" w:w="110"/>
            </w:tcMar>
          </w:tcPr>
          <w:p>
            <w:pPr>
              <w:jc w:val="left"/>
            </w:pPr>
            <w:r>
              <w:rPr>
                <w:b w:val="false"/>
                <w:bCs w:val="false"/>
                <w:sz w:val="17"/>
                <w:szCs w:val="17"/>
              </w:rPr>
              <w:t xml:space="preserve">Media player (Raspberry Pi / streaming stick)</w:t>
            </w:r>
          </w:p>
        </w:tc>
        <w:tc>
          <w:tcPr>
            <w:tcW w:type="dxa" w:w="1700"/>
            <w:shd w:fill="F7FAF8" w:color="auto" w:val="clear"/>
            <w:tcMar>
              <w:top w:type="dxa" w:w="70"/>
              <w:left w:type="dxa" w:w="110"/>
              <w:bottom w:type="dxa" w:w="70"/>
              <w:right w:type="dxa" w:w="110"/>
            </w:tcMar>
          </w:tcPr>
          <w:p>
            <w:pPr>
              <w:jc w:val="right"/>
            </w:pPr>
            <w:r>
              <w:rPr>
                <w:b w:val="false"/>
                <w:bCs w:val="false"/>
                <w:sz w:val="17"/>
                <w:szCs w:val="17"/>
              </w:rPr>
              <w:t xml:space="preserve">₹3,500</w:t>
            </w:r>
          </w:p>
        </w:tc>
        <w:tc>
          <w:tcPr>
            <w:tcW w:type="dxa" w:w="1200"/>
            <w:shd w:fill="F7FAF8" w:color="auto" w:val="clear"/>
            <w:tcMar>
              <w:top w:type="dxa" w:w="70"/>
              <w:left w:type="dxa" w:w="110"/>
              <w:bottom w:type="dxa" w:w="70"/>
              <w:right w:type="dxa" w:w="110"/>
            </w:tcMar>
          </w:tcPr>
          <w:p>
            <w:pPr>
              <w:jc w:val="right"/>
            </w:pPr>
            <w:r>
              <w:rPr>
                <w:b w:val="false"/>
                <w:bCs w:val="false"/>
                <w:sz w:val="17"/>
                <w:szCs w:val="17"/>
              </w:rPr>
              <w:t xml:space="preserve">14</w:t>
            </w:r>
          </w:p>
        </w:tc>
        <w:tc>
          <w:tcPr>
            <w:tcW w:type="dxa" w:w="2226"/>
            <w:shd w:fill="F7FAF8" w:color="auto" w:val="clear"/>
            <w:tcMar>
              <w:top w:type="dxa" w:w="70"/>
              <w:left w:type="dxa" w:w="110"/>
              <w:bottom w:type="dxa" w:w="70"/>
              <w:right w:type="dxa" w:w="110"/>
            </w:tcMar>
          </w:tcPr>
          <w:p>
            <w:pPr>
              <w:jc w:val="right"/>
            </w:pPr>
            <w:r>
              <w:rPr>
                <w:b w:val="false"/>
                <w:bCs w:val="false"/>
                <w:sz w:val="17"/>
                <w:szCs w:val="17"/>
              </w:rPr>
              <w:t xml:space="preserve">₹49,000</w:t>
            </w:r>
          </w:p>
        </w:tc>
      </w:tr>
      <w:tr>
        <w:tc>
          <w:tcPr>
            <w:tcW w:type="dxa" w:w="3900"/>
            <w:tcMar>
              <w:top w:type="dxa" w:w="70"/>
              <w:left w:type="dxa" w:w="110"/>
              <w:bottom w:type="dxa" w:w="70"/>
              <w:right w:type="dxa" w:w="110"/>
            </w:tcMar>
          </w:tcPr>
          <w:p>
            <w:pPr>
              <w:jc w:val="left"/>
            </w:pPr>
            <w:r>
              <w:rPr>
                <w:b w:val="false"/>
                <w:bCs w:val="false"/>
                <w:sz w:val="17"/>
                <w:szCs w:val="17"/>
              </w:rPr>
              <w:t xml:space="preserve">Wall mounts and cabling</w:t>
            </w:r>
          </w:p>
        </w:tc>
        <w:tc>
          <w:tcPr>
            <w:tcW w:type="dxa" w:w="1700"/>
            <w:tcMar>
              <w:top w:type="dxa" w:w="70"/>
              <w:left w:type="dxa" w:w="110"/>
              <w:bottom w:type="dxa" w:w="70"/>
              <w:right w:type="dxa" w:w="110"/>
            </w:tcMar>
          </w:tcPr>
          <w:p>
            <w:pPr>
              <w:jc w:val="right"/>
            </w:pPr>
            <w:r>
              <w:rPr>
                <w:b w:val="false"/>
                <w:bCs w:val="false"/>
                <w:sz w:val="17"/>
                <w:szCs w:val="17"/>
              </w:rPr>
              <w:t xml:space="preserve">₹1,500</w:t>
            </w:r>
          </w:p>
        </w:tc>
        <w:tc>
          <w:tcPr>
            <w:tcW w:type="dxa" w:w="1200"/>
            <w:tcMar>
              <w:top w:type="dxa" w:w="70"/>
              <w:left w:type="dxa" w:w="110"/>
              <w:bottom w:type="dxa" w:w="70"/>
              <w:right w:type="dxa" w:w="110"/>
            </w:tcMar>
          </w:tcPr>
          <w:p>
            <w:pPr>
              <w:jc w:val="right"/>
            </w:pPr>
            <w:r>
              <w:rPr>
                <w:b w:val="false"/>
                <w:bCs w:val="false"/>
                <w:sz w:val="17"/>
                <w:szCs w:val="17"/>
              </w:rPr>
              <w:t xml:space="preserve">14</w:t>
            </w:r>
          </w:p>
        </w:tc>
        <w:tc>
          <w:tcPr>
            <w:tcW w:type="dxa" w:w="2226"/>
            <w:tcMar>
              <w:top w:type="dxa" w:w="70"/>
              <w:left w:type="dxa" w:w="110"/>
              <w:bottom w:type="dxa" w:w="70"/>
              <w:right w:type="dxa" w:w="110"/>
            </w:tcMar>
          </w:tcPr>
          <w:p>
            <w:pPr>
              <w:jc w:val="right"/>
            </w:pPr>
            <w:r>
              <w:rPr>
                <w:b w:val="false"/>
                <w:bCs w:val="false"/>
                <w:sz w:val="17"/>
                <w:szCs w:val="17"/>
              </w:rPr>
              <w:t xml:space="preserve">₹21,000</w:t>
            </w:r>
          </w:p>
        </w:tc>
      </w:tr>
      <w:tr>
        <w:tc>
          <w:tcPr>
            <w:tcW w:type="dxa" w:w="3900"/>
            <w:shd w:fill="EAF7EF" w:color="auto" w:val="clear"/>
            <w:tcMar>
              <w:top w:type="dxa" w:w="70"/>
              <w:left w:type="dxa" w:w="110"/>
              <w:bottom w:type="dxa" w:w="70"/>
              <w:right w:type="dxa" w:w="110"/>
            </w:tcMar>
          </w:tcPr>
          <w:p>
            <w:pPr>
              <w:jc w:val="left"/>
            </w:pPr>
            <w:r>
              <w:rPr>
                <w:b/>
                <w:bCs/>
                <w:sz w:val="17"/>
                <w:szCs w:val="17"/>
              </w:rPr>
              <w:t xml:space="preserve">DISPLAY CAPEX TOTAL</w:t>
            </w:r>
          </w:p>
        </w:tc>
        <w:tc>
          <w:tcPr>
            <w:tcW w:type="dxa" w:w="1700"/>
            <w:shd w:fill="EAF7EF" w:color="auto" w:val="clear"/>
            <w:tcMar>
              <w:top w:type="dxa" w:w="70"/>
              <w:left w:type="dxa" w:w="110"/>
              <w:bottom w:type="dxa" w:w="70"/>
              <w:right w:type="dxa" w:w="110"/>
            </w:tcMar>
          </w:tcPr>
          <w:p>
            <w:pPr>
              <w:jc w:val="right"/>
            </w:pPr>
            <w:r>
              <w:rPr>
                <w:b/>
                <w:bCs/>
                <w:sz w:val="17"/>
                <w:szCs w:val="17"/>
              </w:rPr>
              <w:t xml:space="preserve"/>
            </w:r>
          </w:p>
        </w:tc>
        <w:tc>
          <w:tcPr>
            <w:tcW w:type="dxa" w:w="1200"/>
            <w:shd w:fill="EAF7EF" w:color="auto" w:val="clear"/>
            <w:tcMar>
              <w:top w:type="dxa" w:w="70"/>
              <w:left w:type="dxa" w:w="110"/>
              <w:bottom w:type="dxa" w:w="70"/>
              <w:right w:type="dxa" w:w="110"/>
            </w:tcMar>
          </w:tcPr>
          <w:p>
            <w:pPr>
              <w:jc w:val="right"/>
            </w:pPr>
            <w:r>
              <w:rPr>
                <w:b/>
                <w:bCs/>
                <w:sz w:val="17"/>
                <w:szCs w:val="17"/>
              </w:rPr>
              <w:t xml:space="preserve"/>
            </w:r>
          </w:p>
        </w:tc>
        <w:tc>
          <w:tcPr>
            <w:tcW w:type="dxa" w:w="2226"/>
            <w:shd w:fill="EAF7EF" w:color="auto" w:val="clear"/>
            <w:tcMar>
              <w:top w:type="dxa" w:w="70"/>
              <w:left w:type="dxa" w:w="110"/>
              <w:bottom w:type="dxa" w:w="70"/>
              <w:right w:type="dxa" w:w="110"/>
            </w:tcMar>
          </w:tcPr>
          <w:p>
            <w:pPr>
              <w:jc w:val="right"/>
            </w:pPr>
            <w:r>
              <w:rPr>
                <w:b/>
                <w:bCs/>
                <w:sz w:val="17"/>
                <w:szCs w:val="17"/>
              </w:rPr>
              <w:t xml:space="preserve">≈ ₹2,66,000</w:t>
            </w:r>
          </w:p>
        </w:tc>
      </w:tr>
    </w:tbl>
    <w:p>
      <w:pPr>
        <w:spacing w:after="120"/>
      </w:pPr>
    </w:p>
    <w:p>
      <w:pPr>
        <w:spacing w:after="110" w:line="280"/>
        <w:jc w:val="both"/>
      </w:pPr>
      <w:r>
        <w:rPr>
          <w:b w:val="false"/>
          <w:bCs w:val="false"/>
          <w:i w:val="false"/>
          <w:iCs w:val="false"/>
          <w:color w:val="101828"/>
          <w:sz w:val="20"/>
          <w:szCs w:val="20"/>
        </w:rPr>
        <w:t xml:space="preserve">A dedicated media player is recommended over the television’s built-in browser, which is typically slow and unreliable for a page that must run unattended for months.</w:t>
      </w:r>
    </w:p>
    <w:p>
      <w:pPr>
        <w:pStyle w:val="Heading2"/>
        <w:spacing w:after="100" w:before="220"/>
      </w:pPr>
      <w:r>
        <w:t xml:space="preserve">6.1 Revenue potential (illustrative)</w:t>
      </w:r>
    </w:p>
    <w:p>
      <w:pPr>
        <w:spacing w:after="110" w:line="280"/>
        <w:jc w:val="both"/>
      </w:pPr>
      <w:r>
        <w:rPr>
          <w:b w:val="false"/>
          <w:bCs w:val="false"/>
          <w:i w:val="false"/>
          <w:iCs w:val="false"/>
          <w:color w:val="101828"/>
          <w:sz w:val="20"/>
          <w:szCs w:val="20"/>
        </w:rPr>
        <w:t xml:space="preserve">Fourteen screens reach approximately 6,300 students three times a day in a captive, high-dwell-time setting — an attractive proposition for local cafes, stationery shops, coaching centres and food-delivery brands.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shd w:fill="16A34A" w:color="auto" w:val="clear"/>
            <w:tcMar>
              <w:top w:type="dxa" w:w="80"/>
              <w:left w:type="dxa" w:w="110"/>
              <w:bottom w:type="dxa" w:w="80"/>
              <w:right w:type="dxa" w:w="110"/>
            </w:tcMar>
          </w:tcPr>
          <w:p>
            <w:pPr>
              <w:jc w:val="left"/>
            </w:pPr>
            <w:r>
              <w:rPr>
                <w:b/>
                <w:bCs/>
                <w:color w:val="FFFFFF"/>
                <w:sz w:val="17"/>
                <w:szCs w:val="17"/>
              </w:rPr>
              <w:t xml:space="preserve">Scenario</w:t>
            </w:r>
          </w:p>
        </w:tc>
        <w:tc>
          <w:tcPr>
            <w:tcW w:type="dxa" w:w="3400"/>
            <w:shd w:fill="16A34A" w:color="auto" w:val="clear"/>
            <w:tcMar>
              <w:top w:type="dxa" w:w="80"/>
              <w:left w:type="dxa" w:w="110"/>
              <w:bottom w:type="dxa" w:w="80"/>
              <w:right w:type="dxa" w:w="110"/>
            </w:tcMar>
          </w:tcPr>
          <w:p>
            <w:pPr>
              <w:jc w:val="right"/>
            </w:pPr>
            <w:r>
              <w:rPr>
                <w:b/>
                <w:bCs/>
                <w:color w:val="FFFFFF"/>
                <w:sz w:val="17"/>
                <w:szCs w:val="17"/>
              </w:rPr>
              <w:t xml:space="preserve">Sponsors × monthly rate</w:t>
            </w:r>
          </w:p>
        </w:tc>
        <w:tc>
          <w:tcPr>
            <w:tcW w:type="dxa" w:w="3026"/>
            <w:shd w:fill="16A34A" w:color="auto" w:val="clear"/>
            <w:tcMar>
              <w:top w:type="dxa" w:w="80"/>
              <w:left w:type="dxa" w:w="110"/>
              <w:bottom w:type="dxa" w:w="80"/>
              <w:right w:type="dxa" w:w="110"/>
            </w:tcMar>
          </w:tcPr>
          <w:p>
            <w:pPr>
              <w:jc w:val="right"/>
            </w:pPr>
            <w:r>
              <w:rPr>
                <w:b/>
                <w:bCs/>
                <w:color w:val="FFFFFF"/>
                <w:sz w:val="17"/>
                <w:szCs w:val="17"/>
              </w:rPr>
              <w:t xml:space="preserve">Annual revenue</w:t>
            </w:r>
          </w:p>
        </w:tc>
      </w:tr>
      <w:tr>
        <w:tc>
          <w:tcPr>
            <w:tcW w:type="dxa" w:w="2600"/>
            <w:tcMar>
              <w:top w:type="dxa" w:w="70"/>
              <w:left w:type="dxa" w:w="110"/>
              <w:bottom w:type="dxa" w:w="70"/>
              <w:right w:type="dxa" w:w="110"/>
            </w:tcMar>
          </w:tcPr>
          <w:p>
            <w:pPr>
              <w:jc w:val="left"/>
            </w:pPr>
            <w:r>
              <w:rPr>
                <w:b w:val="false"/>
                <w:bCs w:val="false"/>
                <w:sz w:val="17"/>
                <w:szCs w:val="17"/>
              </w:rPr>
              <w:t xml:space="preserve">Conservative</w:t>
            </w:r>
          </w:p>
        </w:tc>
        <w:tc>
          <w:tcPr>
            <w:tcW w:type="dxa" w:w="3400"/>
            <w:tcMar>
              <w:top w:type="dxa" w:w="70"/>
              <w:left w:type="dxa" w:w="110"/>
              <w:bottom w:type="dxa" w:w="70"/>
              <w:right w:type="dxa" w:w="110"/>
            </w:tcMar>
          </w:tcPr>
          <w:p>
            <w:pPr>
              <w:jc w:val="right"/>
            </w:pPr>
            <w:r>
              <w:rPr>
                <w:b w:val="false"/>
                <w:bCs w:val="false"/>
                <w:sz w:val="17"/>
                <w:szCs w:val="17"/>
              </w:rPr>
              <w:t xml:space="preserve">3 × ₹3,000</w:t>
            </w:r>
          </w:p>
        </w:tc>
        <w:tc>
          <w:tcPr>
            <w:tcW w:type="dxa" w:w="3026"/>
            <w:tcMar>
              <w:top w:type="dxa" w:w="70"/>
              <w:left w:type="dxa" w:w="110"/>
              <w:bottom w:type="dxa" w:w="70"/>
              <w:right w:type="dxa" w:w="110"/>
            </w:tcMar>
          </w:tcPr>
          <w:p>
            <w:pPr>
              <w:jc w:val="right"/>
            </w:pPr>
            <w:r>
              <w:rPr>
                <w:b w:val="false"/>
                <w:bCs w:val="false"/>
                <w:sz w:val="17"/>
                <w:szCs w:val="17"/>
              </w:rPr>
              <w:t xml:space="preserve">₹1,08,000</w:t>
            </w:r>
          </w:p>
        </w:tc>
      </w:tr>
      <w:tr>
        <w:tc>
          <w:tcPr>
            <w:tcW w:type="dxa" w:w="2600"/>
            <w:shd w:fill="F7FAF8" w:color="auto" w:val="clear"/>
            <w:tcMar>
              <w:top w:type="dxa" w:w="70"/>
              <w:left w:type="dxa" w:w="110"/>
              <w:bottom w:type="dxa" w:w="70"/>
              <w:right w:type="dxa" w:w="110"/>
            </w:tcMar>
          </w:tcPr>
          <w:p>
            <w:pPr>
              <w:jc w:val="left"/>
            </w:pPr>
            <w:r>
              <w:rPr>
                <w:b w:val="false"/>
                <w:bCs w:val="false"/>
                <w:sz w:val="17"/>
                <w:szCs w:val="17"/>
              </w:rPr>
              <w:t xml:space="preserve">Moderate</w:t>
            </w:r>
          </w:p>
        </w:tc>
        <w:tc>
          <w:tcPr>
            <w:tcW w:type="dxa" w:w="3400"/>
            <w:shd w:fill="F7FAF8" w:color="auto" w:val="clear"/>
            <w:tcMar>
              <w:top w:type="dxa" w:w="70"/>
              <w:left w:type="dxa" w:w="110"/>
              <w:bottom w:type="dxa" w:w="70"/>
              <w:right w:type="dxa" w:w="110"/>
            </w:tcMar>
          </w:tcPr>
          <w:p>
            <w:pPr>
              <w:jc w:val="right"/>
            </w:pPr>
            <w:r>
              <w:rPr>
                <w:b w:val="false"/>
                <w:bCs w:val="false"/>
                <w:sz w:val="17"/>
                <w:szCs w:val="17"/>
              </w:rPr>
              <w:t xml:space="preserve">5 × ₹4,000</w:t>
            </w:r>
          </w:p>
        </w:tc>
        <w:tc>
          <w:tcPr>
            <w:tcW w:type="dxa" w:w="3026"/>
            <w:shd w:fill="F7FAF8" w:color="auto" w:val="clear"/>
            <w:tcMar>
              <w:top w:type="dxa" w:w="70"/>
              <w:left w:type="dxa" w:w="110"/>
              <w:bottom w:type="dxa" w:w="70"/>
              <w:right w:type="dxa" w:w="110"/>
            </w:tcMar>
          </w:tcPr>
          <w:p>
            <w:pPr>
              <w:jc w:val="right"/>
            </w:pPr>
            <w:r>
              <w:rPr>
                <w:b w:val="false"/>
                <w:bCs w:val="false"/>
                <w:sz w:val="17"/>
                <w:szCs w:val="17"/>
              </w:rPr>
              <w:t xml:space="preserve">₹2,40,000</w:t>
            </w:r>
          </w:p>
        </w:tc>
      </w:tr>
    </w:tbl>
    <w:p>
      <w:pPr>
        <w:spacing w:after="120"/>
      </w:pPr>
    </w:p>
    <w:p>
      <w:pPr>
        <w:spacing w:after="110" w:line="280"/>
        <w:jc w:val="both"/>
      </w:pPr>
      <w:r>
        <w:rPr>
          <w:b w:val="false"/>
          <w:bCs w:val="false"/>
          <w:i w:val="false"/>
          <w:iCs w:val="false"/>
          <w:color w:val="101828"/>
          <w:sz w:val="20"/>
          <w:szCs w:val="20"/>
        </w:rPr>
        <w:t xml:space="preserve">Even the conservative case covers the ₹19,000 annual recurring cost on AWS roughly five times over, and repays the display investment in about two years (approximately eleven months in the moderate case).</w:t>
      </w:r>
    </w:p>
    <w:p>
      <w:pPr>
        <w:pBdr>
          <w:top w:val="single" w:color="16A34A" w:sz="2"/>
          <w:bottom w:val="single" w:color="16A34A" w:sz="2"/>
          <w:left w:val="single" w:color="16A34A" w:sz="12"/>
          <w:right w:val="single" w:color="16A34A" w:sz="2"/>
        </w:pBdr>
        <w:shd w:fill="EAF7EF" w:color="auto" w:val="clear"/>
        <w:spacing w:after="140" w:before="120" w:line="280"/>
      </w:pPr>
      <w:r>
        <w:rPr>
          <w:b/>
          <w:bCs/>
          <w:color w:val="16A34A"/>
          <w:sz w:val="20"/>
          <w:szCs w:val="20"/>
        </w:rPr>
        <w:t xml:space="preserve">RECOMMENDED APPROACH  </w:t>
      </w:r>
      <w:r>
        <w:rPr>
          <w:color w:val="101828"/>
          <w:sz w:val="20"/>
          <w:szCs w:val="20"/>
        </w:rPr>
        <w:t xml:space="preserve">Phase the displays. Install televisions in three or four hostels first, sign one paying sponsor, and use the realised rate to validate the revenue model — then expand using advertising income rather than grant funding.</w:t>
      </w:r>
    </w:p>
    <w:p>
      <w:r>
        <w:br w:type="page"/>
      </w:r>
    </w:p>
    <w:p>
      <w:pPr>
        <w:pStyle w:val="Heading1"/>
        <w:spacing w:after="150" w:before="300"/>
      </w:pPr>
      <w:r>
        <w:t xml:space="preserve">7. Recommendation</w:t>
      </w:r>
    </w:p>
    <w:p>
      <w:pPr>
        <w:spacing w:after="110" w:line="280"/>
        <w:jc w:val="both"/>
      </w:pPr>
      <w:r>
        <w:rPr>
          <w:b/>
          <w:bCs/>
          <w:i w:val="false"/>
          <w:iCs w:val="false"/>
          <w:color w:val="16A34A"/>
          <w:sz w:val="20"/>
          <w:szCs w:val="20"/>
        </w:rPr>
        <w:t xml:space="preserve">Migrate to AWS (or a self-hosted VPS) and retire the ThingSpeak dependency.</w:t>
      </w:r>
    </w:p>
    <w:p>
      <w:pPr>
        <w:spacing w:after="110" w:line="280"/>
        <w:jc w:val="both"/>
      </w:pPr>
      <w:r>
        <w:rPr>
          <w:b w:val="false"/>
          <w:bCs w:val="false"/>
          <w:i w:val="false"/>
          <w:iCs w:val="false"/>
          <w:color w:val="101828"/>
          <w:sz w:val="20"/>
          <w:szCs w:val="20"/>
        </w:rPr>
        <w:t xml:space="preserve">The project has already built the two capabilities a ThingSpeak licence provides: a data-ingestion API and an analytics dashboard. Paying ₹56,550 a year for a time-series table that is queried exclusively through the project’s own proxy cannot be justified when the equivalent AWS service costs about ₹1,050. The migration also removes the four-channel workaround and the fifteen-second write limit, so it is a genuine architectural simplification and not merely a cost reduction.</w:t>
      </w:r>
    </w:p>
    <w:p>
      <w:pPr>
        <w:pStyle w:val="Heading2"/>
        <w:spacing w:after="100" w:before="220"/>
      </w:pPr>
      <w:r>
        <w:t xml:space="preserve">7.1 The case for staying on ThingSpeak</w:t>
      </w:r>
    </w:p>
    <w:p>
      <w:pPr>
        <w:spacing w:after="110" w:line="280"/>
        <w:jc w:val="both"/>
      </w:pPr>
      <w:r>
        <w:rPr>
          <w:b w:val="false"/>
          <w:bCs w:val="false"/>
          <w:i w:val="false"/>
          <w:iCs w:val="false"/>
          <w:color w:val="101828"/>
          <w:sz w:val="20"/>
          <w:szCs w:val="20"/>
        </w:rPr>
        <w:t xml:space="preserve">One circumstance would justify remaining: if the IIT Guwahati campus-wide MathWorks licence already covers ThingSpeak Academic, the year-one cloud cost falls to zero and it becomes the pragmatic choice for the pilot. This should be confirmed with the institute software cell before any migration work begins.</w:t>
      </w:r>
    </w:p>
    <w:p>
      <w:pPr>
        <w:pBdr>
          <w:top w:val="single" w:color="B26A00" w:sz="2"/>
          <w:bottom w:val="single" w:color="B26A00" w:sz="2"/>
          <w:left w:val="single" w:color="B26A00" w:sz="12"/>
          <w:right w:val="single" w:color="B26A00" w:sz="2"/>
        </w:pBdr>
        <w:shd w:fill="FEF6E7" w:color="auto" w:val="clear"/>
        <w:spacing w:after="140" w:before="120" w:line="280"/>
      </w:pPr>
      <w:r>
        <w:rPr>
          <w:b/>
          <w:bCs/>
          <w:color w:val="B26A00"/>
          <w:sz w:val="20"/>
          <w:szCs w:val="20"/>
        </w:rPr>
        <w:t xml:space="preserve">IMPORTANT CAVEAT  </w:t>
      </w:r>
      <w:r>
        <w:rPr>
          <w:color w:val="101828"/>
          <w:sz w:val="20"/>
          <w:szCs w:val="20"/>
        </w:rPr>
        <w:t xml:space="preserve">Displaying paid sponsor advertisements is commercial use, which the Free, Home and (arguably) Academic licences do not permit. Should the advertising module go live, a Standard licence would be required — so an Academic licence is a short-term answer for the pilot, not a long-term platform decision.</w:t>
      </w:r>
    </w:p>
    <w:p>
      <w:pPr>
        <w:pStyle w:val="Heading1"/>
        <w:spacing w:after="150" w:before="300"/>
      </w:pPr>
      <w:r>
        <w:t xml:space="preserve">8. Budget Risks</w:t>
      </w:r>
    </w:p>
    <w:p>
      <w:pPr>
        <w:pStyle w:val="Heading2"/>
        <w:spacing w:after="100" w:before="220"/>
      </w:pPr>
      <w:r>
        <w:t xml:space="preserve">8.1 Advertisement bandwidth</w:t>
      </w:r>
    </w:p>
    <w:p>
      <w:pPr>
        <w:spacing w:after="110" w:line="280"/>
        <w:jc w:val="both"/>
      </w:pPr>
      <w:r>
        <w:rPr>
          <w:b w:val="false"/>
          <w:bCs w:val="false"/>
          <w:i w:val="false"/>
          <w:iCs w:val="false"/>
          <w:color w:val="101828"/>
          <w:sz w:val="20"/>
          <w:szCs w:val="20"/>
        </w:rPr>
        <w:t xml:space="preserve">Fourteen screens replaying video every few minutes can generate several terabytes of outbound traffic per year. Left uncached this could exceed US$450 annually in content-delivery charges — quietly becoming the largest cloud line in the budget. Advertisement media must therefore be cached on the media player or pre-downloaded locally, so that network traffic occurs only when a campaign actually changes.</w:t>
      </w:r>
    </w:p>
    <w:p>
      <w:pPr>
        <w:pStyle w:val="Heading2"/>
        <w:spacing w:after="100" w:before="220"/>
      </w:pPr>
      <w:r>
        <w:t xml:space="preserve">8.2 Load-cell quality and drift</w:t>
      </w:r>
    </w:p>
    <w:p>
      <w:pPr>
        <w:spacing w:after="110" w:line="280"/>
        <w:jc w:val="both"/>
      </w:pPr>
      <w:r>
        <w:rPr>
          <w:b w:val="false"/>
          <w:bCs w:val="false"/>
          <w:i w:val="false"/>
          <w:iCs w:val="false"/>
          <w:color w:val="101828"/>
          <w:sz w:val="20"/>
          <w:szCs w:val="20"/>
        </w:rPr>
        <w:t xml:space="preserve">The ₹1,100 per-cell estimate assumes a reasonable 50–200 kg unit. Inexpensive cells drift and require frequent recalibration, which is why a ₹10,000 annual maintenance line is included. This is a genuine operating cost, not padding: an uncalibrated cell produces implausible readings that undermine confidence in the entire dataset.</w:t>
      </w:r>
    </w:p>
    <w:p>
      <w:pPr>
        <w:pStyle w:val="Heading2"/>
        <w:spacing w:after="100" w:before="220"/>
      </w:pPr>
      <w:r>
        <w:t xml:space="preserve">8.3 Connectivity</w:t>
      </w:r>
    </w:p>
    <w:p>
      <w:pPr>
        <w:spacing w:after="110" w:line="280"/>
        <w:jc w:val="both"/>
      </w:pPr>
      <w:r>
        <w:rPr>
          <w:b w:val="false"/>
          <w:bCs w:val="false"/>
          <w:i w:val="false"/>
          <w:iCs w:val="false"/>
          <w:color w:val="101828"/>
          <w:sz w:val="20"/>
          <w:szCs w:val="20"/>
        </w:rPr>
        <w:t xml:space="preserve">The budget assumes campus Wi-Fi reaches every mess at no cost. Where coverage is absent, a 4G module and data plan would add roughly ₹200 per node per month — approximately ₹67,000 a year across 28 nodes, which would materially change these totals.</w:t>
      </w:r>
    </w:p>
    <w:p>
      <w:pPr>
        <w:pStyle w:val="Heading1"/>
        <w:spacing w:after="150" w:before="300"/>
      </w:pPr>
      <w:r>
        <w:t xml:space="preserve">9. Basis of Estimates</w:t>
      </w:r>
    </w:p>
    <w:p>
      <w:pPr>
        <w:spacing w:after="110" w:line="280"/>
        <w:jc w:val="both"/>
      </w:pPr>
      <w:r>
        <w:rPr>
          <w:b w:val="false"/>
          <w:bCs w:val="false"/>
          <w:i w:val="false"/>
          <w:iCs w:val="false"/>
          <w:color w:val="101828"/>
          <w:sz w:val="20"/>
          <w:szCs w:val="20"/>
        </w:rPr>
        <w:t xml:space="preserve">In the interest of accuracy, the following distinguishes verified figures from estimates.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shd w:fill="16A34A" w:color="auto" w:val="clear"/>
            <w:tcMar>
              <w:top w:type="dxa" w:w="80"/>
              <w:left w:type="dxa" w:w="110"/>
              <w:bottom w:type="dxa" w:w="80"/>
              <w:right w:type="dxa" w:w="110"/>
            </w:tcMar>
          </w:tcPr>
          <w:p>
            <w:pPr>
              <w:jc w:val="left"/>
            </w:pPr>
            <w:r>
              <w:rPr>
                <w:b/>
                <w:bCs/>
                <w:color w:val="FFFFFF"/>
                <w:sz w:val="17"/>
                <w:szCs w:val="17"/>
              </w:rPr>
              <w:t xml:space="preserve">Figure</w:t>
            </w:r>
          </w:p>
        </w:tc>
        <w:tc>
          <w:tcPr>
            <w:tcW w:type="dxa" w:w="5026"/>
            <w:shd w:fill="16A34A" w:color="auto" w:val="clear"/>
            <w:tcMar>
              <w:top w:type="dxa" w:w="80"/>
              <w:left w:type="dxa" w:w="110"/>
              <w:bottom w:type="dxa" w:w="80"/>
              <w:right w:type="dxa" w:w="110"/>
            </w:tcMar>
          </w:tcPr>
          <w:p>
            <w:pPr>
              <w:jc w:val="left"/>
            </w:pPr>
            <w:r>
              <w:rPr>
                <w:b/>
                <w:bCs/>
                <w:color w:val="FFFFFF"/>
                <w:sz w:val="17"/>
                <w:szCs w:val="17"/>
              </w:rPr>
              <w:t xml:space="preserve">Status</w:t>
            </w:r>
          </w:p>
        </w:tc>
      </w:tr>
      <w:tr>
        <w:tc>
          <w:tcPr>
            <w:tcW w:type="dxa" w:w="4000"/>
            <w:tcMar>
              <w:top w:type="dxa" w:w="70"/>
              <w:left w:type="dxa" w:w="110"/>
              <w:bottom w:type="dxa" w:w="70"/>
              <w:right w:type="dxa" w:w="110"/>
            </w:tcMar>
          </w:tcPr>
          <w:p>
            <w:pPr>
              <w:jc w:val="left"/>
            </w:pPr>
            <w:r>
              <w:rPr>
                <w:b w:val="false"/>
                <w:bCs w:val="false"/>
                <w:sz w:val="17"/>
                <w:szCs w:val="17"/>
              </w:rPr>
              <w:t xml:space="preserve">ThingSpeak: 1 unit = 33M messages/yr, 250 channels, 1-second updates</w:t>
            </w:r>
          </w:p>
        </w:tc>
        <w:tc>
          <w:tcPr>
            <w:tcW w:type="dxa" w:w="5026"/>
            <w:tcMar>
              <w:top w:type="dxa" w:w="70"/>
              <w:left w:type="dxa" w:w="110"/>
              <w:bottom w:type="dxa" w:w="70"/>
              <w:right w:type="dxa" w:w="110"/>
            </w:tcMar>
          </w:tcPr>
          <w:p>
            <w:pPr>
              <w:jc w:val="left"/>
            </w:pPr>
            <w:r>
              <w:rPr>
                <w:b w:val="false"/>
                <w:bCs w:val="false"/>
                <w:sz w:val="17"/>
                <w:szCs w:val="17"/>
              </w:rPr>
              <w:t xml:space="preserve">Verified on the MathWorks pricing pages</w:t>
            </w:r>
          </w:p>
        </w:tc>
      </w:tr>
      <w:tr>
        <w:tc>
          <w:tcPr>
            <w:tcW w:type="dxa" w:w="4000"/>
            <w:shd w:fill="F7FAF8" w:color="auto" w:val="clear"/>
            <w:tcMar>
              <w:top w:type="dxa" w:w="70"/>
              <w:left w:type="dxa" w:w="110"/>
              <w:bottom w:type="dxa" w:w="70"/>
              <w:right w:type="dxa" w:w="110"/>
            </w:tcMar>
          </w:tcPr>
          <w:p>
            <w:pPr>
              <w:jc w:val="left"/>
            </w:pPr>
            <w:r>
              <w:rPr>
                <w:b w:val="false"/>
                <w:bCs w:val="false"/>
                <w:sz w:val="17"/>
                <w:szCs w:val="17"/>
              </w:rPr>
              <w:t xml:space="preserve">ThingSpeak free tier: 3M messages/yr, non-commercial only</w:t>
            </w:r>
          </w:p>
        </w:tc>
        <w:tc>
          <w:tcPr>
            <w:tcW w:type="dxa" w:w="5026"/>
            <w:shd w:fill="F7FAF8" w:color="auto" w:val="clear"/>
            <w:tcMar>
              <w:top w:type="dxa" w:w="70"/>
              <w:left w:type="dxa" w:w="110"/>
              <w:bottom w:type="dxa" w:w="70"/>
              <w:right w:type="dxa" w:w="110"/>
            </w:tcMar>
          </w:tcPr>
          <w:p>
            <w:pPr>
              <w:jc w:val="left"/>
            </w:pPr>
            <w:r>
              <w:rPr>
                <w:b w:val="false"/>
                <w:bCs w:val="false"/>
                <w:sz w:val="17"/>
                <w:szCs w:val="17"/>
              </w:rPr>
              <w:t xml:space="preserve">Verified</w:t>
            </w:r>
          </w:p>
        </w:tc>
      </w:tr>
      <w:tr>
        <w:tc>
          <w:tcPr>
            <w:tcW w:type="dxa" w:w="4000"/>
            <w:tcMar>
              <w:top w:type="dxa" w:w="70"/>
              <w:left w:type="dxa" w:w="110"/>
              <w:bottom w:type="dxa" w:w="70"/>
              <w:right w:type="dxa" w:w="110"/>
            </w:tcMar>
          </w:tcPr>
          <w:p>
            <w:pPr>
              <w:jc w:val="left"/>
            </w:pPr>
            <w:r>
              <w:rPr>
                <w:b w:val="false"/>
                <w:bCs w:val="false"/>
                <w:sz w:val="17"/>
                <w:szCs w:val="17"/>
              </w:rPr>
              <w:t xml:space="preserve">ThingSpeak Standard: US$650 per unit per year</w:t>
            </w:r>
          </w:p>
        </w:tc>
        <w:tc>
          <w:tcPr>
            <w:tcW w:type="dxa" w:w="5026"/>
            <w:tcMar>
              <w:top w:type="dxa" w:w="70"/>
              <w:left w:type="dxa" w:w="110"/>
              <w:bottom w:type="dxa" w:w="70"/>
              <w:right w:type="dxa" w:w="110"/>
            </w:tcMar>
          </w:tcPr>
          <w:p>
            <w:pPr>
              <w:jc w:val="left"/>
            </w:pPr>
            <w:r>
              <w:rPr>
                <w:b w:val="false"/>
                <w:bCs w:val="false"/>
                <w:sz w:val="17"/>
                <w:szCs w:val="17"/>
              </w:rPr>
              <w:t xml:space="preserve">Secondary sources — the official page currently shows "purchase options temporarily unavailable". Obtain a written quote.</w:t>
            </w:r>
          </w:p>
        </w:tc>
      </w:tr>
      <w:tr>
        <w:tc>
          <w:tcPr>
            <w:tcW w:type="dxa" w:w="4000"/>
            <w:shd w:fill="F7FAF8" w:color="auto" w:val="clear"/>
            <w:tcMar>
              <w:top w:type="dxa" w:w="70"/>
              <w:left w:type="dxa" w:w="110"/>
              <w:bottom w:type="dxa" w:w="70"/>
              <w:right w:type="dxa" w:w="110"/>
            </w:tcMar>
          </w:tcPr>
          <w:p>
            <w:pPr>
              <w:jc w:val="left"/>
            </w:pPr>
            <w:r>
              <w:rPr>
                <w:b w:val="false"/>
                <w:bCs w:val="false"/>
                <w:sz w:val="17"/>
                <w:szCs w:val="17"/>
              </w:rPr>
              <w:t xml:space="preserve">ThingSpeak Academic pricing</w:t>
            </w:r>
          </w:p>
        </w:tc>
        <w:tc>
          <w:tcPr>
            <w:tcW w:type="dxa" w:w="5026"/>
            <w:shd w:fill="F7FAF8" w:color="auto" w:val="clear"/>
            <w:tcMar>
              <w:top w:type="dxa" w:w="70"/>
              <w:left w:type="dxa" w:w="110"/>
              <w:bottom w:type="dxa" w:w="70"/>
              <w:right w:type="dxa" w:w="110"/>
            </w:tcMar>
          </w:tcPr>
          <w:p>
            <w:pPr>
              <w:jc w:val="left"/>
            </w:pPr>
            <w:r>
              <w:rPr>
                <w:b w:val="false"/>
                <w:bCs w:val="false"/>
                <w:sz w:val="17"/>
                <w:szCs w:val="17"/>
              </w:rPr>
              <w:t xml:space="preserve">Quote-only; not published</w:t>
            </w:r>
          </w:p>
        </w:tc>
      </w:tr>
      <w:tr>
        <w:tc>
          <w:tcPr>
            <w:tcW w:type="dxa" w:w="4000"/>
            <w:tcMar>
              <w:top w:type="dxa" w:w="70"/>
              <w:left w:type="dxa" w:w="110"/>
              <w:bottom w:type="dxa" w:w="70"/>
              <w:right w:type="dxa" w:w="110"/>
            </w:tcMar>
          </w:tcPr>
          <w:p>
            <w:pPr>
              <w:jc w:val="left"/>
            </w:pPr>
            <w:r>
              <w:rPr>
                <w:b w:val="false"/>
                <w:bCs w:val="false"/>
                <w:sz w:val="17"/>
                <w:szCs w:val="17"/>
              </w:rPr>
              <w:t xml:space="preserve">AWS free tier: 500k messages + 2.25M connection-minutes/month for 12 months</w:t>
            </w:r>
          </w:p>
        </w:tc>
        <w:tc>
          <w:tcPr>
            <w:tcW w:type="dxa" w:w="5026"/>
            <w:tcMar>
              <w:top w:type="dxa" w:w="70"/>
              <w:left w:type="dxa" w:w="110"/>
              <w:bottom w:type="dxa" w:w="70"/>
              <w:right w:type="dxa" w:w="110"/>
            </w:tcMar>
          </w:tcPr>
          <w:p>
            <w:pPr>
              <w:jc w:val="left"/>
            </w:pPr>
            <w:r>
              <w:rPr>
                <w:b w:val="false"/>
                <w:bCs w:val="false"/>
                <w:sz w:val="17"/>
                <w:szCs w:val="17"/>
              </w:rPr>
              <w:t xml:space="preserve">Verified</w:t>
            </w:r>
          </w:p>
        </w:tc>
      </w:tr>
      <w:tr>
        <w:tc>
          <w:tcPr>
            <w:tcW w:type="dxa" w:w="4000"/>
            <w:shd w:fill="F7FAF8" w:color="auto" w:val="clear"/>
            <w:tcMar>
              <w:top w:type="dxa" w:w="70"/>
              <w:left w:type="dxa" w:w="110"/>
              <w:bottom w:type="dxa" w:w="70"/>
              <w:right w:type="dxa" w:w="110"/>
            </w:tcMar>
          </w:tcPr>
          <w:p>
            <w:pPr>
              <w:jc w:val="left"/>
            </w:pPr>
            <w:r>
              <w:rPr>
                <w:b w:val="false"/>
                <w:bCs w:val="false"/>
                <w:sz w:val="17"/>
                <w:szCs w:val="17"/>
              </w:rPr>
              <w:t xml:space="preserve">AWS messaging US$1.00/million; connectivity US$0.08/million minutes</w:t>
            </w:r>
          </w:p>
        </w:tc>
        <w:tc>
          <w:tcPr>
            <w:tcW w:type="dxa" w:w="5026"/>
            <w:shd w:fill="F7FAF8" w:color="auto" w:val="clear"/>
            <w:tcMar>
              <w:top w:type="dxa" w:w="70"/>
              <w:left w:type="dxa" w:w="110"/>
              <w:bottom w:type="dxa" w:w="70"/>
              <w:right w:type="dxa" w:w="110"/>
            </w:tcMar>
          </w:tcPr>
          <w:p>
            <w:pPr>
              <w:jc w:val="left"/>
            </w:pPr>
            <w:r>
              <w:rPr>
                <w:b w:val="false"/>
                <w:bCs w:val="false"/>
                <w:sz w:val="17"/>
                <w:szCs w:val="17"/>
              </w:rPr>
              <w:t xml:space="preserve">Verified for US East. Mumbai (ap-south-1) is not published on the main page and typically runs slightly higher — confirm in the AWS Pricing Calculator.</w:t>
            </w:r>
          </w:p>
        </w:tc>
      </w:tr>
      <w:tr>
        <w:tc>
          <w:tcPr>
            <w:tcW w:type="dxa" w:w="4000"/>
            <w:tcMar>
              <w:top w:type="dxa" w:w="70"/>
              <w:left w:type="dxa" w:w="110"/>
              <w:bottom w:type="dxa" w:w="70"/>
              <w:right w:type="dxa" w:w="110"/>
            </w:tcMar>
          </w:tcPr>
          <w:p>
            <w:pPr>
              <w:jc w:val="left"/>
            </w:pPr>
            <w:r>
              <w:rPr>
                <w:b w:val="false"/>
                <w:bCs w:val="false"/>
                <w:sz w:val="17"/>
                <w:szCs w:val="17"/>
              </w:rPr>
              <w:t xml:space="preserve">Hardware, television and advertising rates</w:t>
            </w:r>
          </w:p>
        </w:tc>
        <w:tc>
          <w:tcPr>
            <w:tcW w:type="dxa" w:w="5026"/>
            <w:tcMar>
              <w:top w:type="dxa" w:w="70"/>
              <w:left w:type="dxa" w:w="110"/>
              <w:bottom w:type="dxa" w:w="70"/>
              <w:right w:type="dxa" w:w="110"/>
            </w:tcMar>
          </w:tcPr>
          <w:p>
            <w:pPr>
              <w:jc w:val="left"/>
            </w:pPr>
            <w:r>
              <w:rPr>
                <w:b w:val="false"/>
                <w:bCs w:val="false"/>
                <w:sz w:val="17"/>
                <w:szCs w:val="17"/>
              </w:rPr>
              <w:t xml:space="preserve">Indian-market estimates</w:t>
            </w:r>
          </w:p>
        </w:tc>
      </w:tr>
    </w:tbl>
    <w:p>
      <w:pPr>
        <w:spacing w:after="160"/>
      </w:pPr>
    </w:p>
    <w:p>
      <w:pPr>
        <w:pStyle w:val="Heading2"/>
        <w:spacing w:after="100" w:before="220"/>
      </w:pPr>
      <w:r>
        <w:t xml:space="preserve">Sources</w:t>
      </w:r>
    </w:p>
    <w:p>
      <w:pPr>
        <w:pStyle w:val="ListParagraph"/>
        <w:numPr>
          <w:ilvl w:val="0"/>
          <w:numId w:val="2"/>
        </w:numPr>
        <w:spacing w:after="70" w:line="280"/>
      </w:pPr>
      <w:r>
        <w:rPr>
          <w:color w:val="101828"/>
          <w:sz w:val="20"/>
          <w:szCs w:val="20"/>
        </w:rPr>
        <w:t xml:space="preserve">MathWorks — ThingSpeak License Options: thingspeak.mathworks.com/prices</w:t>
      </w:r>
    </w:p>
    <w:p>
      <w:pPr>
        <w:pStyle w:val="ListParagraph"/>
        <w:numPr>
          <w:ilvl w:val="0"/>
          <w:numId w:val="2"/>
        </w:numPr>
        <w:spacing w:after="70" w:line="280"/>
      </w:pPr>
      <w:r>
        <w:rPr>
          <w:color w:val="101828"/>
          <w:sz w:val="20"/>
          <w:szCs w:val="20"/>
        </w:rPr>
        <w:t xml:space="preserve">MathWorks — ThingSpeak Standard and Academic licence pages</w:t>
      </w:r>
    </w:p>
    <w:p>
      <w:pPr>
        <w:pStyle w:val="ListParagraph"/>
        <w:numPr>
          <w:ilvl w:val="0"/>
          <w:numId w:val="2"/>
        </w:numPr>
        <w:spacing w:after="70" w:line="280"/>
      </w:pPr>
      <w:r>
        <w:rPr>
          <w:color w:val="101828"/>
          <w:sz w:val="20"/>
          <w:szCs w:val="20"/>
        </w:rPr>
        <w:t xml:space="preserve">Amazon Web Services — AWS IoT Core Pricing: aws.amazon.com/iot-core/pricing</w:t>
      </w:r>
    </w:p>
    <w:p>
      <w:pPr>
        <w:pStyle w:val="ListParagraph"/>
        <w:numPr>
          <w:ilvl w:val="0"/>
          <w:numId w:val="2"/>
        </w:numPr>
        <w:spacing w:after="70" w:line="280"/>
      </w:pPr>
      <w:r>
        <w:rPr>
          <w:color w:val="101828"/>
          <w:sz w:val="20"/>
          <w:szCs w:val="20"/>
        </w:rPr>
        <w:t xml:space="preserve">AWS IoT Core pricing documentation (developer guide)</w:t>
      </w:r>
    </w:p>
    <w:p>
      <w:pPr>
        <w:spacing w:after="200"/>
      </w:pPr>
    </w:p>
    <w:p>
      <w:pPr>
        <w:pBdr>
          <w:top w:val="single" w:color="16A34A" w:sz="6"/>
        </w:pBdr>
        <w:spacing w:before="220"/>
        <w:jc w:val="center"/>
      </w:pPr>
      <w:r>
        <w:rPr>
          <w:i/>
          <w:iCs/>
          <w:color w:val="667085"/>
          <w:sz w:val="18"/>
          <w:szCs w:val="18"/>
        </w:rPr>
        <w:t xml:space="preserve">WasteWise — an initiative supported by IIT Guwahati TIH</w:t>
      </w:r>
    </w:p>
    <w:sectPr>
      <w:headerReference w:type="default" r:id="rId7"/>
      <w:footerReference w:type="default" r:id="rId8"/>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7085"/>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7085"/>
        <w:sz w:val="15"/>
        <w:szCs w:val="15"/>
      </w:rPr>
      <w:t xml:space="preserve">WasteWise — Cost Analysis &amp; Cloud Comparison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82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E3DC" w:sz="4" w:space="6"/>
      </w:pBdr>
      <w:spacing w:after="150" w:before="300"/>
    </w:pPr>
    <w:rPr>
      <w:rFonts w:ascii="Calibri" w:cs="Calibri" w:eastAsia="Calibri" w:hAnsi="Calibri"/>
      <w:b/>
      <w:bCs/>
      <w:color w:val="16A34A"/>
      <w:sz w:val="28"/>
      <w:szCs w:val="28"/>
    </w:rPr>
  </w:style>
  <w:style w:type="paragraph" w:styleId="Heading2">
    <w:name w:val="Heading 2"/>
    <w:basedOn w:val="Normal"/>
    <w:next w:val="Normal"/>
    <w:qFormat/>
    <w:pPr>
      <w:spacing w:after="90" w:before="220"/>
    </w:pPr>
    <w:rPr>
      <w:rFonts w:ascii="Calibri" w:cs="Calibri" w:eastAsia="Calibri" w:hAnsi="Calibri"/>
      <w:b/>
      <w:bCs/>
      <w:color w:val="10182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WasteWise — Cost Analysis &amp; Cloud Platform Comparison</dc:title>
  <dc:creator>WasteWise Project Team</dc:creator>
  <dc:description>One-year operating budget for 14 hostels and 28 IoT nodes; ThingSpeak vs AWS comparison</dc:description>
  <cp:lastModifiedBy>Un-named</cp:lastModifiedBy>
  <cp:revision>1</cp:revision>
  <dcterms:created xsi:type="dcterms:W3CDTF">2026-07-20T17:02:10.113Z</dcterms:created>
  <dcterms:modified xsi:type="dcterms:W3CDTF">2026-07-20T17:02:10.114Z</dcterms:modified>
</cp:coreProperties>
</file>

<file path=docProps/custom.xml><?xml version="1.0" encoding="utf-8"?>
<Properties xmlns="http://schemas.openxmlformats.org/officeDocument/2006/custom-properties" xmlns:vt="http://schemas.openxmlformats.org/officeDocument/2006/docPropsVTypes"/>
</file>