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24"/>
          <w:sz w:val="48"/>
        </w:rPr>
        <w:t>WASTEWISE PROJECT REPORT</w:t>
      </w:r>
    </w:p>
    <w:p>
      <w:pPr>
        <w:jc w:val="center"/>
      </w:pPr>
      <w:r>
        <w:rPr>
          <w:i/>
          <w:color w:val="2E7D4F"/>
          <w:sz w:val="28"/>
        </w:rPr>
        <w:t>IoT-Based Real-Time Food Waste Monitoring &amp; Analytics System</w:t>
      </w:r>
    </w:p>
    <w:p>
      <w:pPr>
        <w:jc w:val="center"/>
      </w:pPr>
      <w:r>
        <w:rPr>
          <w:b/>
          <w:color w:val="64748B"/>
          <w:sz w:val="22"/>
        </w:rPr>
        <w:t>An Initiative Supported by IIT Guwahati · Technology Innovation Hub (TIH)</w:t>
      </w:r>
    </w:p>
    <w:p>
      <w:r>
        <w:br/>
        <w:br/>
      </w:r>
    </w:p>
    <w:p>
      <w:pPr>
        <w:pStyle w:val="Heading1"/>
      </w:pPr>
      <w:r>
        <w:t>1. Executive Summary</w:t>
      </w:r>
    </w:p>
    <w:p>
      <w:r>
        <w:t xml:space="preserve">Food wastage represents a massive economic and environmental drain globally, and particularly in India. According to the UNEP Food Waste Index, approximately 68.7 million tonnes of food is wasted annually in Indian households alone (averaging 50 kg per person). In institutional settings like university canteens and hostels, food production is frequently misaligned with actual consumption, leading to excessive surplus. </w:t>
      </w:r>
      <w:r>
        <w:t>WasteWise solves this problem through automatic at-source measurement and real-time cloud data visualization. By instrumenting smart weighing scales across all 14 IIT Guwahati hostels, the system transforms food waste from an unmonitored loss into a key operational metric, enabling managers to adjust meal prep quantities, save costs, and reduce the carbon footprint of institutional dining.</w:t>
      </w:r>
    </w:p>
    <w:p>
      <w:pPr>
        <w:pStyle w:val="Heading1"/>
      </w:pPr>
      <w:r>
        <w:t>2. System Architecture &amp; Data Flow</w:t>
      </w:r>
    </w:p>
    <w:p>
      <w:r>
        <w:t>The system utilizes a lightweight, modern, decoupled architecture designed to keep hardware low-cost and client communication secure. The end-to-end data pipeline is structured as follows:</w:t>
      </w:r>
    </w:p>
    <w:p>
      <w:pPr>
        <w:jc w:val="center"/>
      </w:pPr>
      <w:r>
        <w:rPr>
          <w:rFonts w:ascii="Consolas" w:hAnsi="Consolas"/>
          <w:color w:val="0F172A"/>
          <w:sz w:val="19"/>
        </w:rPr>
        <w:t>┌─────────────────────────┐       ┌────────────────────────┐       ┌─────────────────────────┐</w:t>
        <w:br/>
        <w:t>│  IoT Scale (Per Hostel) │  ───► │    ThingSpeak Cloud    │  ───► │  WasteWise Proxy Server │</w:t>
        <w:br/>
        <w:t>│   ESP32 + HX711 Node    │       │  Data Store / Channel  │       │ Node.js Gateway &amp; Auth  │</w:t>
        <w:br/>
        <w:t>└─────────────────────────┘       └────────────────────────┘       └─────────────────────────┘</w:t>
        <w:br/>
        <w:t xml:space="preserve">                                                                                │</w:t>
        <w:br/>
        <w:t xml:space="preserve">                                                                                ▼</w:t>
        <w:br/>
        <w:t xml:space="preserve">                                                           ┌─────────────────────────────────┐</w:t>
        <w:br/>
        <w:t xml:space="preserve">                                                           │   Web-Based Bento Dashboard     │</w:t>
        <w:br/>
        <w:t xml:space="preserve">                                                           │  Analytics, Trends &amp; Management │</w:t>
        <w:br/>
        <w:t xml:space="preserve">                                                           └─────────────────────────────────┘</w:t>
      </w:r>
    </w:p>
    <w:p>
      <w:r>
        <w:t>1. IoT Scales: Installed in messes. Uses an ESP32 + HX711 amplifier to capture stabilized weights and post them to the cloud.</w:t>
        <w:br/>
        <w:t>2. ThingSpeak Cloud: Acts as the data ledger, storing weight, hostel code, and device WiFi RSSI.</w:t>
        <w:br/>
        <w:t>3. Proxy Server: A Node.js backend that serves static client assets and handles communication with ThingSpeak, securely masking read/write API keys inside environment variables (.env).</w:t>
        <w:br/>
        <w:t>4. Bento Dashboard: The client frontend that visualizes graphs, trends, meal session stats, and provides admin-only tools.</w:t>
      </w:r>
    </w:p>
    <w:p>
      <w:pPr>
        <w:pStyle w:val="Heading1"/>
      </w:pPr>
      <w:r>
        <w:t>3. Core Components Detail</w:t>
      </w:r>
    </w:p>
    <w:p>
      <w:pPr>
        <w:pStyle w:val="Heading2"/>
      </w:pPr>
      <w:r>
        <w:t>3.1 IoT Hardware Node &amp; Firmware</w:t>
      </w:r>
    </w:p>
    <w:p>
      <w:r>
        <w:t>Each hostel has an independent weighing station consisting of a load cell paired with an HX711 analog-to-digital converter, controlled by an ESP32. The hardware specifications and pins are listed below:</w:t>
      </w:r>
    </w:p>
    <w:tbl>
      <w:tblPr>
        <w:tblW w:type="auto" w:w="0"/>
        <w:jc w:val="center"/>
        <w:tblLook w:firstColumn="1" w:firstRow="1" w:lastColumn="0" w:lastRow="0" w:noHBand="0" w:noVBand="1" w:val="04A0"/>
      </w:tblPr>
      <w:tblGrid>
        <w:gridCol w:w="4680"/>
        <w:gridCol w:w="4680"/>
      </w:tblGrid>
      <w:tr>
        <w:tc>
          <w:tcPr>
            <w:tcW w:type="dxa" w:w="4680"/>
            <w:shd w:val="clear" w:color="auto" w:fill="2E7D4F"/>
            <w:tcMar>
              <w:top w:w="100" w:type="dxa"/>
              <w:bottom w:w="100" w:type="dxa"/>
              <w:left w:w="150" w:type="dxa"/>
              <w:right w:w="150" w:type="dxa"/>
            </w:tcMar>
          </w:tcPr>
          <w:p>
            <w:r>
              <w:rPr>
                <w:b/>
                <w:color w:val="FFFFFF"/>
              </w:rPr>
              <w:t>HX711 Pin</w:t>
            </w:r>
          </w:p>
        </w:tc>
        <w:tc>
          <w:tcPr>
            <w:tcW w:type="dxa" w:w="4680"/>
            <w:shd w:val="clear" w:color="auto" w:fill="2E7D4F"/>
            <w:tcMar>
              <w:top w:w="100" w:type="dxa"/>
              <w:bottom w:w="100" w:type="dxa"/>
              <w:left w:w="150" w:type="dxa"/>
              <w:right w:w="150" w:type="dxa"/>
            </w:tcMar>
          </w:tcPr>
          <w:p>
            <w:r>
              <w:rPr>
                <w:b/>
                <w:color w:val="FFFFFF"/>
              </w:rPr>
              <w:t>ESP32 GPIO Pin / Connection</w:t>
            </w:r>
          </w:p>
        </w:tc>
      </w:tr>
      <w:tr>
        <w:tc>
          <w:tcPr>
            <w:tcW w:type="dxa" w:w="4680"/>
            <w:tcMar>
              <w:top w:w="100" w:type="dxa"/>
              <w:bottom w:w="100" w:type="dxa"/>
              <w:left w:w="150" w:type="dxa"/>
              <w:right w:w="150" w:type="dxa"/>
            </w:tcMar>
          </w:tcPr>
          <w:p>
            <w:r>
              <w:t>VCC</w:t>
            </w:r>
          </w:p>
        </w:tc>
        <w:tc>
          <w:tcPr>
            <w:tcW w:type="dxa" w:w="4680"/>
            <w:tcMar>
              <w:top w:w="100" w:type="dxa"/>
              <w:bottom w:w="100" w:type="dxa"/>
              <w:left w:w="150" w:type="dxa"/>
              <w:right w:w="150" w:type="dxa"/>
            </w:tcMar>
          </w:tcPr>
          <w:p>
            <w:r>
              <w:t>3V3 (Power)</w:t>
            </w:r>
          </w:p>
        </w:tc>
      </w:tr>
      <w:tr>
        <w:tc>
          <w:tcPr>
            <w:tcW w:type="dxa" w:w="4680"/>
            <w:tcMar>
              <w:top w:w="100" w:type="dxa"/>
              <w:bottom w:w="100" w:type="dxa"/>
              <w:left w:w="150" w:type="dxa"/>
              <w:right w:w="150" w:type="dxa"/>
            </w:tcMar>
            <w:shd w:val="clear" w:color="auto" w:fill="F1F5F9"/>
          </w:tcPr>
          <w:p>
            <w:r>
              <w:t>GND</w:t>
            </w:r>
          </w:p>
        </w:tc>
        <w:tc>
          <w:tcPr>
            <w:tcW w:type="dxa" w:w="4680"/>
            <w:tcMar>
              <w:top w:w="100" w:type="dxa"/>
              <w:bottom w:w="100" w:type="dxa"/>
              <w:left w:w="150" w:type="dxa"/>
              <w:right w:w="150" w:type="dxa"/>
            </w:tcMar>
            <w:shd w:val="clear" w:color="auto" w:fill="F1F5F9"/>
          </w:tcPr>
          <w:p>
            <w:r>
              <w:t>GND (Ground)</w:t>
            </w:r>
          </w:p>
        </w:tc>
      </w:tr>
      <w:tr>
        <w:tc>
          <w:tcPr>
            <w:tcW w:type="dxa" w:w="4680"/>
            <w:tcMar>
              <w:top w:w="100" w:type="dxa"/>
              <w:bottom w:w="100" w:type="dxa"/>
              <w:left w:w="150" w:type="dxa"/>
              <w:right w:w="150" w:type="dxa"/>
            </w:tcMar>
          </w:tcPr>
          <w:p>
            <w:r>
              <w:t>DT (Data)</w:t>
            </w:r>
          </w:p>
        </w:tc>
        <w:tc>
          <w:tcPr>
            <w:tcW w:type="dxa" w:w="4680"/>
            <w:tcMar>
              <w:top w:w="100" w:type="dxa"/>
              <w:bottom w:w="100" w:type="dxa"/>
              <w:left w:w="150" w:type="dxa"/>
              <w:right w:w="150" w:type="dxa"/>
            </w:tcMar>
          </w:tcPr>
          <w:p>
            <w:r>
              <w:t>GPIO 16</w:t>
            </w:r>
          </w:p>
        </w:tc>
      </w:tr>
      <w:tr>
        <w:tc>
          <w:tcPr>
            <w:tcW w:type="dxa" w:w="4680"/>
            <w:tcMar>
              <w:top w:w="100" w:type="dxa"/>
              <w:bottom w:w="100" w:type="dxa"/>
              <w:left w:w="150" w:type="dxa"/>
              <w:right w:w="150" w:type="dxa"/>
            </w:tcMar>
            <w:shd w:val="clear" w:color="auto" w:fill="F1F5F9"/>
          </w:tcPr>
          <w:p>
            <w:r>
              <w:t>SCK (Clock)</w:t>
            </w:r>
          </w:p>
        </w:tc>
        <w:tc>
          <w:tcPr>
            <w:tcW w:type="dxa" w:w="4680"/>
            <w:tcMar>
              <w:top w:w="100" w:type="dxa"/>
              <w:bottom w:w="100" w:type="dxa"/>
              <w:left w:w="150" w:type="dxa"/>
              <w:right w:w="150" w:type="dxa"/>
            </w:tcMar>
            <w:shd w:val="clear" w:color="auto" w:fill="F1F5F9"/>
          </w:tcPr>
          <w:p>
            <w:r>
              <w:t>GPIO 4</w:t>
            </w:r>
          </w:p>
        </w:tc>
      </w:tr>
    </w:tbl>
    <w:p>
      <w:r>
        <w:br/>
      </w:r>
    </w:p>
    <w:p>
      <w:r>
        <w:t>Firmware Logic: The software tares the scale on startup. When a waste bucket is placed, it continuously reads the load-cell. Once the weight remains stable for a given interval, it transmits the reading over Wi-Fi. The request contains the weight, the static hostel code (1-14 mapped to names like Brahmaputra, Subansiri, etc.), and the Wi-Fi RSSI (received signal strength in dBm) to monitor hardware health.</w:t>
      </w:r>
    </w:p>
    <w:p>
      <w:pPr>
        <w:pStyle w:val="Heading2"/>
      </w:pPr>
      <w:r>
        <w:t>3.2 Node.js &amp; Express Backend Proxy</w:t>
      </w:r>
    </w:p>
    <w:p>
      <w:r>
        <w:t>The Node.js server serves as a security layer. ThingSpeak channel credentials (TS_READ_KEY, TS_WRITE_KEY, TS_CHANNEL_ID) are stored in a .env file and never reach the browser client. The backend exposes the following secure APIs: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E7D4F"/>
            <w:tcMar>
              <w:top w:w="100" w:type="dxa"/>
              <w:bottom w:w="100" w:type="dxa"/>
              <w:left w:w="150" w:type="dxa"/>
              <w:right w:w="150" w:type="dxa"/>
            </w:tcMar>
          </w:tcPr>
          <w:p>
            <w:r>
              <w:rPr>
                <w:b/>
                <w:color w:val="FFFFFF"/>
              </w:rPr>
              <w:t>Endpoint</w:t>
            </w:r>
          </w:p>
        </w:tc>
        <w:tc>
          <w:tcPr>
            <w:tcW w:type="dxa" w:w="3120"/>
            <w:shd w:val="clear" w:color="auto" w:fill="2E7D4F"/>
            <w:tcMar>
              <w:top w:w="100" w:type="dxa"/>
              <w:bottom w:w="100" w:type="dxa"/>
              <w:left w:w="150" w:type="dxa"/>
              <w:right w:w="150" w:type="dxa"/>
            </w:tcMar>
          </w:tcPr>
          <w:p>
            <w:r>
              <w:rPr>
                <w:b/>
                <w:color w:val="FFFFFF"/>
              </w:rPr>
              <w:t>Method</w:t>
            </w:r>
          </w:p>
        </w:tc>
        <w:tc>
          <w:tcPr>
            <w:tcW w:type="dxa" w:w="3120"/>
            <w:shd w:val="clear" w:color="auto" w:fill="2E7D4F"/>
            <w:tcMar>
              <w:top w:w="100" w:type="dxa"/>
              <w:bottom w:w="100" w:type="dxa"/>
              <w:left w:w="150" w:type="dxa"/>
              <w:right w:w="150" w:type="dxa"/>
            </w:tcMar>
          </w:tcPr>
          <w:p>
            <w:r>
              <w:rPr>
                <w:b/>
                <w:color w:val="FFFFFF"/>
              </w:rPr>
              <w:t>Description</w:t>
            </w:r>
          </w:p>
        </w:tc>
      </w:tr>
      <w:tr>
        <w:tc>
          <w:tcPr>
            <w:tcW w:type="dxa" w:w="3120"/>
            <w:tcMar>
              <w:top w:w="100" w:type="dxa"/>
              <w:bottom w:w="100" w:type="dxa"/>
              <w:left w:w="150" w:type="dxa"/>
              <w:right w:w="150" w:type="dxa"/>
            </w:tcMar>
          </w:tcPr>
          <w:p>
            <w:r>
              <w:rPr>
                <w:rFonts w:ascii="Consolas" w:hAnsi="Consolas"/>
                <w:sz w:val="19"/>
              </w:rPr>
              <w:t>/api/config</w:t>
            </w:r>
          </w:p>
        </w:tc>
        <w:tc>
          <w:tcPr>
            <w:tcW w:type="dxa" w:w="3120"/>
            <w:tcMar>
              <w:top w:w="100" w:type="dxa"/>
              <w:bottom w:w="100" w:type="dxa"/>
              <w:left w:w="150" w:type="dxa"/>
              <w:right w:w="150" w:type="dxa"/>
            </w:tcMar>
          </w:tcPr>
          <w:p>
            <w:r>
              <w:rPr>
                <w:b/>
              </w:rPr>
              <w:t>GET</w:t>
            </w:r>
          </w:p>
        </w:tc>
        <w:tc>
          <w:tcPr>
            <w:tcW w:type="dxa" w:w="3120"/>
            <w:tcMar>
              <w:top w:w="100" w:type="dxa"/>
              <w:bottom w:w="100" w:type="dxa"/>
              <w:left w:w="150" w:type="dxa"/>
              <w:right w:w="150" w:type="dxa"/>
            </w:tcMar>
          </w:tcPr>
          <w:p>
            <w:r>
              <w:t>Retrieves non-secret server status (auth-enabled, write-enabled, channel ID).</w:t>
            </w:r>
          </w:p>
        </w:tc>
      </w:tr>
      <w:tr>
        <w:tc>
          <w:tcPr>
            <w:tcW w:type="dxa" w:w="3120"/>
            <w:tcMar>
              <w:top w:w="100" w:type="dxa"/>
              <w:bottom w:w="100" w:type="dxa"/>
              <w:left w:w="150" w:type="dxa"/>
              <w:right w:w="150" w:type="dxa"/>
            </w:tcMar>
            <w:shd w:val="clear" w:color="auto" w:fill="F1F5F9"/>
          </w:tcPr>
          <w:p>
            <w:r>
              <w:rPr>
                <w:rFonts w:ascii="Consolas" w:hAnsi="Consolas"/>
                <w:sz w:val="19"/>
              </w:rPr>
              <w:t>/api/feeds</w:t>
            </w:r>
          </w:p>
        </w:tc>
        <w:tc>
          <w:tcPr>
            <w:tcW w:type="dxa" w:w="3120"/>
            <w:tcMar>
              <w:top w:w="100" w:type="dxa"/>
              <w:bottom w:w="100" w:type="dxa"/>
              <w:left w:w="150" w:type="dxa"/>
              <w:right w:w="150" w:type="dxa"/>
            </w:tcMar>
            <w:shd w:val="clear" w:color="auto" w:fill="F1F5F9"/>
          </w:tcPr>
          <w:p>
            <w:r>
              <w:rPr>
                <w:b/>
              </w:rPr>
              <w:t>GET</w:t>
            </w:r>
          </w:p>
        </w:tc>
        <w:tc>
          <w:tcPr>
            <w:tcW w:type="dxa" w:w="3120"/>
            <w:tcMar>
              <w:top w:w="100" w:type="dxa"/>
              <w:bottom w:w="100" w:type="dxa"/>
              <w:left w:w="150" w:type="dxa"/>
              <w:right w:w="150" w:type="dxa"/>
            </w:tcMar>
            <w:shd w:val="clear" w:color="auto" w:fill="F1F5F9"/>
          </w:tcPr>
          <w:p>
            <w:r>
              <w:t>Fetches feed records from ThingSpeak using the secret Read Key server-side.</w:t>
            </w:r>
          </w:p>
        </w:tc>
      </w:tr>
      <w:tr>
        <w:tc>
          <w:tcPr>
            <w:tcW w:type="dxa" w:w="3120"/>
            <w:tcMar>
              <w:top w:w="100" w:type="dxa"/>
              <w:bottom w:w="100" w:type="dxa"/>
              <w:left w:w="150" w:type="dxa"/>
              <w:right w:w="150" w:type="dxa"/>
            </w:tcMar>
          </w:tcPr>
          <w:p>
            <w:r>
              <w:rPr>
                <w:rFonts w:ascii="Consolas" w:hAnsi="Consolas"/>
                <w:sz w:val="19"/>
              </w:rPr>
              <w:t>/api/login</w:t>
            </w:r>
          </w:p>
        </w:tc>
        <w:tc>
          <w:tcPr>
            <w:tcW w:type="dxa" w:w="3120"/>
            <w:tcMar>
              <w:top w:w="100" w:type="dxa"/>
              <w:bottom w:w="100" w:type="dxa"/>
              <w:left w:w="150" w:type="dxa"/>
              <w:right w:w="150" w:type="dxa"/>
            </w:tcMar>
          </w:tcPr>
          <w:p>
            <w:r>
              <w:rPr>
                <w:b/>
              </w:rPr>
              <w:t>POST</w:t>
            </w:r>
          </w:p>
        </w:tc>
        <w:tc>
          <w:tcPr>
            <w:tcW w:type="dxa" w:w="3120"/>
            <w:tcMar>
              <w:top w:w="100" w:type="dxa"/>
              <w:bottom w:w="100" w:type="dxa"/>
              <w:left w:w="150" w:type="dxa"/>
              <w:right w:w="150" w:type="dxa"/>
            </w:tcMar>
          </w:tcPr>
          <w:p>
            <w:r>
              <w:t>Validates admin credentials and returns a secure token (stored in local storage).</w:t>
            </w:r>
          </w:p>
        </w:tc>
      </w:tr>
      <w:tr>
        <w:tc>
          <w:tcPr>
            <w:tcW w:type="dxa" w:w="3120"/>
            <w:tcMar>
              <w:top w:w="100" w:type="dxa"/>
              <w:bottom w:w="100" w:type="dxa"/>
              <w:left w:w="150" w:type="dxa"/>
              <w:right w:w="150" w:type="dxa"/>
            </w:tcMar>
            <w:shd w:val="clear" w:color="auto" w:fill="F1F5F9"/>
          </w:tcPr>
          <w:p>
            <w:r>
              <w:rPr>
                <w:rFonts w:ascii="Consolas" w:hAnsi="Consolas"/>
                <w:sz w:val="19"/>
              </w:rPr>
              <w:t>/api/reading</w:t>
            </w:r>
          </w:p>
        </w:tc>
        <w:tc>
          <w:tcPr>
            <w:tcW w:type="dxa" w:w="3120"/>
            <w:tcMar>
              <w:top w:w="100" w:type="dxa"/>
              <w:bottom w:w="100" w:type="dxa"/>
              <w:left w:w="150" w:type="dxa"/>
              <w:right w:w="150" w:type="dxa"/>
            </w:tcMar>
            <w:shd w:val="clear" w:color="auto" w:fill="F1F5F9"/>
          </w:tcPr>
          <w:p>
            <w:r>
              <w:rPr>
                <w:b/>
              </w:rPr>
              <w:t>POST</w:t>
            </w:r>
          </w:p>
        </w:tc>
        <w:tc>
          <w:tcPr>
            <w:tcW w:type="dxa" w:w="3120"/>
            <w:tcMar>
              <w:top w:w="100" w:type="dxa"/>
              <w:bottom w:w="100" w:type="dxa"/>
              <w:left w:w="150" w:type="dxa"/>
              <w:right w:w="150" w:type="dxa"/>
            </w:tcMar>
            <w:shd w:val="clear" w:color="auto" w:fill="F1F5F9"/>
          </w:tcPr>
          <w:p>
            <w:r>
              <w:t>Accepts manual waste readings. Requires a valid admin token (x-admin-token).</w:t>
            </w:r>
          </w:p>
        </w:tc>
      </w:tr>
    </w:tbl>
    <w:p>
      <w:r>
        <w:br/>
      </w:r>
    </w:p>
    <w:p>
      <w:pPr>
        <w:pStyle w:val="Heading2"/>
      </w:pPr>
      <w:r>
        <w:t>3.3 Frontend Dashboard Details</w:t>
      </w:r>
    </w:p>
    <w:p>
      <w:r>
        <w:t>The frontend is a single-page bento grid application. It has two modes:</w:t>
        <w:br/>
        <w:t>• Viewer Mode: A read-only dashboard showing general campus overview, KPI cards (waste amount, cost, footprint), and trends.</w:t>
        <w:br/>
        <w:t>• Admin Mode: Unlocks diagnostic metrics, active device indicators, Wi-Fi RSSI monitor, manual logging widget, and data export (CSV).</w:t>
      </w:r>
    </w:p>
    <w:p>
      <w:pPr>
        <w:pStyle w:val="Heading1"/>
      </w:pPr>
      <w:r>
        <w:t>4. Recent Enhancements: Infinite Auto-Scrolling Rails</w:t>
      </w:r>
    </w:p>
    <w:p>
      <w:r>
        <w:t>To provide a more dynamic user experience, an infinite auto-scrolling sidebar has been added to the hostel list panel. This feature was built with visual excellence and usability in mind:</w:t>
      </w:r>
    </w:p>
    <w:p>
      <w:r>
        <w:t>• Seamless Looping: In overview mode, the script renders a duplicate copy of the hostel lists. Using requestAnimationFrame, it scrolls the sidebar at a rate of 25px/sec. When the scroll position reaches the boundary where the second list starts, it wraps back to 0. This creates an endless scrolling loop.</w:t>
        <w:br/>
        <w:t>• Hover &amp; Touch Interruption: Standard pointer event listeners (mouseenter, mouseleave, touchstart, touchend) track user cursor positioning. Scrolling pauses instantly when a user hovers over the list, allowing unhindered clicks and manual scroll.</w:t>
        <w:br/>
        <w:t>• State Restoration: Every 20 seconds, the frontend syncs with the server. To prevent the sidebar from jumping back to zero on update, the current scroll offset is cached, the HTML is rebuilt, and the scroll position is restored smoothly.</w:t>
        <w:br/>
        <w:t>• Context-Aware Halting: Clicking a hostel stops the auto-scroller and centers the selected card, allowing the viewer to focus on that specific hostel's stats.</w:t>
      </w:r>
    </w:p>
    <w:p>
      <w:pPr>
        <w:pStyle w:val="Heading1"/>
      </w:pPr>
      <w:r>
        <w:t>5. Setup &amp; Running Instructions</w:t>
      </w:r>
    </w:p>
    <w:p>
      <w:r>
        <w:t>Running the Application Locally:</w:t>
        <w:br/>
        <w:t>1. Install Node.js (version 18 or above is required).</w:t>
        <w:br/>
        <w:t>2. Copy '.env.example' to '.env' and paste your ThingSpeak read/write API keys and channel ID.</w:t>
        <w:br/>
        <w:t>3. Run 'npm install' inside the workspace root to pull dependencies (express, dotenv).</w:t>
        <w:br/>
        <w:t>4. Run 'npm start' to boot up the Node server.</w:t>
        <w:br/>
        <w:t>5. Open your browser and navigate to 'http://localhost:3000'.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52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