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6A34A"/>
          <w:sz w:val="72"/>
          <w:szCs w:val="72"/>
        </w:rPr>
        <w:t xml:space="preserve">WasteWise</w:t>
      </w:r>
    </w:p>
    <w:p>
      <w:pPr>
        <w:spacing w:after="240"/>
        <w:jc w:val="center"/>
      </w:pPr>
      <w:r>
        <w:rPr>
          <w:color w:val="101828"/>
          <w:sz w:val="30"/>
          <w:szCs w:val="30"/>
        </w:rPr>
        <w:t xml:space="preserve">IoT-Based Real-Time Food Waste Monitoring &amp; Analytics System</w:t>
      </w:r>
    </w:p>
    <w:p>
      <w:pPr>
        <w:pBdr>
          <w:top w:val="single" w:color="16A34A" w:sz="6"/>
        </w:pBdr>
        <w:spacing w:after="80"/>
        <w:jc w:val="center"/>
      </w:pPr>
    </w:p>
    <w:p>
      <w:pPr>
        <w:spacing w:after="600" w:before="200"/>
        <w:jc w:val="center"/>
      </w:pPr>
      <w:r>
        <w:rPr>
          <w:i/>
          <w:iCs/>
          <w:color w:val="667085"/>
          <w:sz w:val="26"/>
          <w:szCs w:val="26"/>
        </w:rPr>
        <w:t xml:space="preserve">Detailed Project Report</w:t>
      </w:r>
    </w:p>
    <w:p>
      <w:pPr>
        <w:spacing w:after="120"/>
        <w:jc w:val="center"/>
      </w:pPr>
      <w:r>
        <w:rPr>
          <w:color w:val="667085"/>
          <w:sz w:val="20"/>
          <w:szCs w:val="20"/>
        </w:rPr>
        <w:t xml:space="preserve">An initiative supported by</w:t>
      </w:r>
    </w:p>
    <w:p>
      <w:pPr>
        <w:spacing w:after="700"/>
        <w:jc w:val="center"/>
      </w:pPr>
      <w:r>
        <w:rPr>
          <w:b/>
          <w:bCs/>
          <w:color w:val="101828"/>
          <w:sz w:val="24"/>
          <w:szCs w:val="24"/>
        </w:rPr>
        <w:t xml:space="preserve">IIT Guwahati — Technology Innovation Hub (TIH)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6A34A" w:color="auto" w:val="clear"/>
            <w:tcMar>
              <w:top w:type="dxa" w:w="90"/>
              <w:left w:type="dxa" w:w="120"/>
              <w:bottom w:type="dxa" w:w="90"/>
              <w:right w:type="dxa" w:w="120"/>
            </w:tcMar>
          </w:tcPr>
          <w:p>
            <w:r>
              <w:rPr>
                <w:b/>
                <w:bCs/>
                <w:color w:val="FFFFFF"/>
                <w:sz w:val="18"/>
                <w:szCs w:val="18"/>
              </w:rPr>
              <w:t xml:space="preserve">Team Member</w:t>
            </w:r>
          </w:p>
        </w:tc>
        <w:tc>
          <w:tcPr>
            <w:tcW w:type="dxa" w:w="4826"/>
            <w:shd w:fill="16A34A" w:color="auto" w:val="clear"/>
            <w:tcMar>
              <w:top w:type="dxa" w:w="90"/>
              <w:left w:type="dxa" w:w="120"/>
              <w:bottom w:type="dxa" w:w="90"/>
              <w:right w:type="dxa" w:w="120"/>
            </w:tcMar>
          </w:tcPr>
          <w:p>
            <w:r>
              <w:rPr>
                <w:b/>
                <w:bCs/>
                <w:color w:val="FFFFFF"/>
                <w:sz w:val="18"/>
                <w:szCs w:val="18"/>
              </w:rPr>
              <w:t xml:space="preserve">Role</w:t>
            </w:r>
          </w:p>
        </w:tc>
      </w:tr>
      <w:tr>
        <w:tc>
          <w:tcPr>
            <w:tcW w:type="dxa" w:w="4200"/>
            <w:tcMar>
              <w:top w:type="dxa" w:w="80"/>
              <w:left w:type="dxa" w:w="120"/>
              <w:bottom w:type="dxa" w:w="80"/>
              <w:right w:type="dxa" w:w="120"/>
            </w:tcMar>
          </w:tcPr>
          <w:p>
            <w:r>
              <w:rPr>
                <w:sz w:val="18"/>
                <w:szCs w:val="18"/>
              </w:rPr>
              <w:t xml:space="preserve">Ashish Kumar Mahato</w:t>
            </w:r>
          </w:p>
        </w:tc>
        <w:tc>
          <w:tcPr>
            <w:tcW w:type="dxa" w:w="4826"/>
            <w:tcMar>
              <w:top w:type="dxa" w:w="80"/>
              <w:left w:type="dxa" w:w="120"/>
              <w:bottom w:type="dxa" w:w="80"/>
              <w:right w:type="dxa" w:w="120"/>
            </w:tcMar>
          </w:tcPr>
          <w:p>
            <w:r>
              <w:rPr>
                <w:sz w:val="18"/>
                <w:szCs w:val="18"/>
              </w:rPr>
              <w:t xml:space="preserve">Project Mentor &amp; Guide</w:t>
            </w:r>
          </w:p>
        </w:tc>
      </w:tr>
      <w:tr>
        <w:tc>
          <w:tcPr>
            <w:tcW w:type="dxa" w:w="4200"/>
            <w:shd w:fill="F7FAF8" w:color="auto" w:val="clear"/>
            <w:tcMar>
              <w:top w:type="dxa" w:w="80"/>
              <w:left w:type="dxa" w:w="120"/>
              <w:bottom w:type="dxa" w:w="80"/>
              <w:right w:type="dxa" w:w="120"/>
            </w:tcMar>
          </w:tcPr>
          <w:p>
            <w:r>
              <w:rPr>
                <w:sz w:val="18"/>
                <w:szCs w:val="18"/>
              </w:rPr>
              <w:t xml:space="preserve">Gaurav Deori</w:t>
            </w:r>
          </w:p>
        </w:tc>
        <w:tc>
          <w:tcPr>
            <w:tcW w:type="dxa" w:w="4826"/>
            <w:shd w:fill="F7FAF8" w:color="auto" w:val="clear"/>
            <w:tcMar>
              <w:top w:type="dxa" w:w="80"/>
              <w:left w:type="dxa" w:w="120"/>
              <w:bottom w:type="dxa" w:w="80"/>
              <w:right w:type="dxa" w:w="120"/>
            </w:tcMar>
          </w:tcPr>
          <w:p>
            <w:r>
              <w:rPr>
                <w:sz w:val="18"/>
                <w:szCs w:val="18"/>
              </w:rPr>
              <w:t xml:space="preserve">Backend, Cloud &amp; Hardware</w:t>
            </w:r>
          </w:p>
        </w:tc>
      </w:tr>
      <w:tr>
        <w:tc>
          <w:tcPr>
            <w:tcW w:type="dxa" w:w="4200"/>
            <w:tcMar>
              <w:top w:type="dxa" w:w="80"/>
              <w:left w:type="dxa" w:w="120"/>
              <w:bottom w:type="dxa" w:w="80"/>
              <w:right w:type="dxa" w:w="120"/>
            </w:tcMar>
          </w:tcPr>
          <w:p>
            <w:r>
              <w:rPr>
                <w:sz w:val="18"/>
                <w:szCs w:val="18"/>
              </w:rPr>
              <w:t xml:space="preserve">Nishanka Borthakur</w:t>
            </w:r>
          </w:p>
        </w:tc>
        <w:tc>
          <w:tcPr>
            <w:tcW w:type="dxa" w:w="4826"/>
            <w:tcMar>
              <w:top w:type="dxa" w:w="80"/>
              <w:left w:type="dxa" w:w="120"/>
              <w:bottom w:type="dxa" w:w="80"/>
              <w:right w:type="dxa" w:w="120"/>
            </w:tcMar>
          </w:tcPr>
          <w:p>
            <w:r>
              <w:rPr>
                <w:sz w:val="18"/>
                <w:szCs w:val="18"/>
              </w:rPr>
              <w:t xml:space="preserve">UI/UX &amp; Dashboard</w:t>
            </w:r>
          </w:p>
        </w:tc>
      </w:tr>
      <w:tr>
        <w:tc>
          <w:tcPr>
            <w:tcW w:type="dxa" w:w="4200"/>
            <w:shd w:fill="F7FAF8" w:color="auto" w:val="clear"/>
            <w:tcMar>
              <w:top w:type="dxa" w:w="80"/>
              <w:left w:type="dxa" w:w="120"/>
              <w:bottom w:type="dxa" w:w="80"/>
              <w:right w:type="dxa" w:w="120"/>
            </w:tcMar>
          </w:tcPr>
          <w:p>
            <w:r>
              <w:rPr>
                <w:sz w:val="18"/>
                <w:szCs w:val="18"/>
              </w:rPr>
              <w:t xml:space="preserve">Latifun Nisha</w:t>
            </w:r>
          </w:p>
        </w:tc>
        <w:tc>
          <w:tcPr>
            <w:tcW w:type="dxa" w:w="4826"/>
            <w:shd w:fill="F7FAF8" w:color="auto" w:val="clear"/>
            <w:tcMar>
              <w:top w:type="dxa" w:w="80"/>
              <w:left w:type="dxa" w:w="120"/>
              <w:bottom w:type="dxa" w:w="80"/>
              <w:right w:type="dxa" w:w="120"/>
            </w:tcMar>
          </w:tcPr>
          <w:p>
            <w:r>
              <w:rPr>
                <w:sz w:val="18"/>
                <w:szCs w:val="18"/>
              </w:rPr>
              <w:t xml:space="preserve">Research &amp; Documentation</w:t>
            </w:r>
          </w:p>
        </w:tc>
      </w:tr>
      <w:tr>
        <w:tc>
          <w:tcPr>
            <w:tcW w:type="dxa" w:w="4200"/>
            <w:tcMar>
              <w:top w:type="dxa" w:w="80"/>
              <w:left w:type="dxa" w:w="120"/>
              <w:bottom w:type="dxa" w:w="80"/>
              <w:right w:type="dxa" w:w="120"/>
            </w:tcMar>
          </w:tcPr>
          <w:p>
            <w:r>
              <w:rPr>
                <w:sz w:val="18"/>
                <w:szCs w:val="18"/>
              </w:rPr>
              <w:t xml:space="preserve">Parismita Sonowal</w:t>
            </w:r>
          </w:p>
        </w:tc>
        <w:tc>
          <w:tcPr>
            <w:tcW w:type="dxa" w:w="4826"/>
            <w:tcMar>
              <w:top w:type="dxa" w:w="80"/>
              <w:left w:type="dxa" w:w="120"/>
              <w:bottom w:type="dxa" w:w="80"/>
              <w:right w:type="dxa" w:w="120"/>
            </w:tcMar>
          </w:tcPr>
          <w:p>
            <w:r>
              <w:rPr>
                <w:sz w:val="18"/>
                <w:szCs w:val="18"/>
              </w:rPr>
              <w:t xml:space="preserve">Research &amp; Documentation</w:t>
            </w:r>
          </w:p>
        </w:tc>
      </w:tr>
    </w:tbl>
    <w:p>
      <w:pPr>
        <w:spacing w:before="700"/>
        <w:jc w:val="center"/>
      </w:pPr>
      <w:r>
        <w:rPr>
          <w:color w:val="667085"/>
          <w:sz w:val="19"/>
          <w:szCs w:val="19"/>
        </w:rPr>
        <w:t xml:space="preserve">TIDF Research Building, IIT Guwahati, Assam — 781039</w:t>
      </w:r>
    </w:p>
    <w:p>
      <w:pPr>
        <w:jc w:val="center"/>
      </w:pPr>
      <w:r>
        <w:rPr>
          <w:color w:val="667085"/>
          <w:sz w:val="19"/>
          <w:szCs w:val="19"/>
        </w:rPr>
        <w:t xml:space="preserve">Repository: github.com/Gauravdeori/WasteWise</w:t>
      </w:r>
    </w:p>
    <w:p>
      <w:r>
        <w:br w:type="page"/>
      </w:r>
    </w:p>
    <w:p>
      <w:pPr>
        <w:pStyle w:val="Heading1"/>
        <w:spacing w:after="160" w:before="320"/>
      </w:pPr>
      <w:r>
        <w:t xml:space="preserve">Table of Contents</w:t>
      </w:r>
    </w:p>
    <w:p>
      <w:pPr>
        <w:tabs>
          <w:tab w:val="right" w:pos="9026" w:leader="dot"/>
        </w:tabs>
        <w:spacing w:after="100"/>
      </w:pPr>
      <w:r>
        <w:rPr>
          <w:b w:val="false"/>
          <w:bCs w:val="false"/>
          <w:color w:val="101828"/>
          <w:sz w:val="21"/>
          <w:szCs w:val="21"/>
        </w:rPr>
        <w:t xml:space="preserve">1. Executive Summary</w:t>
      </w:r>
      <w:r>
        <w:rPr>
          <w:color w:val="667085"/>
          <w:sz w:val="21"/>
          <w:szCs w:val="21"/>
        </w:rPr>
        <w:t xml:space="preserve">	3</w:t>
      </w:r>
    </w:p>
    <w:p>
      <w:pPr>
        <w:tabs>
          <w:tab w:val="right" w:pos="9026" w:leader="dot"/>
        </w:tabs>
        <w:spacing w:after="100"/>
      </w:pPr>
      <w:r>
        <w:rPr>
          <w:b w:val="false"/>
          <w:bCs w:val="false"/>
          <w:color w:val="101828"/>
          <w:sz w:val="21"/>
          <w:szCs w:val="21"/>
        </w:rPr>
        <w:t xml:space="preserve">2. Problem Statement and Motivation</w:t>
      </w:r>
      <w:r>
        <w:rPr>
          <w:color w:val="667085"/>
          <w:sz w:val="21"/>
          <w:szCs w:val="21"/>
        </w:rPr>
        <w:t xml:space="preserve">	3</w:t>
      </w:r>
    </w:p>
    <w:p>
      <w:pPr>
        <w:tabs>
          <w:tab w:val="right" w:pos="9026" w:leader="dot"/>
        </w:tabs>
        <w:spacing w:after="100"/>
      </w:pPr>
      <w:r>
        <w:rPr>
          <w:b w:val="false"/>
          <w:bCs w:val="false"/>
          <w:color w:val="101828"/>
          <w:sz w:val="21"/>
          <w:szCs w:val="21"/>
        </w:rPr>
        <w:t xml:space="preserve">3. System Architecture</w:t>
      </w:r>
      <w:r>
        <w:rPr>
          <w:color w:val="667085"/>
          <w:sz w:val="21"/>
          <w:szCs w:val="21"/>
        </w:rPr>
        <w:t xml:space="preserve">	5</w:t>
      </w:r>
    </w:p>
    <w:p>
      <w:pPr>
        <w:tabs>
          <w:tab w:val="right" w:pos="9026" w:leader="dot"/>
        </w:tabs>
        <w:spacing w:after="100"/>
      </w:pPr>
      <w:r>
        <w:rPr>
          <w:b w:val="false"/>
          <w:bCs w:val="false"/>
          <w:color w:val="101828"/>
          <w:sz w:val="21"/>
          <w:szCs w:val="21"/>
        </w:rPr>
        <w:t xml:space="preserve">4. Hardware Design</w:t>
      </w:r>
      <w:r>
        <w:rPr>
          <w:color w:val="667085"/>
          <w:sz w:val="21"/>
          <w:szCs w:val="21"/>
        </w:rPr>
        <w:t xml:space="preserve">	6</w:t>
      </w:r>
    </w:p>
    <w:p>
      <w:pPr>
        <w:tabs>
          <w:tab w:val="right" w:pos="9026" w:leader="dot"/>
        </w:tabs>
        <w:spacing w:after="100"/>
      </w:pPr>
      <w:r>
        <w:rPr>
          <w:b w:val="false"/>
          <w:bCs w:val="false"/>
          <w:color w:val="101828"/>
          <w:sz w:val="21"/>
          <w:szCs w:val="21"/>
        </w:rPr>
        <w:t xml:space="preserve">5. Firmware Design</w:t>
      </w:r>
      <w:r>
        <w:rPr>
          <w:color w:val="667085"/>
          <w:sz w:val="21"/>
          <w:szCs w:val="21"/>
        </w:rPr>
        <w:t xml:space="preserve">	8</w:t>
      </w:r>
    </w:p>
    <w:p>
      <w:pPr>
        <w:tabs>
          <w:tab w:val="right" w:pos="9026" w:leader="dot"/>
        </w:tabs>
        <w:spacing w:after="100"/>
      </w:pPr>
      <w:r>
        <w:rPr>
          <w:b w:val="false"/>
          <w:bCs w:val="false"/>
          <w:color w:val="101828"/>
          <w:sz w:val="21"/>
          <w:szCs w:val="21"/>
        </w:rPr>
        <w:t xml:space="preserve">6. Cloud Layer — Multi-Channel Strategy</w:t>
      </w:r>
      <w:r>
        <w:rPr>
          <w:color w:val="667085"/>
          <w:sz w:val="21"/>
          <w:szCs w:val="21"/>
        </w:rPr>
        <w:t xml:space="preserve">	8</w:t>
      </w:r>
    </w:p>
    <w:p>
      <w:pPr>
        <w:tabs>
          <w:tab w:val="right" w:pos="9026" w:leader="dot"/>
        </w:tabs>
        <w:spacing w:after="100"/>
      </w:pPr>
      <w:r>
        <w:rPr>
          <w:b w:val="false"/>
          <w:bCs w:val="false"/>
          <w:color w:val="101828"/>
          <w:sz w:val="21"/>
          <w:szCs w:val="21"/>
        </w:rPr>
        <w:t xml:space="preserve">7. Backend Server</w:t>
      </w:r>
      <w:r>
        <w:rPr>
          <w:color w:val="667085"/>
          <w:sz w:val="21"/>
          <w:szCs w:val="21"/>
        </w:rPr>
        <w:t xml:space="preserve">	10</w:t>
      </w:r>
    </w:p>
    <w:p>
      <w:pPr>
        <w:tabs>
          <w:tab w:val="right" w:pos="9026" w:leader="dot"/>
        </w:tabs>
        <w:spacing w:after="100"/>
      </w:pPr>
      <w:r>
        <w:rPr>
          <w:b w:val="false"/>
          <w:bCs w:val="false"/>
          <w:color w:val="101828"/>
          <w:sz w:val="21"/>
          <w:szCs w:val="21"/>
        </w:rPr>
        <w:t xml:space="preserve">8. Web Dashboard</w:t>
      </w:r>
      <w:r>
        <w:rPr>
          <w:color w:val="667085"/>
          <w:sz w:val="21"/>
          <w:szCs w:val="21"/>
        </w:rPr>
        <w:t xml:space="preserve">	11</w:t>
      </w:r>
    </w:p>
    <w:p>
      <w:pPr>
        <w:tabs>
          <w:tab w:val="right" w:pos="9026" w:leader="dot"/>
        </w:tabs>
        <w:spacing w:after="100"/>
      </w:pPr>
      <w:r>
        <w:rPr>
          <w:b w:val="false"/>
          <w:bCs w:val="false"/>
          <w:color w:val="101828"/>
          <w:sz w:val="21"/>
          <w:szCs w:val="21"/>
        </w:rPr>
        <w:t xml:space="preserve">9. Security Model</w:t>
      </w:r>
      <w:r>
        <w:rPr>
          <w:color w:val="667085"/>
          <w:sz w:val="21"/>
          <w:szCs w:val="21"/>
        </w:rPr>
        <w:t xml:space="preserve">	13</w:t>
      </w:r>
    </w:p>
    <w:p>
      <w:pPr>
        <w:tabs>
          <w:tab w:val="right" w:pos="9026" w:leader="dot"/>
        </w:tabs>
        <w:spacing w:after="100"/>
      </w:pPr>
      <w:r>
        <w:rPr>
          <w:b w:val="false"/>
          <w:bCs w:val="false"/>
          <w:color w:val="101828"/>
          <w:sz w:val="21"/>
          <w:szCs w:val="21"/>
        </w:rPr>
        <w:t xml:space="preserve">10. Deployment and Operation</w:t>
      </w:r>
      <w:r>
        <w:rPr>
          <w:color w:val="667085"/>
          <w:sz w:val="21"/>
          <w:szCs w:val="21"/>
        </w:rPr>
        <w:t xml:space="preserve">	14</w:t>
      </w:r>
    </w:p>
    <w:p>
      <w:pPr>
        <w:tabs>
          <w:tab w:val="right" w:pos="9026" w:leader="dot"/>
        </w:tabs>
        <w:spacing w:after="100"/>
      </w:pPr>
      <w:r>
        <w:rPr>
          <w:b w:val="false"/>
          <w:bCs w:val="false"/>
          <w:color w:val="101828"/>
          <w:sz w:val="21"/>
          <w:szCs w:val="21"/>
        </w:rPr>
        <w:t xml:space="preserve">11. Verification and Results</w:t>
      </w:r>
      <w:r>
        <w:rPr>
          <w:color w:val="667085"/>
          <w:sz w:val="21"/>
          <w:szCs w:val="21"/>
        </w:rPr>
        <w:t xml:space="preserve">	15</w:t>
      </w:r>
    </w:p>
    <w:p>
      <w:pPr>
        <w:tabs>
          <w:tab w:val="right" w:pos="9026" w:leader="dot"/>
        </w:tabs>
        <w:spacing w:after="100"/>
      </w:pPr>
      <w:r>
        <w:rPr>
          <w:b w:val="false"/>
          <w:bCs w:val="false"/>
          <w:color w:val="101828"/>
          <w:sz w:val="21"/>
          <w:szCs w:val="21"/>
        </w:rPr>
        <w:t xml:space="preserve">12. Limitations</w:t>
      </w:r>
      <w:r>
        <w:rPr>
          <w:color w:val="667085"/>
          <w:sz w:val="21"/>
          <w:szCs w:val="21"/>
        </w:rPr>
        <w:t xml:space="preserve">	15</w:t>
      </w:r>
    </w:p>
    <w:p>
      <w:pPr>
        <w:tabs>
          <w:tab w:val="right" w:pos="9026" w:leader="dot"/>
        </w:tabs>
        <w:spacing w:after="100"/>
      </w:pPr>
      <w:r>
        <w:rPr>
          <w:b w:val="false"/>
          <w:bCs w:val="false"/>
          <w:color w:val="101828"/>
          <w:sz w:val="21"/>
          <w:szCs w:val="21"/>
        </w:rPr>
        <w:t xml:space="preserve">13. Future Work</w:t>
      </w:r>
      <w:r>
        <w:rPr>
          <w:color w:val="667085"/>
          <w:sz w:val="21"/>
          <w:szCs w:val="21"/>
        </w:rPr>
        <w:t xml:space="preserve">	16</w:t>
      </w:r>
    </w:p>
    <w:p>
      <w:pPr>
        <w:tabs>
          <w:tab w:val="right" w:pos="9026" w:leader="dot"/>
        </w:tabs>
        <w:spacing w:after="100"/>
      </w:pPr>
      <w:r>
        <w:rPr>
          <w:b w:val="false"/>
          <w:bCs w:val="false"/>
          <w:color w:val="101828"/>
          <w:sz w:val="21"/>
          <w:szCs w:val="21"/>
        </w:rPr>
        <w:t xml:space="preserve">14. Conclusion</w:t>
      </w:r>
      <w:r>
        <w:rPr>
          <w:color w:val="667085"/>
          <w:sz w:val="21"/>
          <w:szCs w:val="21"/>
        </w:rPr>
        <w:t xml:space="preserve">	16</w:t>
      </w:r>
    </w:p>
    <w:p>
      <w:pPr>
        <w:tabs>
          <w:tab w:val="right" w:pos="9026" w:leader="dot"/>
        </w:tabs>
        <w:spacing w:after="100"/>
      </w:pPr>
      <w:r>
        <w:rPr>
          <w:b/>
          <w:bCs/>
          <w:color w:val="101828"/>
          <w:sz w:val="21"/>
          <w:szCs w:val="21"/>
        </w:rPr>
        <w:t xml:space="preserve">Appendix A — Repository Structure</w:t>
      </w:r>
      <w:r>
        <w:rPr>
          <w:color w:val="667085"/>
          <w:sz w:val="21"/>
          <w:szCs w:val="21"/>
        </w:rPr>
        <w:t xml:space="preserve">	17</w:t>
      </w:r>
    </w:p>
    <w:p>
      <w:pPr>
        <w:tabs>
          <w:tab w:val="right" w:pos="9026" w:leader="dot"/>
        </w:tabs>
        <w:spacing w:after="100"/>
      </w:pPr>
      <w:r>
        <w:rPr>
          <w:b/>
          <w:bCs/>
          <w:color w:val="101828"/>
          <w:sz w:val="21"/>
          <w:szCs w:val="21"/>
        </w:rPr>
        <w:t xml:space="preserve">Appendix B — Key Parameters</w:t>
      </w:r>
      <w:r>
        <w:rPr>
          <w:color w:val="667085"/>
          <w:sz w:val="21"/>
          <w:szCs w:val="21"/>
        </w:rPr>
        <w:t xml:space="preserve">	17</w:t>
      </w:r>
    </w:p>
    <w:p>
      <w:pPr>
        <w:tabs>
          <w:tab w:val="right" w:pos="9026" w:leader="dot"/>
        </w:tabs>
        <w:spacing w:after="100"/>
      </w:pPr>
      <w:r>
        <w:rPr>
          <w:b/>
          <w:bCs/>
          <w:color w:val="101828"/>
          <w:sz w:val="21"/>
          <w:szCs w:val="21"/>
        </w:rPr>
        <w:t xml:space="preserve">Appendix C — References</w:t>
      </w:r>
      <w:r>
        <w:rPr>
          <w:color w:val="667085"/>
          <w:sz w:val="21"/>
          <w:szCs w:val="21"/>
        </w:rPr>
        <w:t xml:space="preserve">	17</w:t>
      </w:r>
    </w:p>
    <w:p>
      <w:r>
        <w:br w:type="page"/>
      </w:r>
    </w:p>
    <w:p>
      <w:pPr>
        <w:pStyle w:val="Heading1"/>
        <w:spacing w:after="160" w:before="320"/>
      </w:pPr>
      <w:r>
        <w:t xml:space="preserve">1. Executive Summary</w:t>
      </w:r>
    </w:p>
    <w:p>
      <w:pPr>
        <w:spacing w:after="120" w:line="280"/>
        <w:jc w:val="both"/>
      </w:pPr>
      <w:r>
        <w:rPr>
          <w:b w:val="false"/>
          <w:bCs w:val="false"/>
          <w:i w:val="false"/>
          <w:iCs w:val="false"/>
          <w:color w:val="101828"/>
          <w:sz w:val="21"/>
          <w:szCs w:val="21"/>
        </w:rPr>
        <w:t xml:space="preserve">WasteWise is an end-to-end Internet-of-Things system that measures, monitors and helps reduce food waste across the 14 residential hostels of IIT Guwahati. The project replaces manual, pen-and-paper waste logging — which is slow, error-prone and rarely acted upon — with an automated pipeline in which a smart weighing scale in each hostel mess records every disposal event and streams it to a cloud service within seconds.</w:t>
      </w:r>
    </w:p>
    <w:p>
      <w:pPr>
        <w:spacing w:after="120" w:line="280"/>
        <w:jc w:val="both"/>
      </w:pPr>
      <w:r>
        <w:rPr>
          <w:b w:val="false"/>
          <w:bCs w:val="false"/>
          <w:i w:val="false"/>
          <w:iCs w:val="false"/>
          <w:color w:val="101828"/>
          <w:sz w:val="21"/>
          <w:szCs w:val="21"/>
        </w:rPr>
        <w:t xml:space="preserve">Each measurement node is built from low-cost, widely available components: a strain-gauge load cell, an HX711 24-bit analog-to-digital amplifier, and an ESP32 microcontroller with onboard Wi-Fi. The firmware detects a stable weight, converts it to kilograms using a calibration factor, and posts the reading — together with the hostel identifier and the board’s Wi-Fi signal strength — to a ThingSpeak cloud channel over HTTPS.</w:t>
      </w:r>
    </w:p>
    <w:p>
      <w:pPr>
        <w:spacing w:after="120" w:line="280"/>
        <w:jc w:val="both"/>
      </w:pPr>
      <w:r>
        <w:rPr>
          <w:b w:val="false"/>
          <w:bCs w:val="false"/>
          <w:i w:val="false"/>
          <w:iCs w:val="false"/>
          <w:color w:val="101828"/>
          <w:sz w:val="21"/>
          <w:szCs w:val="21"/>
        </w:rPr>
        <w:t xml:space="preserve">A Node.js/Express server acts as a secure gateway: it holds all cloud API keys server-side, aggregates readings from four ThingSpeak channels, and exposes a small JSON API to the browser. The web dashboard, a single-page “bento grid” interface, turns those raw weights into decision-grade analytics — daily totals, monetary loss, carbon footprint, per-hostel comparison, meal-wise distribution, live device health, and a real-time feed of individual readings. Two access levels are supported: an administrator view with full operational detail and device control, and a read-only viewer view.</w:t>
      </w:r>
    </w:p>
    <w:p>
      <w:pPr>
        <w:spacing w:after="120" w:line="280"/>
        <w:jc w:val="both"/>
      </w:pPr>
      <w:r>
        <w:rPr>
          <w:b w:val="false"/>
          <w:bCs w:val="false"/>
          <w:i w:val="false"/>
          <w:iCs w:val="false"/>
          <w:color w:val="101828"/>
          <w:sz w:val="21"/>
          <w:szCs w:val="21"/>
        </w:rPr>
        <w:t xml:space="preserve">The system is functional and deployed. The complete data path — from a device-style write, through the cloud, to the rendered dashboard — has been verified end-to-end. This report documents the problem, the architecture, the hardware and software design, the security model, the current status, known limitations, and the roadmap.</w:t>
      </w:r>
    </w:p>
    <w:p>
      <w:pPr>
        <w:pStyle w:val="Heading1"/>
        <w:spacing w:after="160" w:before="320"/>
      </w:pPr>
      <w:r>
        <w:t xml:space="preserve">2. Problem Statement and Motivation</w:t>
      </w:r>
    </w:p>
    <w:p>
      <w:pPr>
        <w:pStyle w:val="Heading2"/>
        <w:spacing w:after="120" w:before="240"/>
      </w:pPr>
      <w:r>
        <w:t xml:space="preserve">2.1 The scale of food waste</w:t>
      </w:r>
    </w:p>
    <w:p>
      <w:pPr>
        <w:spacing w:after="120" w:line="280"/>
        <w:jc w:val="both"/>
      </w:pPr>
      <w:r>
        <w:rPr>
          <w:b w:val="false"/>
          <w:bCs w:val="false"/>
          <w:i w:val="false"/>
          <w:iCs w:val="false"/>
          <w:color w:val="101828"/>
          <w:sz w:val="21"/>
          <w:szCs w:val="21"/>
        </w:rPr>
        <w:t xml:space="preserve">Food waste is simultaneously an economic loss, a social failure and an environmental burden. The magnitude in India, drawn from the figures underpinning this project’s proposal, is stark: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326"/>
      </w:tblGrid>
      <w:tr>
        <w:trPr>
          <w:tblHeader/>
        </w:trPr>
        <w:tc>
          <w:tcPr>
            <w:tcW w:type="dxa" w:w="4000"/>
            <w:shd w:fill="16A34A" w:color="auto" w:val="clear"/>
            <w:tcMar>
              <w:top w:type="dxa" w:w="90"/>
              <w:left w:type="dxa" w:w="120"/>
              <w:bottom w:type="dxa" w:w="90"/>
              <w:right w:type="dxa" w:w="120"/>
            </w:tcMar>
          </w:tcPr>
          <w:p>
            <w:r>
              <w:rPr>
                <w:b/>
                <w:bCs/>
                <w:color w:val="FFFFFF"/>
                <w:sz w:val="18"/>
                <w:szCs w:val="18"/>
              </w:rPr>
              <w:t xml:space="preserve">Indicator</w:t>
            </w:r>
          </w:p>
        </w:tc>
        <w:tc>
          <w:tcPr>
            <w:tcW w:type="dxa" w:w="2700"/>
            <w:shd w:fill="16A34A" w:color="auto" w:val="clear"/>
            <w:tcMar>
              <w:top w:type="dxa" w:w="90"/>
              <w:left w:type="dxa" w:w="120"/>
              <w:bottom w:type="dxa" w:w="90"/>
              <w:right w:type="dxa" w:w="120"/>
            </w:tcMar>
          </w:tcPr>
          <w:p>
            <w:r>
              <w:rPr>
                <w:b/>
                <w:bCs/>
                <w:color w:val="FFFFFF"/>
                <w:sz w:val="18"/>
                <w:szCs w:val="18"/>
              </w:rPr>
              <w:t xml:space="preserve">Value</w:t>
            </w:r>
          </w:p>
        </w:tc>
        <w:tc>
          <w:tcPr>
            <w:tcW w:type="dxa" w:w="2326"/>
            <w:shd w:fill="16A34A" w:color="auto" w:val="clear"/>
            <w:tcMar>
              <w:top w:type="dxa" w:w="90"/>
              <w:left w:type="dxa" w:w="120"/>
              <w:bottom w:type="dxa" w:w="90"/>
              <w:right w:type="dxa" w:w="120"/>
            </w:tcMar>
          </w:tcPr>
          <w:p>
            <w:r>
              <w:rPr>
                <w:b/>
                <w:bCs/>
                <w:color w:val="FFFFFF"/>
                <w:sz w:val="18"/>
                <w:szCs w:val="18"/>
              </w:rPr>
              <w:t xml:space="preserve">Source</w:t>
            </w:r>
          </w:p>
        </w:tc>
      </w:tr>
      <w:tr>
        <w:tc>
          <w:tcPr>
            <w:tcW w:type="dxa" w:w="4000"/>
            <w:tcMar>
              <w:top w:type="dxa" w:w="80"/>
              <w:left w:type="dxa" w:w="120"/>
              <w:bottom w:type="dxa" w:w="80"/>
              <w:right w:type="dxa" w:w="120"/>
            </w:tcMar>
          </w:tcPr>
          <w:p>
            <w:r>
              <w:rPr>
                <w:sz w:val="18"/>
                <w:szCs w:val="18"/>
              </w:rPr>
              <w:t xml:space="preserve">Food wasted annually in Indian households</w:t>
            </w:r>
          </w:p>
        </w:tc>
        <w:tc>
          <w:tcPr>
            <w:tcW w:type="dxa" w:w="2700"/>
            <w:tcMar>
              <w:top w:type="dxa" w:w="80"/>
              <w:left w:type="dxa" w:w="120"/>
              <w:bottom w:type="dxa" w:w="80"/>
              <w:right w:type="dxa" w:w="120"/>
            </w:tcMar>
          </w:tcPr>
          <w:p>
            <w:r>
              <w:rPr>
                <w:sz w:val="18"/>
                <w:szCs w:val="18"/>
              </w:rPr>
              <w:t xml:space="preserve">68.7 million tonnes</w:t>
            </w:r>
          </w:p>
        </w:tc>
        <w:tc>
          <w:tcPr>
            <w:tcW w:type="dxa" w:w="2326"/>
            <w:tcMar>
              <w:top w:type="dxa" w:w="80"/>
              <w:left w:type="dxa" w:w="120"/>
              <w:bottom w:type="dxa" w:w="80"/>
              <w:right w:type="dxa" w:w="120"/>
            </w:tcMar>
          </w:tcPr>
          <w:p>
            <w:r>
              <w:rPr>
                <w:sz w:val="18"/>
                <w:szCs w:val="18"/>
              </w:rPr>
              <w:t xml:space="preserve">UNEP Food Waste Index</w:t>
            </w:r>
          </w:p>
        </w:tc>
      </w:tr>
      <w:tr>
        <w:tc>
          <w:tcPr>
            <w:tcW w:type="dxa" w:w="4000"/>
            <w:shd w:fill="F7FAF8" w:color="auto" w:val="clear"/>
            <w:tcMar>
              <w:top w:type="dxa" w:w="80"/>
              <w:left w:type="dxa" w:w="120"/>
              <w:bottom w:type="dxa" w:w="80"/>
              <w:right w:type="dxa" w:w="120"/>
            </w:tcMar>
          </w:tcPr>
          <w:p>
            <w:r>
              <w:rPr>
                <w:sz w:val="18"/>
                <w:szCs w:val="18"/>
              </w:rPr>
              <w:t xml:space="preserve">Food wasted per person per year</w:t>
            </w:r>
          </w:p>
        </w:tc>
        <w:tc>
          <w:tcPr>
            <w:tcW w:type="dxa" w:w="2700"/>
            <w:shd w:fill="F7FAF8" w:color="auto" w:val="clear"/>
            <w:tcMar>
              <w:top w:type="dxa" w:w="80"/>
              <w:left w:type="dxa" w:w="120"/>
              <w:bottom w:type="dxa" w:w="80"/>
              <w:right w:type="dxa" w:w="120"/>
            </w:tcMar>
          </w:tcPr>
          <w:p>
            <w:r>
              <w:rPr>
                <w:sz w:val="18"/>
                <w:szCs w:val="18"/>
              </w:rPr>
              <w:t xml:space="preserve">≈ 50 kg</w:t>
            </w:r>
          </w:p>
        </w:tc>
        <w:tc>
          <w:tcPr>
            <w:tcW w:type="dxa" w:w="2326"/>
            <w:shd w:fill="F7FAF8" w:color="auto" w:val="clear"/>
            <w:tcMar>
              <w:top w:type="dxa" w:w="80"/>
              <w:left w:type="dxa" w:w="120"/>
              <w:bottom w:type="dxa" w:w="80"/>
              <w:right w:type="dxa" w:w="120"/>
            </w:tcMar>
          </w:tcPr>
          <w:p>
            <w:r>
              <w:rPr>
                <w:sz w:val="18"/>
                <w:szCs w:val="18"/>
              </w:rPr>
              <w:t xml:space="preserve">UNEP Food Waste Index</w:t>
            </w:r>
          </w:p>
        </w:tc>
      </w:tr>
      <w:tr>
        <w:tc>
          <w:tcPr>
            <w:tcW w:type="dxa" w:w="4000"/>
            <w:tcMar>
              <w:top w:type="dxa" w:w="80"/>
              <w:left w:type="dxa" w:w="120"/>
              <w:bottom w:type="dxa" w:w="80"/>
              <w:right w:type="dxa" w:w="120"/>
            </w:tcMar>
          </w:tcPr>
          <w:p>
            <w:r>
              <w:rPr>
                <w:sz w:val="18"/>
                <w:szCs w:val="18"/>
              </w:rPr>
              <w:t xml:space="preserve">India’s global rank in household food wastage</w:t>
            </w:r>
          </w:p>
        </w:tc>
        <w:tc>
          <w:tcPr>
            <w:tcW w:type="dxa" w:w="2700"/>
            <w:tcMar>
              <w:top w:type="dxa" w:w="80"/>
              <w:left w:type="dxa" w:w="120"/>
              <w:bottom w:type="dxa" w:w="80"/>
              <w:right w:type="dxa" w:w="120"/>
            </w:tcMar>
          </w:tcPr>
          <w:p>
            <w:r>
              <w:rPr>
                <w:sz w:val="18"/>
                <w:szCs w:val="18"/>
              </w:rPr>
              <w:t xml:space="preserve">2nd (after China)</w:t>
            </w:r>
          </w:p>
        </w:tc>
        <w:tc>
          <w:tcPr>
            <w:tcW w:type="dxa" w:w="2326"/>
            <w:tcMar>
              <w:top w:type="dxa" w:w="80"/>
              <w:left w:type="dxa" w:w="120"/>
              <w:bottom w:type="dxa" w:w="80"/>
              <w:right w:type="dxa" w:w="120"/>
            </w:tcMar>
          </w:tcPr>
          <w:p>
            <w:r>
              <w:rPr>
                <w:sz w:val="18"/>
                <w:szCs w:val="18"/>
              </w:rPr>
              <w:t xml:space="preserve">UNEP Food Waste Index</w:t>
            </w:r>
          </w:p>
        </w:tc>
      </w:tr>
      <w:tr>
        <w:tc>
          <w:tcPr>
            <w:tcW w:type="dxa" w:w="4000"/>
            <w:shd w:fill="F7FAF8" w:color="auto" w:val="clear"/>
            <w:tcMar>
              <w:top w:type="dxa" w:w="80"/>
              <w:left w:type="dxa" w:w="120"/>
              <w:bottom w:type="dxa" w:w="80"/>
              <w:right w:type="dxa" w:w="120"/>
            </w:tcMar>
          </w:tcPr>
          <w:p>
            <w:r>
              <w:rPr>
                <w:sz w:val="18"/>
                <w:szCs w:val="18"/>
              </w:rPr>
              <w:t xml:space="preserve">Food produced that goes uneaten (US)</w:t>
            </w:r>
          </w:p>
        </w:tc>
        <w:tc>
          <w:tcPr>
            <w:tcW w:type="dxa" w:w="2700"/>
            <w:shd w:fill="F7FAF8" w:color="auto" w:val="clear"/>
            <w:tcMar>
              <w:top w:type="dxa" w:w="80"/>
              <w:left w:type="dxa" w:w="120"/>
              <w:bottom w:type="dxa" w:w="80"/>
              <w:right w:type="dxa" w:w="120"/>
            </w:tcMar>
          </w:tcPr>
          <w:p>
            <w:r>
              <w:rPr>
                <w:sz w:val="18"/>
                <w:szCs w:val="18"/>
              </w:rPr>
              <w:t xml:space="preserve">40 %</w:t>
            </w:r>
          </w:p>
        </w:tc>
        <w:tc>
          <w:tcPr>
            <w:tcW w:type="dxa" w:w="2326"/>
            <w:shd w:fill="F7FAF8" w:color="auto" w:val="clear"/>
            <w:tcMar>
              <w:top w:type="dxa" w:w="80"/>
              <w:left w:type="dxa" w:w="120"/>
              <w:bottom w:type="dxa" w:w="80"/>
              <w:right w:type="dxa" w:w="120"/>
            </w:tcMar>
          </w:tcPr>
          <w:p>
            <w:r>
              <w:rPr>
                <w:sz w:val="18"/>
                <w:szCs w:val="18"/>
              </w:rPr>
              <w:t xml:space="preserve">NRDC</w:t>
            </w:r>
          </w:p>
        </w:tc>
      </w:tr>
      <w:tr>
        <w:tc>
          <w:tcPr>
            <w:tcW w:type="dxa" w:w="4000"/>
            <w:tcMar>
              <w:top w:type="dxa" w:w="80"/>
              <w:left w:type="dxa" w:w="120"/>
              <w:bottom w:type="dxa" w:w="80"/>
              <w:right w:type="dxa" w:w="120"/>
            </w:tcMar>
          </w:tcPr>
          <w:p>
            <w:r>
              <w:rPr>
                <w:sz w:val="18"/>
                <w:szCs w:val="18"/>
              </w:rPr>
              <w:t xml:space="preserve">Food wasted annually across Asia</w:t>
            </w:r>
          </w:p>
        </w:tc>
        <w:tc>
          <w:tcPr>
            <w:tcW w:type="dxa" w:w="2700"/>
            <w:tcMar>
              <w:top w:type="dxa" w:w="80"/>
              <w:left w:type="dxa" w:w="120"/>
              <w:bottom w:type="dxa" w:w="80"/>
              <w:right w:type="dxa" w:w="120"/>
            </w:tcMar>
          </w:tcPr>
          <w:p>
            <w:r>
              <w:rPr>
                <w:sz w:val="18"/>
                <w:szCs w:val="18"/>
              </w:rPr>
              <w:t xml:space="preserve">≈ 1.34 billion tonnes</w:t>
            </w:r>
          </w:p>
        </w:tc>
        <w:tc>
          <w:tcPr>
            <w:tcW w:type="dxa" w:w="2326"/>
            <w:tcMar>
              <w:top w:type="dxa" w:w="80"/>
              <w:left w:type="dxa" w:w="120"/>
              <w:bottom w:type="dxa" w:w="80"/>
              <w:right w:type="dxa" w:w="120"/>
            </w:tcMar>
          </w:tcPr>
          <w:p>
            <w:r>
              <w:rPr>
                <w:sz w:val="18"/>
                <w:szCs w:val="18"/>
              </w:rPr>
              <w:t xml:space="preserve">NRDC</w:t>
            </w:r>
          </w:p>
        </w:tc>
      </w:tr>
      <w:tr>
        <w:tc>
          <w:tcPr>
            <w:tcW w:type="dxa" w:w="4000"/>
            <w:shd w:fill="F7FAF8" w:color="auto" w:val="clear"/>
            <w:tcMar>
              <w:top w:type="dxa" w:w="80"/>
              <w:left w:type="dxa" w:w="120"/>
              <w:bottom w:type="dxa" w:w="80"/>
              <w:right w:type="dxa" w:w="120"/>
            </w:tcMar>
          </w:tcPr>
          <w:p>
            <w:r>
              <w:rPr>
                <w:sz w:val="18"/>
                <w:szCs w:val="18"/>
              </w:rPr>
              <w:t xml:space="preserve">Annual economic loss in India</w:t>
            </w:r>
          </w:p>
        </w:tc>
        <w:tc>
          <w:tcPr>
            <w:tcW w:type="dxa" w:w="2700"/>
            <w:shd w:fill="F7FAF8" w:color="auto" w:val="clear"/>
            <w:tcMar>
              <w:top w:type="dxa" w:w="80"/>
              <w:left w:type="dxa" w:w="120"/>
              <w:bottom w:type="dxa" w:w="80"/>
              <w:right w:type="dxa" w:w="120"/>
            </w:tcMar>
          </w:tcPr>
          <w:p>
            <w:r>
              <w:rPr>
                <w:sz w:val="18"/>
                <w:szCs w:val="18"/>
              </w:rPr>
              <w:t xml:space="preserve">≈ ₹89,000 crore (~1 % of GDP)</w:t>
            </w:r>
          </w:p>
        </w:tc>
        <w:tc>
          <w:tcPr>
            <w:tcW w:type="dxa" w:w="2326"/>
            <w:shd w:fill="F7FAF8" w:color="auto" w:val="clear"/>
            <w:tcMar>
              <w:top w:type="dxa" w:w="80"/>
              <w:left w:type="dxa" w:w="120"/>
              <w:bottom w:type="dxa" w:w="80"/>
              <w:right w:type="dxa" w:w="120"/>
            </w:tcMar>
          </w:tcPr>
          <w:p>
            <w:r>
              <w:rPr>
                <w:sz w:val="18"/>
                <w:szCs w:val="18"/>
              </w:rPr>
              <w:t xml:space="preserve">Times of Agriculture</w:t>
            </w:r>
          </w:p>
        </w:tc>
      </w:tr>
    </w:tbl>
    <w:p>
      <w:pPr>
        <w:spacing w:after="160"/>
      </w:pPr>
    </w:p>
    <w:p>
      <w:pPr>
        <w:spacing w:after="120" w:line="280"/>
        <w:jc w:val="both"/>
      </w:pPr>
      <w:r>
        <w:rPr>
          <w:b w:val="false"/>
          <w:bCs w:val="false"/>
          <w:i/>
          <w:iCs/>
          <w:color w:val="101828"/>
          <w:sz w:val="21"/>
          <w:szCs w:val="21"/>
        </w:rPr>
        <w:t xml:space="preserve">“Studies show that businesses, such as hotels, restaurants and food retailers, earn financial returns by investing in food waste reduction.”</w:t>
      </w:r>
      <w:r>
        <w:rPr>
          <w:b w:val="false"/>
          <w:bCs w:val="false"/>
          <w:i w:val="false"/>
          <w:iCs w:val="false"/>
          <w:color w:val="667085"/>
          <w:sz w:val="21"/>
          <w:szCs w:val="21"/>
        </w:rPr>
        <w:t xml:space="preserve"> — The Guardian</w:t>
      </w:r>
    </w:p>
    <w:p>
      <w:pPr>
        <w:pStyle w:val="Heading2"/>
        <w:spacing w:after="120" w:before="240"/>
      </w:pPr>
      <w:r>
        <w:t xml:space="preserve">2.2 Why institutional kitchens</w:t>
      </w:r>
    </w:p>
    <w:p>
      <w:pPr>
        <w:spacing w:after="120" w:line="280"/>
        <w:jc w:val="both"/>
      </w:pPr>
      <w:r>
        <w:rPr>
          <w:b w:val="false"/>
          <w:bCs w:val="false"/>
          <w:i w:val="false"/>
          <w:iCs w:val="false"/>
          <w:color w:val="101828"/>
          <w:sz w:val="21"/>
          <w:szCs w:val="21"/>
        </w:rPr>
        <w:t xml:space="preserve">Institutional kitchens — hostel messes, canteens, hotels — are the highest-leverage place to intervene. They cook thousands of meals daily from a single planning decision, so a small correction in preparation quantity compounds across the entire campus. Critically, they are also measurable: waste arrives at a small number of known disposal points at predictable times, which is exactly the condition an IoT sensing system needs.</w:t>
      </w:r>
    </w:p>
    <w:p>
      <w:pPr>
        <w:pStyle w:val="Heading2"/>
        <w:spacing w:after="120" w:before="240"/>
      </w:pPr>
      <w:r>
        <w:t xml:space="preserve">2.3 The core gap: waste is invisible</w:t>
      </w:r>
    </w:p>
    <w:p>
      <w:pPr>
        <w:spacing w:after="120" w:line="280"/>
        <w:jc w:val="both"/>
      </w:pPr>
      <w:r>
        <w:rPr>
          <w:b w:val="false"/>
          <w:bCs w:val="false"/>
          <w:i w:val="false"/>
          <w:iCs w:val="false"/>
          <w:color w:val="101828"/>
          <w:sz w:val="21"/>
          <w:szCs w:val="21"/>
        </w:rPr>
        <w:t xml:space="preserve">Without measurement, food waste stays invisible. Nobody knows how much is lost, what it costs, when it peaks, or which kitchen needs attention — so no corrective action can be planned or evaluated. Manual registers, where they exist, are inconsistent, delayed and never aggregated. WasteWise addresses this gap directly: it makes waste continuously visible, quantified in kilograms, rupees and kilograms of CO₂e, and attributable to a specific hostel and meal.</w:t>
      </w:r>
    </w:p>
    <w:p>
      <w:pPr>
        <w:pStyle w:val="Heading2"/>
        <w:spacing w:after="120" w:before="240"/>
      </w:pPr>
      <w:r>
        <w:t xml:space="preserve">2.4 Objectives</w:t>
      </w:r>
    </w:p>
    <w:p>
      <w:pPr>
        <w:spacing w:after="120" w:line="280"/>
        <w:jc w:val="both"/>
      </w:pPr>
      <w:r>
        <w:rPr>
          <w:b w:val="false"/>
          <w:bCs w:val="false"/>
          <w:i w:val="false"/>
          <w:iCs w:val="false"/>
          <w:color w:val="101828"/>
          <w:sz w:val="21"/>
          <w:szCs w:val="21"/>
        </w:rPr>
        <w:t xml:space="preserve">Vision — to create a milestone “Zero Food Waste Institute” in India and establish a replicable model for campuses, hostels, hotels and restaurants nationwide.</w:t>
      </w:r>
    </w:p>
    <w:p>
      <w:pPr>
        <w:spacing w:after="120" w:line="280"/>
        <w:jc w:val="both"/>
      </w:pPr>
      <w:r>
        <w:rPr>
          <w:b w:val="false"/>
          <w:bCs w:val="false"/>
          <w:i w:val="false"/>
          <w:iCs w:val="false"/>
          <w:color w:val="101828"/>
          <w:sz w:val="21"/>
          <w:szCs w:val="21"/>
        </w:rPr>
        <w:t xml:space="preserve">Mission — to record, track and reduce food waste easily and reliably using IoT, replacing pen and paper with automated real-time monitoring that makes waste visible, measurable and actionable.</w:t>
      </w:r>
    </w:p>
    <w:p>
      <w:pPr>
        <w:spacing w:after="120" w:line="280"/>
        <w:jc w:val="both"/>
      </w:pPr>
      <w:r>
        <w:rPr>
          <w:b w:val="false"/>
          <w:bCs w:val="false"/>
          <w:i w:val="false"/>
          <w:iCs w:val="false"/>
          <w:color w:val="101828"/>
          <w:sz w:val="21"/>
          <w:szCs w:val="21"/>
        </w:rPr>
        <w:t xml:space="preserve">Specific objectives:</w:t>
      </w:r>
    </w:p>
    <w:p>
      <w:pPr>
        <w:pStyle w:val="ListParagraph"/>
        <w:numPr>
          <w:ilvl w:val="0"/>
          <w:numId w:val="2"/>
        </w:numPr>
        <w:spacing w:after="80" w:line="280"/>
      </w:pPr>
      <w:r>
        <w:rPr>
          <w:color w:val="101828"/>
          <w:sz w:val="21"/>
          <w:szCs w:val="21"/>
        </w:rPr>
        <w:t xml:space="preserve">Automate food-waste recording at source using an IoT waste scale, eliminating manual entry.</w:t>
      </w:r>
    </w:p>
    <w:p>
      <w:pPr>
        <w:pStyle w:val="ListParagraph"/>
        <w:numPr>
          <w:ilvl w:val="0"/>
          <w:numId w:val="2"/>
        </w:numPr>
        <w:spacing w:after="80" w:line="280"/>
      </w:pPr>
      <w:r>
        <w:rPr>
          <w:color w:val="101828"/>
          <w:sz w:val="21"/>
          <w:szCs w:val="21"/>
        </w:rPr>
        <w:t xml:space="preserve">Visualise waste data in real time through a cloud-connected dashboard.</w:t>
      </w:r>
    </w:p>
    <w:p>
      <w:pPr>
        <w:pStyle w:val="ListParagraph"/>
        <w:numPr>
          <w:ilvl w:val="0"/>
          <w:numId w:val="2"/>
        </w:numPr>
        <w:spacing w:after="80" w:line="280"/>
      </w:pPr>
      <w:r>
        <w:rPr>
          <w:color w:val="101828"/>
          <w:sz w:val="21"/>
          <w:szCs w:val="21"/>
        </w:rPr>
        <w:t xml:space="preserve">Centralise records for all hostels on one platform to enable comparison and analysis.</w:t>
      </w:r>
    </w:p>
    <w:p>
      <w:pPr>
        <w:pStyle w:val="ListParagraph"/>
        <w:numPr>
          <w:ilvl w:val="0"/>
          <w:numId w:val="2"/>
        </w:numPr>
        <w:spacing w:after="80" w:line="280"/>
      </w:pPr>
      <w:r>
        <w:rPr>
          <w:color w:val="101828"/>
          <w:sz w:val="21"/>
          <w:szCs w:val="21"/>
        </w:rPr>
        <w:t xml:space="preserve">Quantify the amount, monetary value and carbon footprint of waste.</w:t>
      </w:r>
    </w:p>
    <w:p>
      <w:pPr>
        <w:pStyle w:val="ListParagraph"/>
        <w:numPr>
          <w:ilvl w:val="0"/>
          <w:numId w:val="2"/>
        </w:numPr>
        <w:spacing w:after="80" w:line="280"/>
      </w:pPr>
      <w:r>
        <w:rPr>
          <w:color w:val="101828"/>
          <w:sz w:val="21"/>
          <w:szCs w:val="21"/>
        </w:rPr>
        <w:t xml:space="preserve">Support data-driven optimisation of food production and menu planning.</w:t>
      </w:r>
    </w:p>
    <w:p>
      <w:r>
        <w:br w:type="page"/>
      </w:r>
    </w:p>
    <w:p>
      <w:pPr>
        <w:pStyle w:val="Heading1"/>
        <w:spacing w:after="160" w:before="320"/>
      </w:pPr>
      <w:r>
        <w:t xml:space="preserve">3. System Architecture</w:t>
      </w:r>
    </w:p>
    <w:p>
      <w:pPr>
        <w:pStyle w:val="Heading2"/>
        <w:spacing w:after="120" w:before="240"/>
      </w:pPr>
      <w:r>
        <w:t xml:space="preserve">3.1 Design philosophy</w:t>
      </w:r>
    </w:p>
    <w:p>
      <w:pPr>
        <w:spacing w:after="120" w:line="280"/>
        <w:jc w:val="both"/>
      </w:pPr>
      <w:r>
        <w:rPr>
          <w:b w:val="false"/>
          <w:bCs w:val="false"/>
          <w:i w:val="false"/>
          <w:iCs w:val="false"/>
          <w:color w:val="101828"/>
          <w:sz w:val="21"/>
          <w:szCs w:val="21"/>
        </w:rPr>
        <w:t xml:space="preserve">The architecture is deliberately decoupled into four layers, each replaceable without disturbing the others. Two constraints drove the design: the hardware node must be inexpensive enough to replicate fourteen times (and later, campus-wide), and no cloud credential may ever reach the end user’s browser.</w:t>
      </w:r>
    </w:p>
    <w:p>
      <w:pPr>
        <w:spacing w:after="120" w:line="280"/>
        <w:jc w:val="both"/>
      </w:pPr>
      <w:r>
        <w:rPr>
          <w:b w:val="false"/>
          <w:bCs w:val="false"/>
          <w:i w:val="false"/>
          <w:iCs w:val="false"/>
          <w:color w:val="101828"/>
          <w:sz w:val="21"/>
          <w:szCs w:val="21"/>
        </w:rPr>
        <w:t xml:space="preserve">A notable consequence of this separation is that the measurement devices do not depend on the WasteWise server at all. Each ESP32 publishes directly to ThingSpeak, so readings continue to be captured and stored even if the dashboard or its server is offline; the server is required only to view and analyse the data, never to collect it.</w:t>
      </w:r>
    </w:p>
    <w:p>
      <w:pPr>
        <w:pStyle w:val="Heading2"/>
        <w:spacing w:after="120" w:before="240"/>
      </w:pPr>
      <w:r>
        <w:t xml:space="preserve">3.2 End-to-end data flow</w:t>
      </w:r>
    </w:p>
    <w:p>
      <w:pPr>
        <w:shd w:fill="F4F6F8" w:color="auto" w:val="clear"/>
        <w:spacing w:after="0" w:line="240"/>
      </w:pPr>
      <w:r>
        <w:rPr>
          <w:rFonts w:ascii="Consolas" w:cs="Consolas" w:eastAsia="Consolas" w:hAnsi="Consolas"/>
          <w:color w:val="243B53"/>
          <w:sz w:val="16"/>
          <w:szCs w:val="16"/>
        </w:rPr>
        <w:t xml:space="preserve">  ┌──────────────────────┐     ┌──────────────────┐     ┌───────────────────┐     ┌────────────────┐</w:t>
      </w:r>
    </w:p>
    <w:p>
      <w:pPr>
        <w:shd w:fill="F4F6F8" w:color="auto" w:val="clear"/>
        <w:spacing w:after="0" w:line="240"/>
      </w:pPr>
      <w:r>
        <w:rPr>
          <w:rFonts w:ascii="Consolas" w:cs="Consolas" w:eastAsia="Consolas" w:hAnsi="Consolas"/>
          <w:color w:val="243B53"/>
          <w:sz w:val="16"/>
          <w:szCs w:val="16"/>
        </w:rPr>
        <w:t xml:space="preserve">  │  SENSING NODE × 14   │     │  CLOUD STORAGE   │     │  APPLICATION      │     │  PRESENTATION  │</w:t>
      </w:r>
    </w:p>
    <w:p>
      <w:pPr>
        <w:shd w:fill="F4F6F8" w:color="auto" w:val="clear"/>
        <w:spacing w:after="0" w:line="240"/>
      </w:pPr>
      <w:r>
        <w:rPr>
          <w:rFonts w:ascii="Consolas" w:cs="Consolas" w:eastAsia="Consolas" w:hAnsi="Consolas"/>
          <w:color w:val="243B53"/>
          <w:sz w:val="16"/>
          <w:szCs w:val="16"/>
        </w:rPr>
        <w:t xml:space="preserve">  │                      │     │                  │     │                   │     │                │</w:t>
      </w:r>
    </w:p>
    <w:p>
      <w:pPr>
        <w:shd w:fill="F4F6F8" w:color="auto" w:val="clear"/>
        <w:spacing w:after="0" w:line="240"/>
      </w:pPr>
      <w:r>
        <w:rPr>
          <w:rFonts w:ascii="Consolas" w:cs="Consolas" w:eastAsia="Consolas" w:hAnsi="Consolas"/>
          <w:color w:val="243B53"/>
          <w:sz w:val="16"/>
          <w:szCs w:val="16"/>
        </w:rPr>
        <w:t xml:space="preserve">  │  Load cell + HX711   │ ──► │  ThingSpeak      │ ──► │  Node.js/Express  │ ──► │  Bento         │</w:t>
      </w:r>
    </w:p>
    <w:p>
      <w:pPr>
        <w:shd w:fill="F4F6F8" w:color="auto" w:val="clear"/>
        <w:spacing w:after="0" w:line="240"/>
      </w:pPr>
      <w:r>
        <w:rPr>
          <w:rFonts w:ascii="Consolas" w:cs="Consolas" w:eastAsia="Consolas" w:hAnsi="Consolas"/>
          <w:color w:val="243B53"/>
          <w:sz w:val="16"/>
          <w:szCs w:val="16"/>
        </w:rPr>
        <w:t xml:space="preserve">  │  + ESP32 (Wi-Fi)     │HTTPS│  4 channels      │REST │  proxy + auth     │JSON │  dashboard     │</w:t>
      </w:r>
    </w:p>
    <w:p>
      <w:pPr>
        <w:shd w:fill="F4F6F8" w:color="auto" w:val="clear"/>
        <w:spacing w:after="0" w:line="240"/>
      </w:pPr>
      <w:r>
        <w:rPr>
          <w:rFonts w:ascii="Consolas" w:cs="Consolas" w:eastAsia="Consolas" w:hAnsi="Consolas"/>
          <w:color w:val="243B53"/>
          <w:sz w:val="16"/>
          <w:szCs w:val="16"/>
        </w:rPr>
        <w:t xml:space="preserve">  │                      │     │                  │     │                   │     │                │</w:t>
      </w:r>
    </w:p>
    <w:p>
      <w:pPr>
        <w:shd w:fill="F4F6F8" w:color="auto" w:val="clear"/>
        <w:spacing w:after="0" w:line="240"/>
      </w:pPr>
      <w:r>
        <w:rPr>
          <w:rFonts w:ascii="Consolas" w:cs="Consolas" w:eastAsia="Consolas" w:hAnsi="Consolas"/>
          <w:color w:val="243B53"/>
          <w:sz w:val="16"/>
          <w:szCs w:val="16"/>
        </w:rPr>
        <w:t xml:space="preserve">  │  weight, hostel,RSSI │     │  timestamps data │     │  holds ALL keys   │     │  no keys       │</w:t>
      </w:r>
    </w:p>
    <w:p>
      <w:pPr>
        <w:shd w:fill="F4F6F8" w:color="auto" w:val="clear"/>
        <w:spacing w:after="0" w:line="240"/>
      </w:pPr>
      <w:r>
        <w:rPr>
          <w:rFonts w:ascii="Consolas" w:cs="Consolas" w:eastAsia="Consolas" w:hAnsi="Consolas"/>
          <w:color w:val="243B53"/>
          <w:sz w:val="16"/>
          <w:szCs w:val="16"/>
        </w:rPr>
        <w:t xml:space="preserve">  └──────────────────────┘     └──────────────────┘     └───────────────────┘     └────────────────┘</w:t>
      </w:r>
    </w:p>
    <w:p>
      <w:pPr>
        <w:spacing w:after="200" w:before="60"/>
        <w:jc w:val="center"/>
      </w:pPr>
      <w:r>
        <w:rPr>
          <w:i/>
          <w:iCs/>
          <w:color w:val="667085"/>
          <w:sz w:val="17"/>
          <w:szCs w:val="17"/>
        </w:rPr>
        <w:t xml:space="preserve">Figure 1 — Four-layer architecture. Devices write to the cloud independently of the server.</w:t>
      </w:r>
    </w:p>
    <w:p>
      <w:pPr>
        <w:pStyle w:val="Heading2"/>
        <w:spacing w:after="120" w:before="240"/>
      </w:pPr>
      <w:r>
        <w:t xml:space="preserve">3.3 Layer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tblHeader/>
        </w:trPr>
        <w:tc>
          <w:tcPr>
            <w:tcW w:type="dxa" w:w="1500"/>
            <w:shd w:fill="16A34A" w:color="auto" w:val="clear"/>
            <w:tcMar>
              <w:top w:type="dxa" w:w="90"/>
              <w:left w:type="dxa" w:w="120"/>
              <w:bottom w:type="dxa" w:w="90"/>
              <w:right w:type="dxa" w:w="120"/>
            </w:tcMar>
          </w:tcPr>
          <w:p>
            <w:r>
              <w:rPr>
                <w:b/>
                <w:bCs/>
                <w:color w:val="FFFFFF"/>
                <w:sz w:val="18"/>
                <w:szCs w:val="18"/>
              </w:rPr>
              <w:t xml:space="preserve">Layer</w:t>
            </w:r>
          </w:p>
        </w:tc>
        <w:tc>
          <w:tcPr>
            <w:tcW w:type="dxa" w:w="2600"/>
            <w:shd w:fill="16A34A" w:color="auto" w:val="clear"/>
            <w:tcMar>
              <w:top w:type="dxa" w:w="90"/>
              <w:left w:type="dxa" w:w="120"/>
              <w:bottom w:type="dxa" w:w="90"/>
              <w:right w:type="dxa" w:w="120"/>
            </w:tcMar>
          </w:tcPr>
          <w:p>
            <w:r>
              <w:rPr>
                <w:b/>
                <w:bCs/>
                <w:color w:val="FFFFFF"/>
                <w:sz w:val="18"/>
                <w:szCs w:val="18"/>
              </w:rPr>
              <w:t xml:space="preserve">Technology</w:t>
            </w:r>
          </w:p>
        </w:tc>
        <w:tc>
          <w:tcPr>
            <w:tcW w:type="dxa" w:w="4926"/>
            <w:shd w:fill="16A34A" w:color="auto" w:val="clear"/>
            <w:tcMar>
              <w:top w:type="dxa" w:w="90"/>
              <w:left w:type="dxa" w:w="120"/>
              <w:bottom w:type="dxa" w:w="90"/>
              <w:right w:type="dxa" w:w="120"/>
            </w:tcMar>
          </w:tcPr>
          <w:p>
            <w:r>
              <w:rPr>
                <w:b/>
                <w:bCs/>
                <w:color w:val="FFFFFF"/>
                <w:sz w:val="18"/>
                <w:szCs w:val="18"/>
              </w:rPr>
              <w:t xml:space="preserve">Responsibility</w:t>
            </w:r>
          </w:p>
        </w:tc>
      </w:tr>
      <w:tr>
        <w:tc>
          <w:tcPr>
            <w:tcW w:type="dxa" w:w="1500"/>
            <w:tcMar>
              <w:top w:type="dxa" w:w="80"/>
              <w:left w:type="dxa" w:w="120"/>
              <w:bottom w:type="dxa" w:w="80"/>
              <w:right w:type="dxa" w:w="120"/>
            </w:tcMar>
          </w:tcPr>
          <w:p>
            <w:r>
              <w:rPr>
                <w:sz w:val="18"/>
                <w:szCs w:val="18"/>
              </w:rPr>
              <w:t xml:space="preserve">Sensing</w:t>
            </w:r>
          </w:p>
        </w:tc>
        <w:tc>
          <w:tcPr>
            <w:tcW w:type="dxa" w:w="2600"/>
            <w:tcMar>
              <w:top w:type="dxa" w:w="80"/>
              <w:left w:type="dxa" w:w="120"/>
              <w:bottom w:type="dxa" w:w="80"/>
              <w:right w:type="dxa" w:w="120"/>
            </w:tcMar>
          </w:tcPr>
          <w:p>
            <w:r>
              <w:rPr>
                <w:sz w:val="18"/>
                <w:szCs w:val="18"/>
              </w:rPr>
              <w:t xml:space="preserve">Load cell, HX711, ESP32 (Arduino C++)</w:t>
            </w:r>
          </w:p>
        </w:tc>
        <w:tc>
          <w:tcPr>
            <w:tcW w:type="dxa" w:w="4926"/>
            <w:tcMar>
              <w:top w:type="dxa" w:w="80"/>
              <w:left w:type="dxa" w:w="120"/>
              <w:bottom w:type="dxa" w:w="80"/>
              <w:right w:type="dxa" w:w="120"/>
            </w:tcMar>
          </w:tcPr>
          <w:p>
            <w:r>
              <w:rPr>
                <w:sz w:val="18"/>
                <w:szCs w:val="18"/>
              </w:rPr>
              <w:t xml:space="preserve">Detect a stable disposal event, convert raw counts to kg, publish over Wi-Fi</w:t>
            </w:r>
          </w:p>
        </w:tc>
      </w:tr>
      <w:tr>
        <w:tc>
          <w:tcPr>
            <w:tcW w:type="dxa" w:w="1500"/>
            <w:shd w:fill="F7FAF8" w:color="auto" w:val="clear"/>
            <w:tcMar>
              <w:top w:type="dxa" w:w="80"/>
              <w:left w:type="dxa" w:w="120"/>
              <w:bottom w:type="dxa" w:w="80"/>
              <w:right w:type="dxa" w:w="120"/>
            </w:tcMar>
          </w:tcPr>
          <w:p>
            <w:r>
              <w:rPr>
                <w:sz w:val="18"/>
                <w:szCs w:val="18"/>
              </w:rPr>
              <w:t xml:space="preserve">Cloud storage</w:t>
            </w:r>
          </w:p>
        </w:tc>
        <w:tc>
          <w:tcPr>
            <w:tcW w:type="dxa" w:w="2600"/>
            <w:shd w:fill="F7FAF8" w:color="auto" w:val="clear"/>
            <w:tcMar>
              <w:top w:type="dxa" w:w="80"/>
              <w:left w:type="dxa" w:w="120"/>
              <w:bottom w:type="dxa" w:w="80"/>
              <w:right w:type="dxa" w:w="120"/>
            </w:tcMar>
          </w:tcPr>
          <w:p>
            <w:r>
              <w:rPr>
                <w:sz w:val="18"/>
                <w:szCs w:val="18"/>
              </w:rPr>
              <w:t xml:space="preserve">ThingSpeak (4 channels)</w:t>
            </w:r>
          </w:p>
        </w:tc>
        <w:tc>
          <w:tcPr>
            <w:tcW w:type="dxa" w:w="4926"/>
            <w:shd w:fill="F7FAF8" w:color="auto" w:val="clear"/>
            <w:tcMar>
              <w:top w:type="dxa" w:w="80"/>
              <w:left w:type="dxa" w:w="120"/>
              <w:bottom w:type="dxa" w:w="80"/>
              <w:right w:type="dxa" w:w="120"/>
            </w:tcMar>
          </w:tcPr>
          <w:p>
            <w:r>
              <w:rPr>
                <w:sz w:val="18"/>
                <w:szCs w:val="18"/>
              </w:rPr>
              <w:t xml:space="preserve">Timestamp, persist and serve time-series readings; decouples device from server</w:t>
            </w:r>
          </w:p>
        </w:tc>
      </w:tr>
      <w:tr>
        <w:tc>
          <w:tcPr>
            <w:tcW w:type="dxa" w:w="1500"/>
            <w:tcMar>
              <w:top w:type="dxa" w:w="80"/>
              <w:left w:type="dxa" w:w="120"/>
              <w:bottom w:type="dxa" w:w="80"/>
              <w:right w:type="dxa" w:w="120"/>
            </w:tcMar>
          </w:tcPr>
          <w:p>
            <w:r>
              <w:rPr>
                <w:sz w:val="18"/>
                <w:szCs w:val="18"/>
              </w:rPr>
              <w:t xml:space="preserve">Application</w:t>
            </w:r>
          </w:p>
        </w:tc>
        <w:tc>
          <w:tcPr>
            <w:tcW w:type="dxa" w:w="2600"/>
            <w:tcMar>
              <w:top w:type="dxa" w:w="80"/>
              <w:left w:type="dxa" w:w="120"/>
              <w:bottom w:type="dxa" w:w="80"/>
              <w:right w:type="dxa" w:w="120"/>
            </w:tcMar>
          </w:tcPr>
          <w:p>
            <w:r>
              <w:rPr>
                <w:sz w:val="18"/>
                <w:szCs w:val="18"/>
              </w:rPr>
              <w:t xml:space="preserve">Node.js 18+, Express 4, dotenv</w:t>
            </w:r>
          </w:p>
        </w:tc>
        <w:tc>
          <w:tcPr>
            <w:tcW w:type="dxa" w:w="4926"/>
            <w:tcMar>
              <w:top w:type="dxa" w:w="80"/>
              <w:left w:type="dxa" w:w="120"/>
              <w:bottom w:type="dxa" w:w="80"/>
              <w:right w:type="dxa" w:w="120"/>
            </w:tcMar>
          </w:tcPr>
          <w:p>
            <w:r>
              <w:rPr>
                <w:sz w:val="18"/>
                <w:szCs w:val="18"/>
              </w:rPr>
              <w:t xml:space="preserve">Hold credentials, aggregate channels, authenticate admins, expose JSON API, serve site</w:t>
            </w:r>
          </w:p>
        </w:tc>
      </w:tr>
      <w:tr>
        <w:tc>
          <w:tcPr>
            <w:tcW w:type="dxa" w:w="1500"/>
            <w:shd w:fill="F7FAF8" w:color="auto" w:val="clear"/>
            <w:tcMar>
              <w:top w:type="dxa" w:w="80"/>
              <w:left w:type="dxa" w:w="120"/>
              <w:bottom w:type="dxa" w:w="80"/>
              <w:right w:type="dxa" w:w="120"/>
            </w:tcMar>
          </w:tcPr>
          <w:p>
            <w:r>
              <w:rPr>
                <w:sz w:val="18"/>
                <w:szCs w:val="18"/>
              </w:rPr>
              <w:t xml:space="preserve">Presentation</w:t>
            </w:r>
          </w:p>
        </w:tc>
        <w:tc>
          <w:tcPr>
            <w:tcW w:type="dxa" w:w="2600"/>
            <w:shd w:fill="F7FAF8" w:color="auto" w:val="clear"/>
            <w:tcMar>
              <w:top w:type="dxa" w:w="80"/>
              <w:left w:type="dxa" w:w="120"/>
              <w:bottom w:type="dxa" w:w="80"/>
              <w:right w:type="dxa" w:w="120"/>
            </w:tcMar>
          </w:tcPr>
          <w:p>
            <w:r>
              <w:rPr>
                <w:sz w:val="18"/>
                <w:szCs w:val="18"/>
              </w:rPr>
              <w:t xml:space="preserve">HTML/CSS/vanilla JS, inline SVG</w:t>
            </w:r>
          </w:p>
        </w:tc>
        <w:tc>
          <w:tcPr>
            <w:tcW w:type="dxa" w:w="4926"/>
            <w:shd w:fill="F7FAF8" w:color="auto" w:val="clear"/>
            <w:tcMar>
              <w:top w:type="dxa" w:w="80"/>
              <w:left w:type="dxa" w:w="120"/>
              <w:bottom w:type="dxa" w:w="80"/>
              <w:right w:type="dxa" w:w="120"/>
            </w:tcMar>
          </w:tcPr>
          <w:p>
            <w:r>
              <w:rPr>
                <w:sz w:val="18"/>
                <w:szCs w:val="18"/>
              </w:rPr>
              <w:t xml:space="preserve">Compute analytics client-side, render bento dashboard, enforce role-based views</w:t>
            </w:r>
          </w:p>
        </w:tc>
      </w:tr>
    </w:tbl>
    <w:p>
      <w:r>
        <w:br w:type="page"/>
      </w:r>
    </w:p>
    <w:p>
      <w:pPr>
        <w:pStyle w:val="Heading1"/>
        <w:spacing w:after="160" w:before="320"/>
      </w:pPr>
      <w:r>
        <w:t xml:space="preserve">4. Hardware Design</w:t>
      </w:r>
    </w:p>
    <w:p>
      <w:pPr>
        <w:pStyle w:val="Heading2"/>
        <w:spacing w:after="120" w:before="240"/>
      </w:pPr>
      <w:r>
        <w:t xml:space="preserve">4.1 Component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shd w:fill="16A34A" w:color="auto" w:val="clear"/>
            <w:tcMar>
              <w:top w:type="dxa" w:w="90"/>
              <w:left w:type="dxa" w:w="120"/>
              <w:bottom w:type="dxa" w:w="90"/>
              <w:right w:type="dxa" w:w="120"/>
            </w:tcMar>
          </w:tcPr>
          <w:p>
            <w:r>
              <w:rPr>
                <w:b/>
                <w:bCs/>
                <w:color w:val="FFFFFF"/>
                <w:sz w:val="18"/>
                <w:szCs w:val="18"/>
              </w:rPr>
              <w:t xml:space="preserve">Component</w:t>
            </w:r>
          </w:p>
        </w:tc>
        <w:tc>
          <w:tcPr>
            <w:tcW w:type="dxa" w:w="2400"/>
            <w:shd w:fill="16A34A" w:color="auto" w:val="clear"/>
            <w:tcMar>
              <w:top w:type="dxa" w:w="90"/>
              <w:left w:type="dxa" w:w="120"/>
              <w:bottom w:type="dxa" w:w="90"/>
              <w:right w:type="dxa" w:w="120"/>
            </w:tcMar>
          </w:tcPr>
          <w:p>
            <w:r>
              <w:rPr>
                <w:b/>
                <w:bCs/>
                <w:color w:val="FFFFFF"/>
                <w:sz w:val="18"/>
                <w:szCs w:val="18"/>
              </w:rPr>
              <w:t xml:space="preserve">Function</w:t>
            </w:r>
          </w:p>
        </w:tc>
        <w:tc>
          <w:tcPr>
            <w:tcW w:type="dxa" w:w="4626"/>
            <w:shd w:fill="16A34A" w:color="auto" w:val="clear"/>
            <w:tcMar>
              <w:top w:type="dxa" w:w="90"/>
              <w:left w:type="dxa" w:w="120"/>
              <w:bottom w:type="dxa" w:w="90"/>
              <w:right w:type="dxa" w:w="120"/>
            </w:tcMar>
          </w:tcPr>
          <w:p>
            <w:r>
              <w:rPr>
                <w:b/>
                <w:bCs/>
                <w:color w:val="FFFFFF"/>
                <w:sz w:val="18"/>
                <w:szCs w:val="18"/>
              </w:rPr>
              <w:t xml:space="preserve">Rationale</w:t>
            </w:r>
          </w:p>
        </w:tc>
      </w:tr>
      <w:tr>
        <w:tc>
          <w:tcPr>
            <w:tcW w:type="dxa" w:w="2000"/>
            <w:tcMar>
              <w:top w:type="dxa" w:w="80"/>
              <w:left w:type="dxa" w:w="120"/>
              <w:bottom w:type="dxa" w:w="80"/>
              <w:right w:type="dxa" w:w="120"/>
            </w:tcMar>
          </w:tcPr>
          <w:p>
            <w:r>
              <w:rPr>
                <w:sz w:val="18"/>
                <w:szCs w:val="18"/>
              </w:rPr>
              <w:t xml:space="preserve">ESP32 Dev Module</w:t>
            </w:r>
          </w:p>
        </w:tc>
        <w:tc>
          <w:tcPr>
            <w:tcW w:type="dxa" w:w="2400"/>
            <w:tcMar>
              <w:top w:type="dxa" w:w="80"/>
              <w:left w:type="dxa" w:w="120"/>
              <w:bottom w:type="dxa" w:w="80"/>
              <w:right w:type="dxa" w:w="120"/>
            </w:tcMar>
          </w:tcPr>
          <w:p>
            <w:r>
              <w:rPr>
                <w:sz w:val="18"/>
                <w:szCs w:val="18"/>
              </w:rPr>
              <w:t xml:space="preserve">Microcontroller + Wi-Fi radio</w:t>
            </w:r>
          </w:p>
        </w:tc>
        <w:tc>
          <w:tcPr>
            <w:tcW w:type="dxa" w:w="4626"/>
            <w:tcMar>
              <w:top w:type="dxa" w:w="80"/>
              <w:left w:type="dxa" w:w="120"/>
              <w:bottom w:type="dxa" w:w="80"/>
              <w:right w:type="dxa" w:w="120"/>
            </w:tcMar>
          </w:tcPr>
          <w:p>
            <w:r>
              <w:rPr>
                <w:sz w:val="18"/>
                <w:szCs w:val="18"/>
              </w:rPr>
              <w:t xml:space="preserve">Integrated 2.4 GHz Wi-Fi and HTTPS stack; no external network module needed</w:t>
            </w:r>
          </w:p>
        </w:tc>
      </w:tr>
      <w:tr>
        <w:tc>
          <w:tcPr>
            <w:tcW w:type="dxa" w:w="2000"/>
            <w:shd w:fill="F7FAF8" w:color="auto" w:val="clear"/>
            <w:tcMar>
              <w:top w:type="dxa" w:w="80"/>
              <w:left w:type="dxa" w:w="120"/>
              <w:bottom w:type="dxa" w:w="80"/>
              <w:right w:type="dxa" w:w="120"/>
            </w:tcMar>
          </w:tcPr>
          <w:p>
            <w:r>
              <w:rPr>
                <w:sz w:val="18"/>
                <w:szCs w:val="18"/>
              </w:rPr>
              <w:t xml:space="preserve">HX711 amplifier</w:t>
            </w:r>
          </w:p>
        </w:tc>
        <w:tc>
          <w:tcPr>
            <w:tcW w:type="dxa" w:w="2400"/>
            <w:shd w:fill="F7FAF8" w:color="auto" w:val="clear"/>
            <w:tcMar>
              <w:top w:type="dxa" w:w="80"/>
              <w:left w:type="dxa" w:w="120"/>
              <w:bottom w:type="dxa" w:w="80"/>
              <w:right w:type="dxa" w:w="120"/>
            </w:tcMar>
          </w:tcPr>
          <w:p>
            <w:r>
              <w:rPr>
                <w:sz w:val="18"/>
                <w:szCs w:val="18"/>
              </w:rPr>
              <w:t xml:space="preserve">24-bit ADC for the load cell</w:t>
            </w:r>
          </w:p>
        </w:tc>
        <w:tc>
          <w:tcPr>
            <w:tcW w:type="dxa" w:w="4626"/>
            <w:shd w:fill="F7FAF8" w:color="auto" w:val="clear"/>
            <w:tcMar>
              <w:top w:type="dxa" w:w="80"/>
              <w:left w:type="dxa" w:w="120"/>
              <w:bottom w:type="dxa" w:w="80"/>
              <w:right w:type="dxa" w:w="120"/>
            </w:tcMar>
          </w:tcPr>
          <w:p>
            <w:r>
              <w:rPr>
                <w:sz w:val="18"/>
                <w:szCs w:val="18"/>
              </w:rPr>
              <w:t xml:space="preserve">Purpose-built bridge amplifier; resolves the microvolt-level signal a load cell produces</w:t>
            </w:r>
          </w:p>
        </w:tc>
      </w:tr>
      <w:tr>
        <w:tc>
          <w:tcPr>
            <w:tcW w:type="dxa" w:w="2000"/>
            <w:tcMar>
              <w:top w:type="dxa" w:w="80"/>
              <w:left w:type="dxa" w:w="120"/>
              <w:bottom w:type="dxa" w:w="80"/>
              <w:right w:type="dxa" w:w="120"/>
            </w:tcMar>
          </w:tcPr>
          <w:p>
            <w:r>
              <w:rPr>
                <w:sz w:val="18"/>
                <w:szCs w:val="18"/>
              </w:rPr>
              <w:t xml:space="preserve">Strain-gauge load cell</w:t>
            </w:r>
          </w:p>
        </w:tc>
        <w:tc>
          <w:tcPr>
            <w:tcW w:type="dxa" w:w="2400"/>
            <w:tcMar>
              <w:top w:type="dxa" w:w="80"/>
              <w:left w:type="dxa" w:w="120"/>
              <w:bottom w:type="dxa" w:w="80"/>
              <w:right w:type="dxa" w:w="120"/>
            </w:tcMar>
          </w:tcPr>
          <w:p>
            <w:r>
              <w:rPr>
                <w:sz w:val="18"/>
                <w:szCs w:val="18"/>
              </w:rPr>
              <w:t xml:space="preserve">Converts force to a voltage</w:t>
            </w:r>
          </w:p>
        </w:tc>
        <w:tc>
          <w:tcPr>
            <w:tcW w:type="dxa" w:w="4626"/>
            <w:tcMar>
              <w:top w:type="dxa" w:w="80"/>
              <w:left w:type="dxa" w:w="120"/>
              <w:bottom w:type="dxa" w:w="80"/>
              <w:right w:type="dxa" w:w="120"/>
            </w:tcMar>
          </w:tcPr>
          <w:p>
            <w:r>
              <w:rPr>
                <w:sz w:val="18"/>
                <w:szCs w:val="18"/>
              </w:rPr>
              <w:t xml:space="preserve">Standard, low-cost, mechanically simple; adequate accuracy for kitchen-scale waste</w:t>
            </w:r>
          </w:p>
        </w:tc>
      </w:tr>
      <w:tr>
        <w:tc>
          <w:tcPr>
            <w:tcW w:type="dxa" w:w="2000"/>
            <w:shd w:fill="F7FAF8" w:color="auto" w:val="clear"/>
            <w:tcMar>
              <w:top w:type="dxa" w:w="80"/>
              <w:left w:type="dxa" w:w="120"/>
              <w:bottom w:type="dxa" w:w="80"/>
              <w:right w:type="dxa" w:w="120"/>
            </w:tcMar>
          </w:tcPr>
          <w:p>
            <w:r>
              <w:rPr>
                <w:sz w:val="18"/>
                <w:szCs w:val="18"/>
              </w:rPr>
              <w:t xml:space="preserve">Waste bin / platform</w:t>
            </w:r>
          </w:p>
        </w:tc>
        <w:tc>
          <w:tcPr>
            <w:tcW w:type="dxa" w:w="2400"/>
            <w:shd w:fill="F7FAF8" w:color="auto" w:val="clear"/>
            <w:tcMar>
              <w:top w:type="dxa" w:w="80"/>
              <w:left w:type="dxa" w:w="120"/>
              <w:bottom w:type="dxa" w:w="80"/>
              <w:right w:type="dxa" w:w="120"/>
            </w:tcMar>
          </w:tcPr>
          <w:p>
            <w:r>
              <w:rPr>
                <w:sz w:val="18"/>
                <w:szCs w:val="18"/>
              </w:rPr>
              <w:t xml:space="preserve">Receives the disposal</w:t>
            </w:r>
          </w:p>
        </w:tc>
        <w:tc>
          <w:tcPr>
            <w:tcW w:type="dxa" w:w="4626"/>
            <w:shd w:fill="F7FAF8" w:color="auto" w:val="clear"/>
            <w:tcMar>
              <w:top w:type="dxa" w:w="80"/>
              <w:left w:type="dxa" w:w="120"/>
              <w:bottom w:type="dxa" w:w="80"/>
              <w:right w:type="dxa" w:w="120"/>
            </w:tcMar>
          </w:tcPr>
          <w:p>
            <w:r>
              <w:rPr>
                <w:sz w:val="18"/>
                <w:szCs w:val="18"/>
              </w:rPr>
              <w:t xml:space="preserve">Fits existing mess workflow — no behaviour change required from students</w:t>
            </w:r>
          </w:p>
        </w:tc>
      </w:tr>
    </w:tbl>
    <w:p>
      <w:pPr>
        <w:spacing w:after="160"/>
      </w:pPr>
    </w:p>
    <w:p>
      <w:pPr>
        <w:spacing w:after="120" w:line="280"/>
        <w:jc w:val="both"/>
      </w:pPr>
      <w:r>
        <w:rPr>
          <w:b w:val="false"/>
          <w:bCs w:val="false"/>
          <w:i w:val="false"/>
          <w:iCs w:val="false"/>
          <w:color w:val="101828"/>
          <w:sz w:val="21"/>
          <w:szCs w:val="21"/>
        </w:rPr>
        <w:t xml:space="preserve">A load cell alone cannot be read by a microcontroller: its output is a differential signal of a few millivolts at full scale. The HX711 solves this with a high-gain, low-noise 24-bit converter that communicates over a simple two-wire protocol, which is why this pairing is the standard approach for digital scales.</w:t>
      </w:r>
    </w:p>
    <w:p>
      <w:pPr>
        <w:pStyle w:val="Heading2"/>
        <w:spacing w:after="120" w:before="240"/>
      </w:pPr>
      <w:r>
        <w:t xml:space="preserve">4.2 Wiring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shd w:fill="16A34A" w:color="auto" w:val="clear"/>
            <w:tcMar>
              <w:top w:type="dxa" w:w="90"/>
              <w:left w:type="dxa" w:w="120"/>
              <w:bottom w:type="dxa" w:w="90"/>
              <w:right w:type="dxa" w:w="120"/>
            </w:tcMar>
          </w:tcPr>
          <w:p>
            <w:r>
              <w:rPr>
                <w:b/>
                <w:bCs/>
                <w:color w:val="FFFFFF"/>
                <w:sz w:val="18"/>
                <w:szCs w:val="18"/>
              </w:rPr>
              <w:t xml:space="preserve">HX711 pin</w:t>
            </w:r>
          </w:p>
        </w:tc>
        <w:tc>
          <w:tcPr>
            <w:tcW w:type="dxa" w:w="3000"/>
            <w:shd w:fill="16A34A" w:color="auto" w:val="clear"/>
            <w:tcMar>
              <w:top w:type="dxa" w:w="90"/>
              <w:left w:type="dxa" w:w="120"/>
              <w:bottom w:type="dxa" w:w="90"/>
              <w:right w:type="dxa" w:w="120"/>
            </w:tcMar>
          </w:tcPr>
          <w:p>
            <w:r>
              <w:rPr>
                <w:b/>
                <w:bCs/>
                <w:color w:val="FFFFFF"/>
                <w:sz w:val="18"/>
                <w:szCs w:val="18"/>
              </w:rPr>
              <w:t xml:space="preserve">ESP32 connection</w:t>
            </w:r>
          </w:p>
        </w:tc>
        <w:tc>
          <w:tcPr>
            <w:tcW w:type="dxa" w:w="3626"/>
            <w:shd w:fill="16A34A" w:color="auto" w:val="clear"/>
            <w:tcMar>
              <w:top w:type="dxa" w:w="90"/>
              <w:left w:type="dxa" w:w="120"/>
              <w:bottom w:type="dxa" w:w="90"/>
              <w:right w:type="dxa" w:w="120"/>
            </w:tcMar>
          </w:tcPr>
          <w:p>
            <w:r>
              <w:rPr>
                <w:b/>
                <w:bCs/>
                <w:color w:val="FFFFFF"/>
                <w:sz w:val="18"/>
                <w:szCs w:val="18"/>
              </w:rPr>
              <w:t xml:space="preserve">Purpose</w:t>
            </w:r>
          </w:p>
        </w:tc>
      </w:tr>
      <w:tr>
        <w:tc>
          <w:tcPr>
            <w:tcW w:type="dxa" w:w="2400"/>
            <w:tcMar>
              <w:top w:type="dxa" w:w="80"/>
              <w:left w:type="dxa" w:w="120"/>
              <w:bottom w:type="dxa" w:w="80"/>
              <w:right w:type="dxa" w:w="120"/>
            </w:tcMar>
          </w:tcPr>
          <w:p>
            <w:r>
              <w:rPr>
                <w:sz w:val="18"/>
                <w:szCs w:val="18"/>
              </w:rPr>
              <w:t xml:space="preserve">VCC</w:t>
            </w:r>
          </w:p>
        </w:tc>
        <w:tc>
          <w:tcPr>
            <w:tcW w:type="dxa" w:w="3000"/>
            <w:tcMar>
              <w:top w:type="dxa" w:w="80"/>
              <w:left w:type="dxa" w:w="120"/>
              <w:bottom w:type="dxa" w:w="80"/>
              <w:right w:type="dxa" w:w="120"/>
            </w:tcMar>
          </w:tcPr>
          <w:p>
            <w:r>
              <w:rPr>
                <w:sz w:val="18"/>
                <w:szCs w:val="18"/>
              </w:rPr>
              <w:t xml:space="preserve">3V3</w:t>
            </w:r>
          </w:p>
        </w:tc>
        <w:tc>
          <w:tcPr>
            <w:tcW w:type="dxa" w:w="3626"/>
            <w:tcMar>
              <w:top w:type="dxa" w:w="80"/>
              <w:left w:type="dxa" w:w="120"/>
              <w:bottom w:type="dxa" w:w="80"/>
              <w:right w:type="dxa" w:w="120"/>
            </w:tcMar>
          </w:tcPr>
          <w:p>
            <w:r>
              <w:rPr>
                <w:sz w:val="18"/>
                <w:szCs w:val="18"/>
              </w:rPr>
              <w:t xml:space="preserve">Power supply</w:t>
            </w:r>
          </w:p>
        </w:tc>
      </w:tr>
      <w:tr>
        <w:tc>
          <w:tcPr>
            <w:tcW w:type="dxa" w:w="2400"/>
            <w:shd w:fill="F7FAF8" w:color="auto" w:val="clear"/>
            <w:tcMar>
              <w:top w:type="dxa" w:w="80"/>
              <w:left w:type="dxa" w:w="120"/>
              <w:bottom w:type="dxa" w:w="80"/>
              <w:right w:type="dxa" w:w="120"/>
            </w:tcMar>
          </w:tcPr>
          <w:p>
            <w:r>
              <w:rPr>
                <w:sz w:val="18"/>
                <w:szCs w:val="18"/>
              </w:rPr>
              <w:t xml:space="preserve">GND</w:t>
            </w:r>
          </w:p>
        </w:tc>
        <w:tc>
          <w:tcPr>
            <w:tcW w:type="dxa" w:w="3000"/>
            <w:shd w:fill="F7FAF8" w:color="auto" w:val="clear"/>
            <w:tcMar>
              <w:top w:type="dxa" w:w="80"/>
              <w:left w:type="dxa" w:w="120"/>
              <w:bottom w:type="dxa" w:w="80"/>
              <w:right w:type="dxa" w:w="120"/>
            </w:tcMar>
          </w:tcPr>
          <w:p>
            <w:r>
              <w:rPr>
                <w:sz w:val="18"/>
                <w:szCs w:val="18"/>
              </w:rPr>
              <w:t xml:space="preserve">GND</w:t>
            </w:r>
          </w:p>
        </w:tc>
        <w:tc>
          <w:tcPr>
            <w:tcW w:type="dxa" w:w="3626"/>
            <w:shd w:fill="F7FAF8" w:color="auto" w:val="clear"/>
            <w:tcMar>
              <w:top w:type="dxa" w:w="80"/>
              <w:left w:type="dxa" w:w="120"/>
              <w:bottom w:type="dxa" w:w="80"/>
              <w:right w:type="dxa" w:w="120"/>
            </w:tcMar>
          </w:tcPr>
          <w:p>
            <w:r>
              <w:rPr>
                <w:sz w:val="18"/>
                <w:szCs w:val="18"/>
              </w:rPr>
              <w:t xml:space="preserve">Common ground</w:t>
            </w:r>
          </w:p>
        </w:tc>
      </w:tr>
      <w:tr>
        <w:tc>
          <w:tcPr>
            <w:tcW w:type="dxa" w:w="2400"/>
            <w:tcMar>
              <w:top w:type="dxa" w:w="80"/>
              <w:left w:type="dxa" w:w="120"/>
              <w:bottom w:type="dxa" w:w="80"/>
              <w:right w:type="dxa" w:w="120"/>
            </w:tcMar>
          </w:tcPr>
          <w:p>
            <w:r>
              <w:rPr>
                <w:sz w:val="18"/>
                <w:szCs w:val="18"/>
              </w:rPr>
              <w:t xml:space="preserve">DT (DOUT)</w:t>
            </w:r>
          </w:p>
        </w:tc>
        <w:tc>
          <w:tcPr>
            <w:tcW w:type="dxa" w:w="3000"/>
            <w:tcMar>
              <w:top w:type="dxa" w:w="80"/>
              <w:left w:type="dxa" w:w="120"/>
              <w:bottom w:type="dxa" w:w="80"/>
              <w:right w:type="dxa" w:w="120"/>
            </w:tcMar>
          </w:tcPr>
          <w:p>
            <w:r>
              <w:rPr>
                <w:sz w:val="18"/>
                <w:szCs w:val="18"/>
              </w:rPr>
              <w:t xml:space="preserve">GPIO 16</w:t>
            </w:r>
          </w:p>
        </w:tc>
        <w:tc>
          <w:tcPr>
            <w:tcW w:type="dxa" w:w="3626"/>
            <w:tcMar>
              <w:top w:type="dxa" w:w="80"/>
              <w:left w:type="dxa" w:w="120"/>
              <w:bottom w:type="dxa" w:w="80"/>
              <w:right w:type="dxa" w:w="120"/>
            </w:tcMar>
          </w:tcPr>
          <w:p>
            <w:r>
              <w:rPr>
                <w:sz w:val="18"/>
                <w:szCs w:val="18"/>
              </w:rPr>
              <w:t xml:space="preserve">Serial data out from the ADC</w:t>
            </w:r>
          </w:p>
        </w:tc>
      </w:tr>
      <w:tr>
        <w:tc>
          <w:tcPr>
            <w:tcW w:type="dxa" w:w="2400"/>
            <w:shd w:fill="F7FAF8" w:color="auto" w:val="clear"/>
            <w:tcMar>
              <w:top w:type="dxa" w:w="80"/>
              <w:left w:type="dxa" w:w="120"/>
              <w:bottom w:type="dxa" w:w="80"/>
              <w:right w:type="dxa" w:w="120"/>
            </w:tcMar>
          </w:tcPr>
          <w:p>
            <w:r>
              <w:rPr>
                <w:sz w:val="18"/>
                <w:szCs w:val="18"/>
              </w:rPr>
              <w:t xml:space="preserve">SCK (PD_SCK)</w:t>
            </w:r>
          </w:p>
        </w:tc>
        <w:tc>
          <w:tcPr>
            <w:tcW w:type="dxa" w:w="3000"/>
            <w:shd w:fill="F7FAF8" w:color="auto" w:val="clear"/>
            <w:tcMar>
              <w:top w:type="dxa" w:w="80"/>
              <w:left w:type="dxa" w:w="120"/>
              <w:bottom w:type="dxa" w:w="80"/>
              <w:right w:type="dxa" w:w="120"/>
            </w:tcMar>
          </w:tcPr>
          <w:p>
            <w:r>
              <w:rPr>
                <w:sz w:val="18"/>
                <w:szCs w:val="18"/>
              </w:rPr>
              <w:t xml:space="preserve">GPIO 4</w:t>
            </w:r>
          </w:p>
        </w:tc>
        <w:tc>
          <w:tcPr>
            <w:tcW w:type="dxa" w:w="3626"/>
            <w:shd w:fill="F7FAF8" w:color="auto" w:val="clear"/>
            <w:tcMar>
              <w:top w:type="dxa" w:w="80"/>
              <w:left w:type="dxa" w:w="120"/>
              <w:bottom w:type="dxa" w:w="80"/>
              <w:right w:type="dxa" w:w="120"/>
            </w:tcMar>
          </w:tcPr>
          <w:p>
            <w:r>
              <w:rPr>
                <w:sz w:val="18"/>
                <w:szCs w:val="18"/>
              </w:rPr>
              <w:t xml:space="preserve">Clock driven by the ESP32</w:t>
            </w:r>
          </w:p>
        </w:tc>
      </w:tr>
    </w:tbl>
    <w:p>
      <w:pPr>
        <w:spacing w:after="160"/>
      </w:pPr>
    </w:p>
    <w:p>
      <w:pPr>
        <w:spacing w:after="120" w:line="280"/>
        <w:jc w:val="both"/>
      </w:pPr>
      <w:r>
        <w:rPr>
          <w:b w:val="false"/>
          <w:bCs w:val="false"/>
          <w:i w:val="false"/>
          <w:iCs w:val="false"/>
          <w:color w:val="101828"/>
          <w:sz w:val="21"/>
          <w:szCs w:val="21"/>
        </w:rPr>
        <w:t xml:space="preserve">The load cell connects to the HX711 bridge inputs using the conventional colour code: E+ / E− (excitation) to red / black, and A+ / A− (signal) to white / green.</w:t>
      </w:r>
    </w:p>
    <w:p>
      <w:pPr>
        <w:pStyle w:val="Heading2"/>
        <w:spacing w:after="120" w:before="240"/>
      </w:pPr>
      <w:r>
        <w:t xml:space="preserve">4.3 Calibration</w:t>
      </w:r>
    </w:p>
    <w:p>
      <w:pPr>
        <w:spacing w:after="120" w:line="280"/>
        <w:jc w:val="both"/>
      </w:pPr>
      <w:r>
        <w:rPr>
          <w:b w:val="false"/>
          <w:bCs w:val="false"/>
          <w:i w:val="false"/>
          <w:iCs w:val="false"/>
          <w:color w:val="101828"/>
          <w:sz w:val="21"/>
          <w:szCs w:val="21"/>
        </w:rPr>
        <w:t xml:space="preserve">A load cell reports raw ADC counts, not mass; the mapping between the two depends on the specific cell, its mounting and the excitation. Calibration establishes that constant, and it is the single most error-prone step in bringing up a scale. The firmware therefore includes a dedicated calibration mode:</w:t>
      </w:r>
    </w:p>
    <w:p>
      <w:pPr>
        <w:pStyle w:val="ListParagraph"/>
        <w:numPr>
          <w:ilvl w:val="0"/>
          <w:numId w:val="3"/>
        </w:numPr>
        <w:spacing w:after="80" w:line="280"/>
      </w:pPr>
      <w:r>
        <w:rPr>
          <w:color w:val="101828"/>
          <w:sz w:val="21"/>
          <w:szCs w:val="21"/>
        </w:rPr>
        <w:t xml:space="preserve">Set CALIBRATION_MODE = true and upload; open the Serial Monitor at 115200 baud.</w:t>
      </w:r>
    </w:p>
    <w:p>
      <w:pPr>
        <w:pStyle w:val="ListParagraph"/>
        <w:numPr>
          <w:ilvl w:val="0"/>
          <w:numId w:val="3"/>
        </w:numPr>
        <w:spacing w:after="80" w:line="280"/>
      </w:pPr>
      <w:r>
        <w:rPr>
          <w:color w:val="101828"/>
          <w:sz w:val="21"/>
          <w:szCs w:val="21"/>
        </w:rPr>
        <w:t xml:space="preserve">Leave the platform empty — the firmware automatically tares (zeroes) the scale.</w:t>
      </w:r>
    </w:p>
    <w:p>
      <w:pPr>
        <w:pStyle w:val="ListParagraph"/>
        <w:numPr>
          <w:ilvl w:val="0"/>
          <w:numId w:val="3"/>
        </w:numPr>
        <w:spacing w:after="80" w:line="280"/>
      </w:pPr>
      <w:r>
        <w:rPr>
          <w:color w:val="101828"/>
          <w:sz w:val="21"/>
          <w:szCs w:val="21"/>
        </w:rPr>
        <w:t xml:space="preserve">Place an object of accurately known mass (for example 500 g).</w:t>
      </w:r>
    </w:p>
    <w:p>
      <w:pPr>
        <w:pStyle w:val="ListParagraph"/>
        <w:numPr>
          <w:ilvl w:val="0"/>
          <w:numId w:val="3"/>
        </w:numPr>
        <w:spacing w:after="80" w:line="280"/>
      </w:pPr>
      <w:r>
        <w:rPr>
          <w:color w:val="101828"/>
          <w:sz w:val="21"/>
          <w:szCs w:val="21"/>
        </w:rPr>
        <w:t xml:space="preserve">Read the printed raw count and compute the constant: CALIBRATION_FACTOR = raw ÷ known_grams.</w:t>
      </w:r>
    </w:p>
    <w:p>
      <w:pPr>
        <w:pStyle w:val="ListParagraph"/>
        <w:numPr>
          <w:ilvl w:val="0"/>
          <w:numId w:val="3"/>
        </w:numPr>
        <w:spacing w:after="80" w:line="280"/>
      </w:pPr>
      <w:r>
        <w:rPr>
          <w:color w:val="101828"/>
          <w:sz w:val="21"/>
          <w:szCs w:val="21"/>
        </w:rPr>
        <w:t xml:space="preserve">Enter that value, set CALIBRATION_MODE = false, and re-upload. Readings are now true kilograms.</w:t>
      </w:r>
    </w:p>
    <w:p>
      <w:pPr>
        <w:spacing w:after="80"/>
      </w:pPr>
    </w:p>
    <w:p>
      <w:pPr>
        <w:spacing w:after="120" w:line="280"/>
        <w:jc w:val="both"/>
      </w:pPr>
      <w:r>
        <w:rPr>
          <w:b/>
          <w:bCs/>
          <w:i w:val="false"/>
          <w:iCs w:val="false"/>
          <w:color w:val="101828"/>
          <w:sz w:val="21"/>
          <w:szCs w:val="21"/>
        </w:rPr>
        <w:t xml:space="preserve">Worked example: </w:t>
      </w:r>
      <w:r>
        <w:rPr>
          <w:b w:val="false"/>
          <w:bCs w:val="false"/>
          <w:i w:val="false"/>
          <w:iCs w:val="false"/>
          <w:color w:val="101828"/>
          <w:sz w:val="21"/>
          <w:szCs w:val="21"/>
        </w:rPr>
        <w:t xml:space="preserve">a raw reading of 210,000 counts under a 500 g reference gives a calibration factor of 210000 ÷ 500 = 420.0.</w:t>
      </w:r>
    </w:p>
    <w:p>
      <w:pPr>
        <w:spacing w:after="120" w:line="280"/>
        <w:jc w:val="both"/>
      </w:pPr>
      <w:r>
        <w:rPr>
          <w:b w:val="false"/>
          <w:bCs w:val="false"/>
          <w:i w:val="false"/>
          <w:iCs w:val="false"/>
          <w:color w:val="101828"/>
          <w:sz w:val="21"/>
          <w:szCs w:val="21"/>
        </w:rPr>
        <w:t xml:space="preserve">The firmware additionally performs a wiring self-check at boot. If the HX711 does not respond within 1.5 s the console prints an explicit diagnostic naming the pins to inspect, which distinguishes a wiring fault from a calibration fault — historically the most common source of confusion during deployment.</w:t>
      </w:r>
    </w:p>
    <w:p>
      <w:r>
        <w:br w:type="page"/>
      </w:r>
    </w:p>
    <w:p>
      <w:pPr>
        <w:pStyle w:val="Heading1"/>
        <w:spacing w:after="160" w:before="320"/>
      </w:pPr>
      <w:r>
        <w:t xml:space="preserve">5. Firmware Design</w:t>
      </w:r>
    </w:p>
    <w:p>
      <w:pPr>
        <w:pStyle w:val="Heading2"/>
        <w:spacing w:after="120" w:before="240"/>
      </w:pPr>
      <w:r>
        <w:t xml:space="preserve">5.1 Event-driven measurement</w:t>
      </w:r>
    </w:p>
    <w:p>
      <w:pPr>
        <w:spacing w:after="120" w:line="280"/>
        <w:jc w:val="both"/>
      </w:pPr>
      <w:r>
        <w:rPr>
          <w:b w:val="false"/>
          <w:bCs w:val="false"/>
          <w:i w:val="false"/>
          <w:iCs w:val="false"/>
          <w:color w:val="101828"/>
          <w:sz w:val="21"/>
          <w:szCs w:val="21"/>
        </w:rPr>
        <w:t xml:space="preserve">The scale does not stream continuously; that would flood the cloud, exceed rate limits and produce meaningless data. Instead it recognises a discrete disposal event through a small state machine:</w:t>
      </w:r>
    </w:p>
    <w:p>
      <w:pPr>
        <w:pStyle w:val="ListParagraph"/>
        <w:numPr>
          <w:ilvl w:val="0"/>
          <w:numId w:val="3"/>
        </w:numPr>
        <w:spacing w:after="80" w:line="280"/>
      </w:pPr>
      <w:r>
        <w:rPr>
          <w:color w:val="101828"/>
          <w:sz w:val="21"/>
          <w:szCs w:val="21"/>
        </w:rPr>
        <w:t xml:space="preserve">Idle — the platform is empty and the firmware polls the load cell about five times per second.</w:t>
      </w:r>
    </w:p>
    <w:p>
      <w:pPr>
        <w:pStyle w:val="ListParagraph"/>
        <w:numPr>
          <w:ilvl w:val="0"/>
          <w:numId w:val="3"/>
        </w:numPr>
        <w:spacing w:after="80" w:line="280"/>
      </w:pPr>
      <w:r>
        <w:rPr>
          <w:color w:val="101828"/>
          <w:sz w:val="21"/>
          <w:szCs w:val="21"/>
        </w:rPr>
        <w:t xml:space="preserve">Detection — a mass above MIN_EVENT_KG (0.05 kg) appears, rejecting vibration and noise.</w:t>
      </w:r>
    </w:p>
    <w:p>
      <w:pPr>
        <w:pStyle w:val="ListParagraph"/>
        <w:numPr>
          <w:ilvl w:val="0"/>
          <w:numId w:val="3"/>
        </w:numPr>
        <w:spacing w:after="80" w:line="280"/>
      </w:pPr>
      <w:r>
        <w:rPr>
          <w:color w:val="101828"/>
          <w:sz w:val="21"/>
          <w:szCs w:val="21"/>
        </w:rPr>
        <w:t xml:space="preserve">Stabilisation — the reading must stay within STABLE_TOL_KG (0.02 kg) for STABLE_SAMPLES (8) consecutive samples, so the value is captured only after the load settles. A 6-second timeout prevents an indefinite wait.</w:t>
      </w:r>
    </w:p>
    <w:p>
      <w:pPr>
        <w:pStyle w:val="ListParagraph"/>
        <w:numPr>
          <w:ilvl w:val="0"/>
          <w:numId w:val="3"/>
        </w:numPr>
        <w:spacing w:after="80" w:line="280"/>
      </w:pPr>
      <w:r>
        <w:rPr>
          <w:color w:val="101828"/>
          <w:sz w:val="21"/>
          <w:szCs w:val="21"/>
        </w:rPr>
        <w:t xml:space="preserve">Transmission — the stabilised weight is posted to ThingSpeak with the hostel code and Wi-Fi RSSI.</w:t>
      </w:r>
    </w:p>
    <w:p>
      <w:pPr>
        <w:pStyle w:val="ListParagraph"/>
        <w:numPr>
          <w:ilvl w:val="0"/>
          <w:numId w:val="3"/>
        </w:numPr>
        <w:spacing w:after="80" w:line="280"/>
      </w:pPr>
      <w:r>
        <w:rPr>
          <w:color w:val="101828"/>
          <w:sz w:val="21"/>
          <w:szCs w:val="21"/>
        </w:rPr>
        <w:t xml:space="preserve">Lockout — no further reading is sent until the platform is cleared, guaranteeing one record per disposal.</w:t>
      </w:r>
    </w:p>
    <w:p>
      <w:pPr>
        <w:spacing w:after="80"/>
      </w:pPr>
    </w:p>
    <w:p>
      <w:pPr>
        <w:spacing w:after="120" w:line="280"/>
        <w:jc w:val="both"/>
      </w:pPr>
      <w:r>
        <w:rPr>
          <w:b w:val="false"/>
          <w:bCs w:val="false"/>
          <w:i w:val="false"/>
          <w:iCs w:val="false"/>
          <w:color w:val="101828"/>
          <w:sz w:val="21"/>
          <w:szCs w:val="21"/>
        </w:rPr>
        <w:t xml:space="preserve">This design yields clean, human-meaningful records: one row per act of throwing food away, rather than a noisy continuous signal that would have to be de-duplicated later.</w:t>
      </w:r>
    </w:p>
    <w:p>
      <w:pPr>
        <w:pStyle w:val="Heading2"/>
        <w:spacing w:after="120" w:before="240"/>
      </w:pPr>
      <w:r>
        <w:t xml:space="preserve">5.2 Transmitted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200"/>
        <w:gridCol w:w="4126"/>
      </w:tblGrid>
      <w:tr>
        <w:trPr>
          <w:tblHeader/>
        </w:trPr>
        <w:tc>
          <w:tcPr>
            <w:tcW w:type="dxa" w:w="1300"/>
            <w:shd w:fill="16A34A" w:color="auto" w:val="clear"/>
            <w:tcMar>
              <w:top w:type="dxa" w:w="90"/>
              <w:left w:type="dxa" w:w="120"/>
              <w:bottom w:type="dxa" w:w="90"/>
              <w:right w:type="dxa" w:w="120"/>
            </w:tcMar>
          </w:tcPr>
          <w:p>
            <w:r>
              <w:rPr>
                <w:b/>
                <w:bCs/>
                <w:color w:val="FFFFFF"/>
                <w:sz w:val="18"/>
                <w:szCs w:val="18"/>
              </w:rPr>
              <w:t xml:space="preserve">Field</w:t>
            </w:r>
          </w:p>
        </w:tc>
        <w:tc>
          <w:tcPr>
            <w:tcW w:type="dxa" w:w="2400"/>
            <w:shd w:fill="16A34A" w:color="auto" w:val="clear"/>
            <w:tcMar>
              <w:top w:type="dxa" w:w="90"/>
              <w:left w:type="dxa" w:w="120"/>
              <w:bottom w:type="dxa" w:w="90"/>
              <w:right w:type="dxa" w:w="120"/>
            </w:tcMar>
          </w:tcPr>
          <w:p>
            <w:r>
              <w:rPr>
                <w:b/>
                <w:bCs/>
                <w:color w:val="FFFFFF"/>
                <w:sz w:val="18"/>
                <w:szCs w:val="18"/>
              </w:rPr>
              <w:t xml:space="preserve">Content</w:t>
            </w:r>
          </w:p>
        </w:tc>
        <w:tc>
          <w:tcPr>
            <w:tcW w:type="dxa" w:w="1200"/>
            <w:shd w:fill="16A34A" w:color="auto" w:val="clear"/>
            <w:tcMar>
              <w:top w:type="dxa" w:w="90"/>
              <w:left w:type="dxa" w:w="120"/>
              <w:bottom w:type="dxa" w:w="90"/>
              <w:right w:type="dxa" w:w="120"/>
            </w:tcMar>
          </w:tcPr>
          <w:p>
            <w:r>
              <w:rPr>
                <w:b/>
                <w:bCs/>
                <w:color w:val="FFFFFF"/>
                <w:sz w:val="18"/>
                <w:szCs w:val="18"/>
              </w:rPr>
              <w:t xml:space="preserve">Units</w:t>
            </w:r>
          </w:p>
        </w:tc>
        <w:tc>
          <w:tcPr>
            <w:tcW w:type="dxa" w:w="4126"/>
            <w:shd w:fill="16A34A" w:color="auto" w:val="clear"/>
            <w:tcMar>
              <w:top w:type="dxa" w:w="90"/>
              <w:left w:type="dxa" w:w="120"/>
              <w:bottom w:type="dxa" w:w="90"/>
              <w:right w:type="dxa" w:w="120"/>
            </w:tcMar>
          </w:tcPr>
          <w:p>
            <w:r>
              <w:rPr>
                <w:b/>
                <w:bCs/>
                <w:color w:val="FFFFFF"/>
                <w:sz w:val="18"/>
                <w:szCs w:val="18"/>
              </w:rPr>
              <w:t xml:space="preserve">Purpose</w:t>
            </w:r>
          </w:p>
        </w:tc>
      </w:tr>
      <w:tr>
        <w:tc>
          <w:tcPr>
            <w:tcW w:type="dxa" w:w="1300"/>
            <w:tcMar>
              <w:top w:type="dxa" w:w="80"/>
              <w:left w:type="dxa" w:w="120"/>
              <w:bottom w:type="dxa" w:w="80"/>
              <w:right w:type="dxa" w:w="120"/>
            </w:tcMar>
          </w:tcPr>
          <w:p>
            <w:r>
              <w:rPr>
                <w:sz w:val="18"/>
                <w:szCs w:val="18"/>
              </w:rPr>
              <w:t xml:space="preserve">field1</w:t>
            </w:r>
          </w:p>
        </w:tc>
        <w:tc>
          <w:tcPr>
            <w:tcW w:type="dxa" w:w="2400"/>
            <w:tcMar>
              <w:top w:type="dxa" w:w="80"/>
              <w:left w:type="dxa" w:w="120"/>
              <w:bottom w:type="dxa" w:w="80"/>
              <w:right w:type="dxa" w:w="120"/>
            </w:tcMar>
          </w:tcPr>
          <w:p>
            <w:r>
              <w:rPr>
                <w:sz w:val="18"/>
                <w:szCs w:val="18"/>
              </w:rPr>
              <w:t xml:space="preserve">Stabilised weight</w:t>
            </w:r>
          </w:p>
        </w:tc>
        <w:tc>
          <w:tcPr>
            <w:tcW w:type="dxa" w:w="1200"/>
            <w:tcMar>
              <w:top w:type="dxa" w:w="80"/>
              <w:left w:type="dxa" w:w="120"/>
              <w:bottom w:type="dxa" w:w="80"/>
              <w:right w:type="dxa" w:w="120"/>
            </w:tcMar>
          </w:tcPr>
          <w:p>
            <w:r>
              <w:rPr>
                <w:sz w:val="18"/>
                <w:szCs w:val="18"/>
              </w:rPr>
              <w:t xml:space="preserve">kg</w:t>
            </w:r>
          </w:p>
        </w:tc>
        <w:tc>
          <w:tcPr>
            <w:tcW w:type="dxa" w:w="4126"/>
            <w:tcMar>
              <w:top w:type="dxa" w:w="80"/>
              <w:left w:type="dxa" w:w="120"/>
              <w:bottom w:type="dxa" w:w="80"/>
              <w:right w:type="dxa" w:w="120"/>
            </w:tcMar>
          </w:tcPr>
          <w:p>
            <w:r>
              <w:rPr>
                <w:sz w:val="18"/>
                <w:szCs w:val="18"/>
              </w:rPr>
              <w:t xml:space="preserve">The primary measurement</w:t>
            </w:r>
          </w:p>
        </w:tc>
      </w:tr>
      <w:tr>
        <w:tc>
          <w:tcPr>
            <w:tcW w:type="dxa" w:w="1300"/>
            <w:shd w:fill="F7FAF8" w:color="auto" w:val="clear"/>
            <w:tcMar>
              <w:top w:type="dxa" w:w="80"/>
              <w:left w:type="dxa" w:w="120"/>
              <w:bottom w:type="dxa" w:w="80"/>
              <w:right w:type="dxa" w:w="120"/>
            </w:tcMar>
          </w:tcPr>
          <w:p>
            <w:r>
              <w:rPr>
                <w:sz w:val="18"/>
                <w:szCs w:val="18"/>
              </w:rPr>
              <w:t xml:space="preserve">field2</w:t>
            </w:r>
          </w:p>
        </w:tc>
        <w:tc>
          <w:tcPr>
            <w:tcW w:type="dxa" w:w="2400"/>
            <w:shd w:fill="F7FAF8" w:color="auto" w:val="clear"/>
            <w:tcMar>
              <w:top w:type="dxa" w:w="80"/>
              <w:left w:type="dxa" w:w="120"/>
              <w:bottom w:type="dxa" w:w="80"/>
              <w:right w:type="dxa" w:w="120"/>
            </w:tcMar>
          </w:tcPr>
          <w:p>
            <w:r>
              <w:rPr>
                <w:sz w:val="18"/>
                <w:szCs w:val="18"/>
              </w:rPr>
              <w:t xml:space="preserve">Hostel code (1–14)</w:t>
            </w:r>
          </w:p>
        </w:tc>
        <w:tc>
          <w:tcPr>
            <w:tcW w:type="dxa" w:w="1200"/>
            <w:shd w:fill="F7FAF8" w:color="auto" w:val="clear"/>
            <w:tcMar>
              <w:top w:type="dxa" w:w="80"/>
              <w:left w:type="dxa" w:w="120"/>
              <w:bottom w:type="dxa" w:w="80"/>
              <w:right w:type="dxa" w:w="120"/>
            </w:tcMar>
          </w:tcPr>
          <w:p>
            <w:r>
              <w:rPr>
                <w:sz w:val="18"/>
                <w:szCs w:val="18"/>
              </w:rPr>
              <w:t xml:space="preserve">integer</w:t>
            </w:r>
          </w:p>
        </w:tc>
        <w:tc>
          <w:tcPr>
            <w:tcW w:type="dxa" w:w="4126"/>
            <w:shd w:fill="F7FAF8" w:color="auto" w:val="clear"/>
            <w:tcMar>
              <w:top w:type="dxa" w:w="80"/>
              <w:left w:type="dxa" w:w="120"/>
              <w:bottom w:type="dxa" w:w="80"/>
              <w:right w:type="dxa" w:w="120"/>
            </w:tcMar>
          </w:tcPr>
          <w:p>
            <w:r>
              <w:rPr>
                <w:sz w:val="18"/>
                <w:szCs w:val="18"/>
              </w:rPr>
              <w:t xml:space="preserve">Attributes the reading to a hostel; drives all per-hostel analytics</w:t>
            </w:r>
          </w:p>
        </w:tc>
      </w:tr>
      <w:tr>
        <w:tc>
          <w:tcPr>
            <w:tcW w:type="dxa" w:w="1300"/>
            <w:tcMar>
              <w:top w:type="dxa" w:w="80"/>
              <w:left w:type="dxa" w:w="120"/>
              <w:bottom w:type="dxa" w:w="80"/>
              <w:right w:type="dxa" w:w="120"/>
            </w:tcMar>
          </w:tcPr>
          <w:p>
            <w:r>
              <w:rPr>
                <w:sz w:val="18"/>
                <w:szCs w:val="18"/>
              </w:rPr>
              <w:t xml:space="preserve">field3</w:t>
            </w:r>
          </w:p>
        </w:tc>
        <w:tc>
          <w:tcPr>
            <w:tcW w:type="dxa" w:w="2400"/>
            <w:tcMar>
              <w:top w:type="dxa" w:w="80"/>
              <w:left w:type="dxa" w:w="120"/>
              <w:bottom w:type="dxa" w:w="80"/>
              <w:right w:type="dxa" w:w="120"/>
            </w:tcMar>
          </w:tcPr>
          <w:p>
            <w:r>
              <w:rPr>
                <w:sz w:val="18"/>
                <w:szCs w:val="18"/>
              </w:rPr>
              <w:t xml:space="preserve">Wi-Fi RSSI</w:t>
            </w:r>
          </w:p>
        </w:tc>
        <w:tc>
          <w:tcPr>
            <w:tcW w:type="dxa" w:w="1200"/>
            <w:tcMar>
              <w:top w:type="dxa" w:w="80"/>
              <w:left w:type="dxa" w:w="120"/>
              <w:bottom w:type="dxa" w:w="80"/>
              <w:right w:type="dxa" w:w="120"/>
            </w:tcMar>
          </w:tcPr>
          <w:p>
            <w:r>
              <w:rPr>
                <w:sz w:val="18"/>
                <w:szCs w:val="18"/>
              </w:rPr>
              <w:t xml:space="preserve">dBm</w:t>
            </w:r>
          </w:p>
        </w:tc>
        <w:tc>
          <w:tcPr>
            <w:tcW w:type="dxa" w:w="4126"/>
            <w:tcMar>
              <w:top w:type="dxa" w:w="80"/>
              <w:left w:type="dxa" w:w="120"/>
              <w:bottom w:type="dxa" w:w="80"/>
              <w:right w:type="dxa" w:w="120"/>
            </w:tcMar>
          </w:tcPr>
          <w:p>
            <w:r>
              <w:rPr>
                <w:sz w:val="18"/>
                <w:szCs w:val="18"/>
              </w:rPr>
              <w:t xml:space="preserve">Device health — surfaces link quality in the dashboard’s Device Monitor</w:t>
            </w:r>
          </w:p>
        </w:tc>
      </w:tr>
    </w:tbl>
    <w:p>
      <w:pPr>
        <w:spacing w:after="160"/>
      </w:pPr>
    </w:p>
    <w:p>
      <w:pPr>
        <w:spacing w:after="120" w:line="280"/>
        <w:jc w:val="both"/>
      </w:pPr>
      <w:r>
        <w:rPr>
          <w:b w:val="false"/>
          <w:bCs w:val="false"/>
          <w:i w:val="false"/>
          <w:iCs w:val="false"/>
          <w:color w:val="101828"/>
          <w:sz w:val="21"/>
          <w:szCs w:val="21"/>
        </w:rPr>
        <w:t xml:space="preserve">Including RSSI turns each data point into a health check as well as a measurement. A node whose signal is degrading can be identified and relocated before it starts dropping readings — a practical necessity when fourteen nodes are distributed across a large campus.</w:t>
      </w:r>
    </w:p>
    <w:p>
      <w:pPr>
        <w:pStyle w:val="Heading2"/>
        <w:spacing w:after="120" w:before="240"/>
      </w:pPr>
      <w:r>
        <w:t xml:space="preserve">5.3 Rate-limit compliance</w:t>
      </w:r>
    </w:p>
    <w:p>
      <w:pPr>
        <w:spacing w:after="120" w:line="280"/>
        <w:jc w:val="both"/>
      </w:pPr>
      <w:r>
        <w:rPr>
          <w:b w:val="false"/>
          <w:bCs w:val="false"/>
          <w:i w:val="false"/>
          <w:iCs w:val="false"/>
          <w:color w:val="101828"/>
          <w:sz w:val="21"/>
          <w:szCs w:val="21"/>
        </w:rPr>
        <w:t xml:space="preserve">The ThingSpeak free tier accepts at most one update per channel every 15 seconds. The firmware enforces a 16-second minimum interval (TS_MIN_INTERVAL_MS) and, if an event arrives sooner, waits rather than allowing a silent rejection. The console reports the wait explicitly, and a "0" response from ThingSpeak — its signal for a rejected write — is reported with a hint naming the two likely causes (bad key or rate limit).</w:t>
      </w:r>
    </w:p>
    <w:p>
      <w:pPr>
        <w:pStyle w:val="Heading1"/>
        <w:spacing w:after="160" w:before="320"/>
      </w:pPr>
      <w:r>
        <w:t xml:space="preserve">6. Cloud Layer — Multi-Channel Strategy</w:t>
      </w:r>
    </w:p>
    <w:p>
      <w:pPr>
        <w:spacing w:after="120" w:line="280"/>
        <w:jc w:val="both"/>
      </w:pPr>
      <w:r>
        <w:rPr>
          <w:b w:val="false"/>
          <w:bCs w:val="false"/>
          <w:i w:val="false"/>
          <w:iCs w:val="false"/>
          <w:color w:val="101828"/>
          <w:sz w:val="21"/>
          <w:szCs w:val="21"/>
        </w:rPr>
        <w:t xml:space="preserve">ThingSpeak was selected as the cloud service on the project’s recommendation. It provides timestamped time-series storage, a REST API and a free tier sufficient for a pilot, with no server administration.</w:t>
      </w:r>
    </w:p>
    <w:p>
      <w:pPr>
        <w:pStyle w:val="Heading2"/>
        <w:spacing w:after="120" w:before="240"/>
      </w:pPr>
      <w:r>
        <w:t xml:space="preserve">6.1 Why four channels</w:t>
      </w:r>
    </w:p>
    <w:p>
      <w:pPr>
        <w:spacing w:after="120" w:line="280"/>
        <w:jc w:val="both"/>
      </w:pPr>
      <w:r>
        <w:rPr>
          <w:b w:val="false"/>
          <w:bCs w:val="false"/>
          <w:i w:val="false"/>
          <w:iCs w:val="false"/>
          <w:color w:val="101828"/>
          <w:sz w:val="21"/>
          <w:szCs w:val="21"/>
        </w:rPr>
        <w:t xml:space="preserve">A single channel would have been a hard bottleneck. With the free tier’s 15-second write limit, fourteen hostels sharing one channel would contend for the same slot: during a lunch rush several messes dispose of waste simultaneously, and every collision would be silently rejected — precisely the readings that matter most. Distributing the hostels across four channels multiplies the aggregate write capacity roughly fourfold and confines any contention to a small group.</w:t>
      </w:r>
    </w:p>
    <w:p>
      <w:pPr>
        <w:pStyle w:val="Heading2"/>
        <w:spacing w:after="120" w:before="240"/>
      </w:pPr>
      <w:r>
        <w:t xml:space="preserve">6.2 Hostel-to-channel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4626"/>
      </w:tblGrid>
      <w:tr>
        <w:trPr>
          <w:tblHeader/>
        </w:trPr>
        <w:tc>
          <w:tcPr>
            <w:tcW w:type="dxa" w:w="1300"/>
            <w:shd w:fill="16A34A" w:color="auto" w:val="clear"/>
            <w:tcMar>
              <w:top w:type="dxa" w:w="90"/>
              <w:left w:type="dxa" w:w="120"/>
              <w:bottom w:type="dxa" w:w="90"/>
              <w:right w:type="dxa" w:w="120"/>
            </w:tcMar>
          </w:tcPr>
          <w:p>
            <w:r>
              <w:rPr>
                <w:b/>
                <w:bCs/>
                <w:color w:val="FFFFFF"/>
                <w:sz w:val="18"/>
                <w:szCs w:val="18"/>
              </w:rPr>
              <w:t xml:space="preserve">Channel</w:t>
            </w:r>
          </w:p>
        </w:tc>
        <w:tc>
          <w:tcPr>
            <w:tcW w:type="dxa" w:w="1600"/>
            <w:shd w:fill="16A34A" w:color="auto" w:val="clear"/>
            <w:tcMar>
              <w:top w:type="dxa" w:w="90"/>
              <w:left w:type="dxa" w:w="120"/>
              <w:bottom w:type="dxa" w:w="90"/>
              <w:right w:type="dxa" w:w="120"/>
            </w:tcMar>
          </w:tcPr>
          <w:p>
            <w:r>
              <w:rPr>
                <w:b/>
                <w:bCs/>
                <w:color w:val="FFFFFF"/>
                <w:sz w:val="18"/>
                <w:szCs w:val="18"/>
              </w:rPr>
              <w:t xml:space="preserve">ThingSpeak ID</w:t>
            </w:r>
          </w:p>
        </w:tc>
        <w:tc>
          <w:tcPr>
            <w:tcW w:type="dxa" w:w="1500"/>
            <w:shd w:fill="16A34A" w:color="auto" w:val="clear"/>
            <w:tcMar>
              <w:top w:type="dxa" w:w="90"/>
              <w:left w:type="dxa" w:w="120"/>
              <w:bottom w:type="dxa" w:w="90"/>
              <w:right w:type="dxa" w:w="120"/>
            </w:tcMar>
          </w:tcPr>
          <w:p>
            <w:r>
              <w:rPr>
                <w:b/>
                <w:bCs/>
                <w:color w:val="FFFFFF"/>
                <w:sz w:val="18"/>
                <w:szCs w:val="18"/>
              </w:rPr>
              <w:t xml:space="preserve">Hostel codes</w:t>
            </w:r>
          </w:p>
        </w:tc>
        <w:tc>
          <w:tcPr>
            <w:tcW w:type="dxa" w:w="4626"/>
            <w:shd w:fill="16A34A" w:color="auto" w:val="clear"/>
            <w:tcMar>
              <w:top w:type="dxa" w:w="90"/>
              <w:left w:type="dxa" w:w="120"/>
              <w:bottom w:type="dxa" w:w="90"/>
              <w:right w:type="dxa" w:w="120"/>
            </w:tcMar>
          </w:tcPr>
          <w:p>
            <w:r>
              <w:rPr>
                <w:b/>
                <w:bCs/>
                <w:color w:val="FFFFFF"/>
                <w:sz w:val="18"/>
                <w:szCs w:val="18"/>
              </w:rPr>
              <w:t xml:space="preserve">Hostels</w:t>
            </w:r>
          </w:p>
        </w:tc>
      </w:tr>
      <w:tr>
        <w:tc>
          <w:tcPr>
            <w:tcW w:type="dxa" w:w="1300"/>
            <w:tcMar>
              <w:top w:type="dxa" w:w="80"/>
              <w:left w:type="dxa" w:w="120"/>
              <w:bottom w:type="dxa" w:w="80"/>
              <w:right w:type="dxa" w:w="120"/>
            </w:tcMar>
          </w:tcPr>
          <w:p>
            <w:r>
              <w:rPr>
                <w:sz w:val="18"/>
                <w:szCs w:val="18"/>
              </w:rPr>
              <w:t xml:space="preserve">Channel 1</w:t>
            </w:r>
          </w:p>
        </w:tc>
        <w:tc>
          <w:tcPr>
            <w:tcW w:type="dxa" w:w="1600"/>
            <w:tcMar>
              <w:top w:type="dxa" w:w="80"/>
              <w:left w:type="dxa" w:w="120"/>
              <w:bottom w:type="dxa" w:w="80"/>
              <w:right w:type="dxa" w:w="120"/>
            </w:tcMar>
          </w:tcPr>
          <w:p>
            <w:r>
              <w:rPr>
                <w:sz w:val="18"/>
                <w:szCs w:val="18"/>
              </w:rPr>
              <w:t xml:space="preserve">3427253</w:t>
            </w:r>
          </w:p>
        </w:tc>
        <w:tc>
          <w:tcPr>
            <w:tcW w:type="dxa" w:w="1500"/>
            <w:tcMar>
              <w:top w:type="dxa" w:w="80"/>
              <w:left w:type="dxa" w:w="120"/>
              <w:bottom w:type="dxa" w:w="80"/>
              <w:right w:type="dxa" w:w="120"/>
            </w:tcMar>
          </w:tcPr>
          <w:p>
            <w:r>
              <w:rPr>
                <w:sz w:val="18"/>
                <w:szCs w:val="18"/>
              </w:rPr>
              <w:t xml:space="preserve">1 – 4</w:t>
            </w:r>
          </w:p>
        </w:tc>
        <w:tc>
          <w:tcPr>
            <w:tcW w:type="dxa" w:w="4626"/>
            <w:tcMar>
              <w:top w:type="dxa" w:w="80"/>
              <w:left w:type="dxa" w:w="120"/>
              <w:bottom w:type="dxa" w:w="80"/>
              <w:right w:type="dxa" w:w="120"/>
            </w:tcMar>
          </w:tcPr>
          <w:p>
            <w:r>
              <w:rPr>
                <w:sz w:val="18"/>
                <w:szCs w:val="18"/>
              </w:rPr>
              <w:t xml:space="preserve">Brahmaputra, Subansiri, Lohit, Dhansiri (Girls)</w:t>
            </w:r>
          </w:p>
        </w:tc>
      </w:tr>
      <w:tr>
        <w:tc>
          <w:tcPr>
            <w:tcW w:type="dxa" w:w="1300"/>
            <w:shd w:fill="F7FAF8" w:color="auto" w:val="clear"/>
            <w:tcMar>
              <w:top w:type="dxa" w:w="80"/>
              <w:left w:type="dxa" w:w="120"/>
              <w:bottom w:type="dxa" w:w="80"/>
              <w:right w:type="dxa" w:w="120"/>
            </w:tcMar>
          </w:tcPr>
          <w:p>
            <w:r>
              <w:rPr>
                <w:sz w:val="18"/>
                <w:szCs w:val="18"/>
              </w:rPr>
              <w:t xml:space="preserve">Channel 2</w:t>
            </w:r>
          </w:p>
        </w:tc>
        <w:tc>
          <w:tcPr>
            <w:tcW w:type="dxa" w:w="1600"/>
            <w:shd w:fill="F7FAF8" w:color="auto" w:val="clear"/>
            <w:tcMar>
              <w:top w:type="dxa" w:w="80"/>
              <w:left w:type="dxa" w:w="120"/>
              <w:bottom w:type="dxa" w:w="80"/>
              <w:right w:type="dxa" w:w="120"/>
            </w:tcMar>
          </w:tcPr>
          <w:p>
            <w:r>
              <w:rPr>
                <w:sz w:val="18"/>
                <w:szCs w:val="18"/>
              </w:rPr>
              <w:t xml:space="preserve">3427254</w:t>
            </w:r>
          </w:p>
        </w:tc>
        <w:tc>
          <w:tcPr>
            <w:tcW w:type="dxa" w:w="1500"/>
            <w:shd w:fill="F7FAF8" w:color="auto" w:val="clear"/>
            <w:tcMar>
              <w:top w:type="dxa" w:w="80"/>
              <w:left w:type="dxa" w:w="120"/>
              <w:bottom w:type="dxa" w:w="80"/>
              <w:right w:type="dxa" w:w="120"/>
            </w:tcMar>
          </w:tcPr>
          <w:p>
            <w:r>
              <w:rPr>
                <w:sz w:val="18"/>
                <w:szCs w:val="18"/>
              </w:rPr>
              <w:t xml:space="preserve">5 – 8</w:t>
            </w:r>
          </w:p>
        </w:tc>
        <w:tc>
          <w:tcPr>
            <w:tcW w:type="dxa" w:w="4626"/>
            <w:shd w:fill="F7FAF8" w:color="auto" w:val="clear"/>
            <w:tcMar>
              <w:top w:type="dxa" w:w="80"/>
              <w:left w:type="dxa" w:w="120"/>
              <w:bottom w:type="dxa" w:w="80"/>
              <w:right w:type="dxa" w:w="120"/>
            </w:tcMar>
          </w:tcPr>
          <w:p>
            <w:r>
              <w:rPr>
                <w:sz w:val="18"/>
                <w:szCs w:val="18"/>
              </w:rPr>
              <w:t xml:space="preserve">Manas, Kopili, Barak, Jia Bharali</w:t>
            </w:r>
          </w:p>
        </w:tc>
      </w:tr>
      <w:tr>
        <w:tc>
          <w:tcPr>
            <w:tcW w:type="dxa" w:w="1300"/>
            <w:tcMar>
              <w:top w:type="dxa" w:w="80"/>
              <w:left w:type="dxa" w:w="120"/>
              <w:bottom w:type="dxa" w:w="80"/>
              <w:right w:type="dxa" w:w="120"/>
            </w:tcMar>
          </w:tcPr>
          <w:p>
            <w:r>
              <w:rPr>
                <w:sz w:val="18"/>
                <w:szCs w:val="18"/>
              </w:rPr>
              <w:t xml:space="preserve">Channel 3</w:t>
            </w:r>
          </w:p>
        </w:tc>
        <w:tc>
          <w:tcPr>
            <w:tcW w:type="dxa" w:w="1600"/>
            <w:tcMar>
              <w:top w:type="dxa" w:w="80"/>
              <w:left w:type="dxa" w:w="120"/>
              <w:bottom w:type="dxa" w:w="80"/>
              <w:right w:type="dxa" w:w="120"/>
            </w:tcMar>
          </w:tcPr>
          <w:p>
            <w:r>
              <w:rPr>
                <w:sz w:val="18"/>
                <w:szCs w:val="18"/>
              </w:rPr>
              <w:t xml:space="preserve">3427424</w:t>
            </w:r>
          </w:p>
        </w:tc>
        <w:tc>
          <w:tcPr>
            <w:tcW w:type="dxa" w:w="1500"/>
            <w:tcMar>
              <w:top w:type="dxa" w:w="80"/>
              <w:left w:type="dxa" w:w="120"/>
              <w:bottom w:type="dxa" w:w="80"/>
              <w:right w:type="dxa" w:w="120"/>
            </w:tcMar>
          </w:tcPr>
          <w:p>
            <w:r>
              <w:rPr>
                <w:sz w:val="18"/>
                <w:szCs w:val="18"/>
              </w:rPr>
              <w:t xml:space="preserve">9 – 11</w:t>
            </w:r>
          </w:p>
        </w:tc>
        <w:tc>
          <w:tcPr>
            <w:tcW w:type="dxa" w:w="4626"/>
            <w:tcMar>
              <w:top w:type="dxa" w:w="80"/>
              <w:left w:type="dxa" w:w="120"/>
              <w:bottom w:type="dxa" w:w="80"/>
              <w:right w:type="dxa" w:w="120"/>
            </w:tcMar>
          </w:tcPr>
          <w:p>
            <w:r>
              <w:rPr>
                <w:sz w:val="18"/>
                <w:szCs w:val="18"/>
              </w:rPr>
              <w:t xml:space="preserve">Pagladiya, Dikhow, Dhansiri (Boys)</w:t>
            </w:r>
          </w:p>
        </w:tc>
      </w:tr>
      <w:tr>
        <w:tc>
          <w:tcPr>
            <w:tcW w:type="dxa" w:w="1300"/>
            <w:shd w:fill="F7FAF8" w:color="auto" w:val="clear"/>
            <w:tcMar>
              <w:top w:type="dxa" w:w="80"/>
              <w:left w:type="dxa" w:w="120"/>
              <w:bottom w:type="dxa" w:w="80"/>
              <w:right w:type="dxa" w:w="120"/>
            </w:tcMar>
          </w:tcPr>
          <w:p>
            <w:r>
              <w:rPr>
                <w:sz w:val="18"/>
                <w:szCs w:val="18"/>
              </w:rPr>
              <w:t xml:space="preserve">Channel 4</w:t>
            </w:r>
          </w:p>
        </w:tc>
        <w:tc>
          <w:tcPr>
            <w:tcW w:type="dxa" w:w="1600"/>
            <w:shd w:fill="F7FAF8" w:color="auto" w:val="clear"/>
            <w:tcMar>
              <w:top w:type="dxa" w:w="80"/>
              <w:left w:type="dxa" w:w="120"/>
              <w:bottom w:type="dxa" w:w="80"/>
              <w:right w:type="dxa" w:w="120"/>
            </w:tcMar>
          </w:tcPr>
          <w:p>
            <w:r>
              <w:rPr>
                <w:sz w:val="18"/>
                <w:szCs w:val="18"/>
              </w:rPr>
              <w:t xml:space="preserve">3425567</w:t>
            </w:r>
          </w:p>
        </w:tc>
        <w:tc>
          <w:tcPr>
            <w:tcW w:type="dxa" w:w="1500"/>
            <w:shd w:fill="F7FAF8" w:color="auto" w:val="clear"/>
            <w:tcMar>
              <w:top w:type="dxa" w:w="80"/>
              <w:left w:type="dxa" w:w="120"/>
              <w:bottom w:type="dxa" w:w="80"/>
              <w:right w:type="dxa" w:w="120"/>
            </w:tcMar>
          </w:tcPr>
          <w:p>
            <w:r>
              <w:rPr>
                <w:sz w:val="18"/>
                <w:szCs w:val="18"/>
              </w:rPr>
              <w:t xml:space="preserve">12 – 14</w:t>
            </w:r>
          </w:p>
        </w:tc>
        <w:tc>
          <w:tcPr>
            <w:tcW w:type="dxa" w:w="4626"/>
            <w:shd w:fill="F7FAF8" w:color="auto" w:val="clear"/>
            <w:tcMar>
              <w:top w:type="dxa" w:w="80"/>
              <w:left w:type="dxa" w:w="120"/>
              <w:bottom w:type="dxa" w:w="80"/>
              <w:right w:type="dxa" w:w="120"/>
            </w:tcMar>
          </w:tcPr>
          <w:p>
            <w:r>
              <w:rPr>
                <w:sz w:val="18"/>
                <w:szCs w:val="18"/>
              </w:rPr>
              <w:t xml:space="preserve">Kojoli Annex, Bhrigu, Neelachal</w:t>
            </w:r>
          </w:p>
        </w:tc>
      </w:tr>
    </w:tbl>
    <w:p>
      <w:pPr>
        <w:spacing w:after="160"/>
      </w:pPr>
    </w:p>
    <w:p>
      <w:pPr>
        <w:spacing w:after="120" w:line="280"/>
        <w:jc w:val="both"/>
      </w:pPr>
      <w:r>
        <w:rPr>
          <w:b w:val="false"/>
          <w:bCs w:val="false"/>
          <w:i w:val="false"/>
          <w:iCs w:val="false"/>
          <w:color w:val="101828"/>
          <w:sz w:val="21"/>
          <w:szCs w:val="21"/>
        </w:rPr>
        <w:t xml:space="preserve">The mapping is implemented symmetrically at both ends. In the firmware, getWriteApiKey(stationCode) returns the correct write key for the board’s hostel code, so each node targets its own channel automatically. On the server, getChannelIndex(hostelCode) performs the inverse mapping for writes, while reads fan out across all four channels concurrently. Adding a hostel therefore requires changing only these two mappings.</w:t>
      </w:r>
    </w:p>
    <w:p>
      <w:r>
        <w:br w:type="page"/>
      </w:r>
    </w:p>
    <w:p>
      <w:pPr>
        <w:pStyle w:val="Heading1"/>
        <w:spacing w:after="160" w:before="320"/>
      </w:pPr>
      <w:r>
        <w:t xml:space="preserve">7. Backend Server</w:t>
      </w:r>
    </w:p>
    <w:p>
      <w:pPr>
        <w:spacing w:after="120" w:line="280"/>
        <w:jc w:val="both"/>
      </w:pPr>
      <w:r>
        <w:rPr>
          <w:b w:val="false"/>
          <w:bCs w:val="false"/>
          <w:i w:val="false"/>
          <w:iCs w:val="false"/>
          <w:color w:val="101828"/>
          <w:sz w:val="21"/>
          <w:szCs w:val="21"/>
        </w:rPr>
        <w:t xml:space="preserve">The backend (server.js, ~300 lines, Express 4 on Node 18+) has three jobs: keep secrets, aggregate the cloud channels, and gate privileged actions. It also serves the static front-end, so a single process runs the whole application.</w:t>
      </w:r>
    </w:p>
    <w:p>
      <w:pPr>
        <w:pStyle w:val="Heading2"/>
        <w:spacing w:after="120" w:before="240"/>
      </w:pPr>
      <w:r>
        <w:t xml:space="preserve">7.1 API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300"/>
        <w:gridCol w:w="5126"/>
      </w:tblGrid>
      <w:tr>
        <w:trPr>
          <w:tblHeader/>
        </w:trPr>
        <w:tc>
          <w:tcPr>
            <w:tcW w:type="dxa" w:w="1700"/>
            <w:shd w:fill="16A34A" w:color="auto" w:val="clear"/>
            <w:tcMar>
              <w:top w:type="dxa" w:w="90"/>
              <w:left w:type="dxa" w:w="120"/>
              <w:bottom w:type="dxa" w:w="90"/>
              <w:right w:type="dxa" w:w="120"/>
            </w:tcMar>
          </w:tcPr>
          <w:p>
            <w:r>
              <w:rPr>
                <w:b/>
                <w:bCs/>
                <w:color w:val="FFFFFF"/>
                <w:sz w:val="18"/>
                <w:szCs w:val="18"/>
              </w:rPr>
              <w:t xml:space="preserve">Endpoint</w:t>
            </w:r>
          </w:p>
        </w:tc>
        <w:tc>
          <w:tcPr>
            <w:tcW w:type="dxa" w:w="900"/>
            <w:shd w:fill="16A34A" w:color="auto" w:val="clear"/>
            <w:tcMar>
              <w:top w:type="dxa" w:w="90"/>
              <w:left w:type="dxa" w:w="120"/>
              <w:bottom w:type="dxa" w:w="90"/>
              <w:right w:type="dxa" w:w="120"/>
            </w:tcMar>
          </w:tcPr>
          <w:p>
            <w:r>
              <w:rPr>
                <w:b/>
                <w:bCs/>
                <w:color w:val="FFFFFF"/>
                <w:sz w:val="18"/>
                <w:szCs w:val="18"/>
              </w:rPr>
              <w:t xml:space="preserve">Method</w:t>
            </w:r>
          </w:p>
        </w:tc>
        <w:tc>
          <w:tcPr>
            <w:tcW w:type="dxa" w:w="1300"/>
            <w:shd w:fill="16A34A" w:color="auto" w:val="clear"/>
            <w:tcMar>
              <w:top w:type="dxa" w:w="90"/>
              <w:left w:type="dxa" w:w="120"/>
              <w:bottom w:type="dxa" w:w="90"/>
              <w:right w:type="dxa" w:w="120"/>
            </w:tcMar>
          </w:tcPr>
          <w:p>
            <w:r>
              <w:rPr>
                <w:b/>
                <w:bCs/>
                <w:color w:val="FFFFFF"/>
                <w:sz w:val="18"/>
                <w:szCs w:val="18"/>
              </w:rPr>
              <w:t xml:space="preserve">Auth</w:t>
            </w:r>
          </w:p>
        </w:tc>
        <w:tc>
          <w:tcPr>
            <w:tcW w:type="dxa" w:w="5126"/>
            <w:shd w:fill="16A34A" w:color="auto" w:val="clear"/>
            <w:tcMar>
              <w:top w:type="dxa" w:w="90"/>
              <w:left w:type="dxa" w:w="120"/>
              <w:bottom w:type="dxa" w:w="90"/>
              <w:right w:type="dxa" w:w="120"/>
            </w:tcMar>
          </w:tcPr>
          <w:p>
            <w:r>
              <w:rPr>
                <w:b/>
                <w:bCs/>
                <w:color w:val="FFFFFF"/>
                <w:sz w:val="18"/>
                <w:szCs w:val="18"/>
              </w:rPr>
              <w:t xml:space="preserve">Description</w:t>
            </w:r>
          </w:p>
        </w:tc>
      </w:tr>
      <w:tr>
        <w:tc>
          <w:tcPr>
            <w:tcW w:type="dxa" w:w="1700"/>
            <w:tcMar>
              <w:top w:type="dxa" w:w="80"/>
              <w:left w:type="dxa" w:w="120"/>
              <w:bottom w:type="dxa" w:w="80"/>
              <w:right w:type="dxa" w:w="120"/>
            </w:tcMar>
          </w:tcPr>
          <w:p>
            <w:r>
              <w:rPr>
                <w:sz w:val="18"/>
                <w:szCs w:val="18"/>
              </w:rPr>
              <w:t xml:space="preserve">/api/config</w:t>
            </w:r>
          </w:p>
        </w:tc>
        <w:tc>
          <w:tcPr>
            <w:tcW w:type="dxa" w:w="900"/>
            <w:tcMar>
              <w:top w:type="dxa" w:w="80"/>
              <w:left w:type="dxa" w:w="120"/>
              <w:bottom w:type="dxa" w:w="80"/>
              <w:right w:type="dxa" w:w="120"/>
            </w:tcMar>
          </w:tcPr>
          <w:p>
            <w:r>
              <w:rPr>
                <w:sz w:val="18"/>
                <w:szCs w:val="18"/>
              </w:rPr>
              <w:t xml:space="preserve">GET</w:t>
            </w:r>
          </w:p>
        </w:tc>
        <w:tc>
          <w:tcPr>
            <w:tcW w:type="dxa" w:w="1300"/>
            <w:tcMar>
              <w:top w:type="dxa" w:w="80"/>
              <w:left w:type="dxa" w:w="120"/>
              <w:bottom w:type="dxa" w:w="80"/>
              <w:right w:type="dxa" w:w="120"/>
            </w:tcMar>
          </w:tcPr>
          <w:p>
            <w:r>
              <w:rPr>
                <w:sz w:val="18"/>
                <w:szCs w:val="18"/>
              </w:rPr>
              <w:t xml:space="preserve">public</w:t>
            </w:r>
          </w:p>
        </w:tc>
        <w:tc>
          <w:tcPr>
            <w:tcW w:type="dxa" w:w="5126"/>
            <w:tcMar>
              <w:top w:type="dxa" w:w="80"/>
              <w:left w:type="dxa" w:w="120"/>
              <w:bottom w:type="dxa" w:w="80"/>
              <w:right w:type="dxa" w:w="120"/>
            </w:tcMar>
          </w:tcPr>
          <w:p>
            <w:r>
              <w:rPr>
                <w:sz w:val="18"/>
                <w:szCs w:val="18"/>
              </w:rPr>
              <w:t xml:space="preserve">Non-secret state: channel id, whether writes are enabled, whether admin auth is configured</w:t>
            </w:r>
          </w:p>
        </w:tc>
      </w:tr>
      <w:tr>
        <w:tc>
          <w:tcPr>
            <w:tcW w:type="dxa" w:w="1700"/>
            <w:shd w:fill="F7FAF8" w:color="auto" w:val="clear"/>
            <w:tcMar>
              <w:top w:type="dxa" w:w="80"/>
              <w:left w:type="dxa" w:w="120"/>
              <w:bottom w:type="dxa" w:w="80"/>
              <w:right w:type="dxa" w:w="120"/>
            </w:tcMar>
          </w:tcPr>
          <w:p>
            <w:r>
              <w:rPr>
                <w:sz w:val="18"/>
                <w:szCs w:val="18"/>
              </w:rPr>
              <w:t xml:space="preserve">/api/feeds</w:t>
            </w:r>
          </w:p>
        </w:tc>
        <w:tc>
          <w:tcPr>
            <w:tcW w:type="dxa" w:w="900"/>
            <w:shd w:fill="F7FAF8" w:color="auto" w:val="clear"/>
            <w:tcMar>
              <w:top w:type="dxa" w:w="80"/>
              <w:left w:type="dxa" w:w="120"/>
              <w:bottom w:type="dxa" w:w="80"/>
              <w:right w:type="dxa" w:w="120"/>
            </w:tcMar>
          </w:tcPr>
          <w:p>
            <w:r>
              <w:rPr>
                <w:sz w:val="18"/>
                <w:szCs w:val="18"/>
              </w:rPr>
              <w:t xml:space="preserve">GET</w:t>
            </w:r>
          </w:p>
        </w:tc>
        <w:tc>
          <w:tcPr>
            <w:tcW w:type="dxa" w:w="1300"/>
            <w:shd w:fill="F7FAF8" w:color="auto" w:val="clear"/>
            <w:tcMar>
              <w:top w:type="dxa" w:w="80"/>
              <w:left w:type="dxa" w:w="120"/>
              <w:bottom w:type="dxa" w:w="80"/>
              <w:right w:type="dxa" w:w="120"/>
            </w:tcMar>
          </w:tcPr>
          <w:p>
            <w:r>
              <w:rPr>
                <w:sz w:val="18"/>
                <w:szCs w:val="18"/>
              </w:rPr>
              <w:t xml:space="preserve">public</w:t>
            </w:r>
          </w:p>
        </w:tc>
        <w:tc>
          <w:tcPr>
            <w:tcW w:type="dxa" w:w="5126"/>
            <w:shd w:fill="F7FAF8" w:color="auto" w:val="clear"/>
            <w:tcMar>
              <w:top w:type="dxa" w:w="80"/>
              <w:left w:type="dxa" w:w="120"/>
              <w:bottom w:type="dxa" w:w="80"/>
              <w:right w:type="dxa" w:w="120"/>
            </w:tcMar>
          </w:tcPr>
          <w:p>
            <w:r>
              <w:rPr>
                <w:sz w:val="18"/>
                <w:szCs w:val="18"/>
              </w:rPr>
              <w:t xml:space="preserve">Merged, time-sorted readings from all four channels; applies the reset filter</w:t>
            </w:r>
          </w:p>
        </w:tc>
      </w:tr>
      <w:tr>
        <w:tc>
          <w:tcPr>
            <w:tcW w:type="dxa" w:w="1700"/>
            <w:tcMar>
              <w:top w:type="dxa" w:w="80"/>
              <w:left w:type="dxa" w:w="120"/>
              <w:bottom w:type="dxa" w:w="80"/>
              <w:right w:type="dxa" w:w="120"/>
            </w:tcMar>
          </w:tcPr>
          <w:p>
            <w:r>
              <w:rPr>
                <w:sz w:val="18"/>
                <w:szCs w:val="18"/>
              </w:rPr>
              <w:t xml:space="preserve">/api/login</w:t>
            </w:r>
          </w:p>
        </w:tc>
        <w:tc>
          <w:tcPr>
            <w:tcW w:type="dxa" w:w="900"/>
            <w:tcMar>
              <w:top w:type="dxa" w:w="80"/>
              <w:left w:type="dxa" w:w="120"/>
              <w:bottom w:type="dxa" w:w="80"/>
              <w:right w:type="dxa" w:w="120"/>
            </w:tcMar>
          </w:tcPr>
          <w:p>
            <w:r>
              <w:rPr>
                <w:sz w:val="18"/>
                <w:szCs w:val="18"/>
              </w:rPr>
              <w:t xml:space="preserve">POST</w:t>
            </w:r>
          </w:p>
        </w:tc>
        <w:tc>
          <w:tcPr>
            <w:tcW w:type="dxa" w:w="1300"/>
            <w:tcMar>
              <w:top w:type="dxa" w:w="80"/>
              <w:left w:type="dxa" w:w="120"/>
              <w:bottom w:type="dxa" w:w="80"/>
              <w:right w:type="dxa" w:w="120"/>
            </w:tcMar>
          </w:tcPr>
          <w:p>
            <w:r>
              <w:rPr>
                <w:sz w:val="18"/>
                <w:szCs w:val="18"/>
              </w:rPr>
              <w:t xml:space="preserve">public</w:t>
            </w:r>
          </w:p>
        </w:tc>
        <w:tc>
          <w:tcPr>
            <w:tcW w:type="dxa" w:w="5126"/>
            <w:tcMar>
              <w:top w:type="dxa" w:w="80"/>
              <w:left w:type="dxa" w:w="120"/>
              <w:bottom w:type="dxa" w:w="80"/>
              <w:right w:type="dxa" w:w="120"/>
            </w:tcMar>
          </w:tcPr>
          <w:p>
            <w:r>
              <w:rPr>
                <w:sz w:val="18"/>
                <w:szCs w:val="18"/>
              </w:rPr>
              <w:t xml:space="preserve">Validates admin credentials server-side; returns an admin token on success, 401 otherwise</w:t>
            </w:r>
          </w:p>
        </w:tc>
      </w:tr>
      <w:tr>
        <w:tc>
          <w:tcPr>
            <w:tcW w:type="dxa" w:w="1700"/>
            <w:shd w:fill="F7FAF8" w:color="auto" w:val="clear"/>
            <w:tcMar>
              <w:top w:type="dxa" w:w="80"/>
              <w:left w:type="dxa" w:w="120"/>
              <w:bottom w:type="dxa" w:w="80"/>
              <w:right w:type="dxa" w:w="120"/>
            </w:tcMar>
          </w:tcPr>
          <w:p>
            <w:r>
              <w:rPr>
                <w:sz w:val="18"/>
                <w:szCs w:val="18"/>
              </w:rPr>
              <w:t xml:space="preserve">/api/reading</w:t>
            </w:r>
          </w:p>
        </w:tc>
        <w:tc>
          <w:tcPr>
            <w:tcW w:type="dxa" w:w="900"/>
            <w:shd w:fill="F7FAF8" w:color="auto" w:val="clear"/>
            <w:tcMar>
              <w:top w:type="dxa" w:w="80"/>
              <w:left w:type="dxa" w:w="120"/>
              <w:bottom w:type="dxa" w:w="80"/>
              <w:right w:type="dxa" w:w="120"/>
            </w:tcMar>
          </w:tcPr>
          <w:p>
            <w:r>
              <w:rPr>
                <w:sz w:val="18"/>
                <w:szCs w:val="18"/>
              </w:rPr>
              <w:t xml:space="preserve">POST</w:t>
            </w:r>
          </w:p>
        </w:tc>
        <w:tc>
          <w:tcPr>
            <w:tcW w:type="dxa" w:w="1300"/>
            <w:shd w:fill="F7FAF8" w:color="auto" w:val="clear"/>
            <w:tcMar>
              <w:top w:type="dxa" w:w="80"/>
              <w:left w:type="dxa" w:w="120"/>
              <w:bottom w:type="dxa" w:w="80"/>
              <w:right w:type="dxa" w:w="120"/>
            </w:tcMar>
          </w:tcPr>
          <w:p>
            <w:r>
              <w:rPr>
                <w:sz w:val="18"/>
                <w:szCs w:val="18"/>
              </w:rPr>
              <w:t xml:space="preserve">admin token</w:t>
            </w:r>
          </w:p>
        </w:tc>
        <w:tc>
          <w:tcPr>
            <w:tcW w:type="dxa" w:w="5126"/>
            <w:shd w:fill="F7FAF8" w:color="auto" w:val="clear"/>
            <w:tcMar>
              <w:top w:type="dxa" w:w="80"/>
              <w:left w:type="dxa" w:w="120"/>
              <w:bottom w:type="dxa" w:w="80"/>
              <w:right w:type="dxa" w:w="120"/>
            </w:tcMar>
          </w:tcPr>
          <w:p>
            <w:r>
              <w:rPr>
                <w:sz w:val="18"/>
                <w:szCs w:val="18"/>
              </w:rPr>
              <w:t xml:space="preserve">Writes a reading, routed to the channel that owns the given hostel</w:t>
            </w:r>
          </w:p>
        </w:tc>
      </w:tr>
      <w:tr>
        <w:tc>
          <w:tcPr>
            <w:tcW w:type="dxa" w:w="1700"/>
            <w:tcMar>
              <w:top w:type="dxa" w:w="80"/>
              <w:left w:type="dxa" w:w="120"/>
              <w:bottom w:type="dxa" w:w="80"/>
              <w:right w:type="dxa" w:w="120"/>
            </w:tcMar>
          </w:tcPr>
          <w:p>
            <w:r>
              <w:rPr>
                <w:sz w:val="18"/>
                <w:szCs w:val="18"/>
              </w:rPr>
              <w:t xml:space="preserve">/api/reset</w:t>
            </w:r>
          </w:p>
        </w:tc>
        <w:tc>
          <w:tcPr>
            <w:tcW w:type="dxa" w:w="900"/>
            <w:tcMar>
              <w:top w:type="dxa" w:w="80"/>
              <w:left w:type="dxa" w:w="120"/>
              <w:bottom w:type="dxa" w:w="80"/>
              <w:right w:type="dxa" w:w="120"/>
            </w:tcMar>
          </w:tcPr>
          <w:p>
            <w:r>
              <w:rPr>
                <w:sz w:val="18"/>
                <w:szCs w:val="18"/>
              </w:rPr>
              <w:t xml:space="preserve">POST</w:t>
            </w:r>
          </w:p>
        </w:tc>
        <w:tc>
          <w:tcPr>
            <w:tcW w:type="dxa" w:w="1300"/>
            <w:tcMar>
              <w:top w:type="dxa" w:w="80"/>
              <w:left w:type="dxa" w:w="120"/>
              <w:bottom w:type="dxa" w:w="80"/>
              <w:right w:type="dxa" w:w="120"/>
            </w:tcMar>
          </w:tcPr>
          <w:p>
            <w:r>
              <w:rPr>
                <w:sz w:val="18"/>
                <w:szCs w:val="18"/>
              </w:rPr>
              <w:t xml:space="preserve">admin token</w:t>
            </w:r>
          </w:p>
        </w:tc>
        <w:tc>
          <w:tcPr>
            <w:tcW w:type="dxa" w:w="5126"/>
            <w:tcMar>
              <w:top w:type="dxa" w:w="80"/>
              <w:left w:type="dxa" w:w="120"/>
              <w:bottom w:type="dxa" w:w="80"/>
              <w:right w:type="dxa" w:w="120"/>
            </w:tcMar>
          </w:tcPr>
          <w:p>
            <w:r>
              <w:rPr>
                <w:sz w:val="18"/>
                <w:szCs w:val="18"/>
              </w:rPr>
              <w:t xml:space="preserve">Clears the dashboard history (and the cloud channels when a User API Key is present)</w:t>
            </w:r>
          </w:p>
        </w:tc>
      </w:tr>
    </w:tbl>
    <w:p>
      <w:pPr>
        <w:pStyle w:val="Heading2"/>
        <w:spacing w:after="120" w:before="240"/>
      </w:pPr>
      <w:r>
        <w:t xml:space="preserve">7.2 Channel aggregation</w:t>
      </w:r>
    </w:p>
    <w:p>
      <w:pPr>
        <w:spacing w:after="120" w:line="280"/>
        <w:jc w:val="both"/>
      </w:pPr>
      <w:r>
        <w:rPr>
          <w:b w:val="false"/>
          <w:bCs w:val="false"/>
          <w:i w:val="false"/>
          <w:iCs w:val="false"/>
          <w:color w:val="101828"/>
          <w:sz w:val="21"/>
          <w:szCs w:val="21"/>
        </w:rPr>
        <w:t xml:space="preserve">Because the fourteen hostels are spread over four channels, /api/feeds issues four HTTPS requests concurrently with Promise.all, concatenates the responses, sorts the union chronologically, applies the reset filter, and truncates to the requested number of most-recent records. Fetching in parallel rather than sequentially keeps dashboard latency close to that of a single channel; each request carries a 10-second timeout so one slow channel cannot hang the response. The client receives a single, uniform feed and remains entirely unaware of the sharding — which is what allows the number of channels to change later without touching the front-end.</w:t>
      </w:r>
    </w:p>
    <w:p>
      <w:pPr>
        <w:pStyle w:val="Heading2"/>
        <w:spacing w:after="120" w:before="240"/>
      </w:pPr>
      <w:r>
        <w:t xml:space="preserve">7.3 Reset semantics</w:t>
      </w:r>
    </w:p>
    <w:p>
      <w:pPr>
        <w:spacing w:after="120" w:line="280"/>
        <w:jc w:val="both"/>
      </w:pPr>
      <w:r>
        <w:rPr>
          <w:b w:val="false"/>
          <w:bCs w:val="false"/>
          <w:i w:val="false"/>
          <w:iCs w:val="false"/>
          <w:color w:val="101828"/>
          <w:sz w:val="21"/>
          <w:szCs w:val="21"/>
        </w:rPr>
        <w:t xml:space="preserve">Clearing feed data from a ThingSpeak channel requires the account-level User API Key, which is deliberately more privileged than the per-channel read/write keys. The reset endpoint therefore implements two tiers:</w:t>
      </w:r>
    </w:p>
    <w:p>
      <w:pPr>
        <w:pStyle w:val="ListParagraph"/>
        <w:numPr>
          <w:ilvl w:val="0"/>
          <w:numId w:val="2"/>
        </w:numPr>
        <w:spacing w:after="80" w:line="280"/>
      </w:pPr>
      <w:r>
        <w:rPr>
          <w:color w:val="101828"/>
          <w:sz w:val="21"/>
          <w:szCs w:val="21"/>
        </w:rPr>
        <w:t xml:space="preserve">Soft reset (always available) — the server records the reset instant in reset_timestamp.txt and thereafter filters out every reading older than that moment. The dashboard starts from a clean slate immediately, and because the marker is a file it survives a restart. The historical data itself remains in the cloud, so the action is recoverable by deleting the marker.</w:t>
      </w:r>
    </w:p>
    <w:p>
      <w:pPr>
        <w:pStyle w:val="ListParagraph"/>
        <w:numPr>
          <w:ilvl w:val="0"/>
          <w:numId w:val="2"/>
        </w:numPr>
        <w:spacing w:after="80" w:line="280"/>
      </w:pPr>
      <w:r>
        <w:rPr>
          <w:color w:val="101828"/>
          <w:sz w:val="21"/>
          <w:szCs w:val="21"/>
        </w:rPr>
        <w:t xml:space="preserve">Hard reset (requires TS_USER_API_KEY) — the server additionally issues an HTTP DELETE to each of the four channels, permanently erasing the stored feeds. This is irreversible.</w:t>
      </w:r>
    </w:p>
    <w:p>
      <w:pPr>
        <w:spacing w:after="80"/>
      </w:pPr>
    </w:p>
    <w:p>
      <w:pPr>
        <w:spacing w:after="120" w:line="280"/>
        <w:jc w:val="both"/>
      </w:pPr>
      <w:r>
        <w:rPr>
          <w:b w:val="false"/>
          <w:bCs w:val="false"/>
          <w:i w:val="false"/>
          <w:iCs w:val="false"/>
          <w:color w:val="101828"/>
          <w:sz w:val="21"/>
          <w:szCs w:val="21"/>
        </w:rPr>
        <w:t xml:space="preserve">The endpoint reports honestly which tier actually executed, so an operator is never left believing the cloud was wiped when only the local view was reset. The two-tier approach is a pragmatic response to a real constraint: the destructive capability is optional and opt-in, while the everyday need — a clean demonstration — is always satisfied without risk.</w:t>
      </w:r>
    </w:p>
    <w:p>
      <w:r>
        <w:br w:type="page"/>
      </w:r>
    </w:p>
    <w:p>
      <w:pPr>
        <w:pStyle w:val="Heading1"/>
        <w:spacing w:after="160" w:before="320"/>
      </w:pPr>
      <w:r>
        <w:t xml:space="preserve">8. Web Dashboard</w:t>
      </w:r>
    </w:p>
    <w:p>
      <w:pPr>
        <w:spacing w:after="120" w:line="280"/>
        <w:jc w:val="both"/>
      </w:pPr>
      <w:r>
        <w:rPr>
          <w:b w:val="false"/>
          <w:bCs w:val="false"/>
          <w:i w:val="false"/>
          <w:iCs w:val="false"/>
          <w:color w:val="101828"/>
          <w:sz w:val="21"/>
          <w:szCs w:val="21"/>
        </w:rPr>
        <w:t xml:space="preserve">The dashboard is a single-page application written in vanilla HTML, CSS and JavaScript with no front-end framework and no build step; all charts are hand-generated inline SVG. This keeps the deployable artefact to a handful of static files, removes an entire class of toolchain maintenance, and makes the project readable by future contributors without framework expertise. It polls the backend every 20 seconds (REFRESH_SECONDS).</w:t>
      </w:r>
    </w:p>
    <w:p>
      <w:pPr>
        <w:pStyle w:val="Heading2"/>
        <w:spacing w:after="120" w:before="240"/>
      </w:pPr>
      <w:r>
        <w:t xml:space="preserve">8.1 Layout</w:t>
      </w:r>
    </w:p>
    <w:p>
      <w:pPr>
        <w:spacing w:after="120" w:line="280"/>
        <w:jc w:val="both"/>
      </w:pPr>
      <w:r>
        <w:rPr>
          <w:b w:val="false"/>
          <w:bCs w:val="false"/>
          <w:i w:val="false"/>
          <w:iCs w:val="false"/>
          <w:color w:val="101828"/>
          <w:sz w:val="21"/>
          <w:szCs w:val="21"/>
        </w:rPr>
        <w:t xml:space="preserve">The interface uses a “bento grid”: a status bar, two vertical rails listing all fourteen hostels, and a central analytics column. Every hostel card shows today’s weight, an efficiency score, a seven-day sparkline and a live/offline status, and is clickable — selecting one re-scopes the entire centre column to that hostel and back again via an “Overview”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6A34A" w:color="auto" w:val="clear"/>
            <w:tcMar>
              <w:top w:type="dxa" w:w="90"/>
              <w:left w:type="dxa" w:w="120"/>
              <w:bottom w:type="dxa" w:w="90"/>
              <w:right w:type="dxa" w:w="120"/>
            </w:tcMar>
          </w:tcPr>
          <w:p>
            <w:r>
              <w:rPr>
                <w:b/>
                <w:bCs/>
                <w:color w:val="FFFFFF"/>
                <w:sz w:val="18"/>
                <w:szCs w:val="18"/>
              </w:rPr>
              <w:t xml:space="preserve">Panel</w:t>
            </w:r>
          </w:p>
        </w:tc>
        <w:tc>
          <w:tcPr>
            <w:tcW w:type="dxa" w:w="6926"/>
            <w:shd w:fill="16A34A" w:color="auto" w:val="clear"/>
            <w:tcMar>
              <w:top w:type="dxa" w:w="90"/>
              <w:left w:type="dxa" w:w="120"/>
              <w:bottom w:type="dxa" w:w="90"/>
              <w:right w:type="dxa" w:w="120"/>
            </w:tcMar>
          </w:tcPr>
          <w:p>
            <w:r>
              <w:rPr>
                <w:b/>
                <w:bCs/>
                <w:color w:val="FFFFFF"/>
                <w:sz w:val="18"/>
                <w:szCs w:val="18"/>
              </w:rPr>
              <w:t xml:space="preserve">Content</w:t>
            </w:r>
          </w:p>
        </w:tc>
      </w:tr>
      <w:tr>
        <w:tc>
          <w:tcPr>
            <w:tcW w:type="dxa" w:w="2100"/>
            <w:tcMar>
              <w:top w:type="dxa" w:w="80"/>
              <w:left w:type="dxa" w:w="120"/>
              <w:bottom w:type="dxa" w:w="80"/>
              <w:right w:type="dxa" w:w="120"/>
            </w:tcMar>
          </w:tcPr>
          <w:p>
            <w:r>
              <w:rPr>
                <w:sz w:val="18"/>
                <w:szCs w:val="18"/>
              </w:rPr>
              <w:t xml:space="preserve">Status bar</w:t>
            </w:r>
          </w:p>
        </w:tc>
        <w:tc>
          <w:tcPr>
            <w:tcW w:type="dxa" w:w="6926"/>
            <w:tcMar>
              <w:top w:type="dxa" w:w="80"/>
              <w:left w:type="dxa" w:w="120"/>
              <w:bottom w:type="dxa" w:w="80"/>
              <w:right w:type="dxa" w:w="120"/>
            </w:tcMar>
          </w:tcPr>
          <w:p>
            <w:r>
              <w:rPr>
                <w:sz w:val="18"/>
                <w:szCs w:val="18"/>
              </w:rPr>
              <w:t xml:space="preserve">Live meal session, running clock, active-device count (real ESP32s counted separately), alert bell, admin controls</w:t>
            </w:r>
          </w:p>
        </w:tc>
      </w:tr>
      <w:tr>
        <w:tc>
          <w:tcPr>
            <w:tcW w:type="dxa" w:w="2100"/>
            <w:shd w:fill="F7FAF8" w:color="auto" w:val="clear"/>
            <w:tcMar>
              <w:top w:type="dxa" w:w="80"/>
              <w:left w:type="dxa" w:w="120"/>
              <w:bottom w:type="dxa" w:w="80"/>
              <w:right w:type="dxa" w:w="120"/>
            </w:tcMar>
          </w:tcPr>
          <w:p>
            <w:r>
              <w:rPr>
                <w:sz w:val="18"/>
                <w:szCs w:val="18"/>
              </w:rPr>
              <w:t xml:space="preserve">Hostel rails</w:t>
            </w:r>
          </w:p>
        </w:tc>
        <w:tc>
          <w:tcPr>
            <w:tcW w:type="dxa" w:w="6926"/>
            <w:shd w:fill="F7FAF8" w:color="auto" w:val="clear"/>
            <w:tcMar>
              <w:top w:type="dxa" w:w="80"/>
              <w:left w:type="dxa" w:w="120"/>
              <w:bottom w:type="dxa" w:w="80"/>
              <w:right w:type="dxa" w:w="120"/>
            </w:tcMar>
          </w:tcPr>
          <w:p>
            <w:r>
              <w:rPr>
                <w:sz w:val="18"/>
                <w:szCs w:val="18"/>
              </w:rPr>
              <w:t xml:space="preserve">14 hostel cards: today’s kg, efficiency %, 7-day sparkline, live/offline state; auto-scrolling in overview mode</w:t>
            </w:r>
          </w:p>
        </w:tc>
      </w:tr>
      <w:tr>
        <w:tc>
          <w:tcPr>
            <w:tcW w:type="dxa" w:w="2100"/>
            <w:tcMar>
              <w:top w:type="dxa" w:w="80"/>
              <w:left w:type="dxa" w:w="120"/>
              <w:bottom w:type="dxa" w:w="80"/>
              <w:right w:type="dxa" w:w="120"/>
            </w:tcMar>
          </w:tcPr>
          <w:p>
            <w:r>
              <w:rPr>
                <w:sz w:val="18"/>
                <w:szCs w:val="18"/>
              </w:rPr>
              <w:t xml:space="preserve">KPI tiles</w:t>
            </w:r>
          </w:p>
        </w:tc>
        <w:tc>
          <w:tcPr>
            <w:tcW w:type="dxa" w:w="6926"/>
            <w:tcMar>
              <w:top w:type="dxa" w:w="80"/>
              <w:left w:type="dxa" w:w="120"/>
              <w:bottom w:type="dxa" w:w="80"/>
              <w:right w:type="dxa" w:w="120"/>
            </w:tcMar>
          </w:tcPr>
          <w:p>
            <w:r>
              <w:rPr>
                <w:sz w:val="18"/>
                <w:szCs w:val="18"/>
              </w:rPr>
              <w:t xml:space="preserve">Total waste today and estimated value lost, each with a day-on-day delta</w:t>
            </w:r>
          </w:p>
        </w:tc>
      </w:tr>
      <w:tr>
        <w:tc>
          <w:tcPr>
            <w:tcW w:type="dxa" w:w="2100"/>
            <w:shd w:fill="F7FAF8" w:color="auto" w:val="clear"/>
            <w:tcMar>
              <w:top w:type="dxa" w:w="80"/>
              <w:left w:type="dxa" w:w="120"/>
              <w:bottom w:type="dxa" w:w="80"/>
              <w:right w:type="dxa" w:w="120"/>
            </w:tcMar>
          </w:tcPr>
          <w:p>
            <w:r>
              <w:rPr>
                <w:sz w:val="18"/>
                <w:szCs w:val="18"/>
              </w:rPr>
              <w:t xml:space="preserve">Waste Trend</w:t>
            </w:r>
          </w:p>
        </w:tc>
        <w:tc>
          <w:tcPr>
            <w:tcW w:type="dxa" w:w="6926"/>
            <w:shd w:fill="F7FAF8" w:color="auto" w:val="clear"/>
            <w:tcMar>
              <w:top w:type="dxa" w:w="80"/>
              <w:left w:type="dxa" w:w="120"/>
              <w:bottom w:type="dxa" w:w="80"/>
              <w:right w:type="dxa" w:w="120"/>
            </w:tcMar>
          </w:tcPr>
          <w:p>
            <w:r>
              <w:rPr>
                <w:sz w:val="18"/>
                <w:szCs w:val="18"/>
              </w:rPr>
              <w:t xml:space="preserve">Area chart over a selectable 7 / 14 / 30-day window with per-day markers and a hover tooltip</w:t>
            </w:r>
          </w:p>
        </w:tc>
      </w:tr>
      <w:tr>
        <w:tc>
          <w:tcPr>
            <w:tcW w:type="dxa" w:w="2100"/>
            <w:tcMar>
              <w:top w:type="dxa" w:w="80"/>
              <w:left w:type="dxa" w:w="120"/>
              <w:bottom w:type="dxa" w:w="80"/>
              <w:right w:type="dxa" w:w="120"/>
            </w:tcMar>
          </w:tcPr>
          <w:p>
            <w:r>
              <w:rPr>
                <w:sz w:val="18"/>
                <w:szCs w:val="18"/>
              </w:rPr>
              <w:t xml:space="preserve">Live Readings</w:t>
            </w:r>
          </w:p>
        </w:tc>
        <w:tc>
          <w:tcPr>
            <w:tcW w:type="dxa" w:w="6926"/>
            <w:tcMar>
              <w:top w:type="dxa" w:w="80"/>
              <w:left w:type="dxa" w:w="120"/>
              <w:bottom w:type="dxa" w:w="80"/>
              <w:right w:type="dxa" w:w="120"/>
            </w:tcMar>
          </w:tcPr>
          <w:p>
            <w:r>
              <w:rPr>
                <w:sz w:val="18"/>
                <w:szCs w:val="18"/>
              </w:rPr>
              <w:t xml:space="preserve">Real-time feed — every individual reading with weight, hostel, meal and timestamp; new rows highlight</w:t>
            </w:r>
          </w:p>
        </w:tc>
      </w:tr>
      <w:tr>
        <w:tc>
          <w:tcPr>
            <w:tcW w:type="dxa" w:w="2100"/>
            <w:shd w:fill="F7FAF8" w:color="auto" w:val="clear"/>
            <w:tcMar>
              <w:top w:type="dxa" w:w="80"/>
              <w:left w:type="dxa" w:w="120"/>
              <w:bottom w:type="dxa" w:w="80"/>
              <w:right w:type="dxa" w:w="120"/>
            </w:tcMar>
          </w:tcPr>
          <w:p>
            <w:r>
              <w:rPr>
                <w:sz w:val="18"/>
                <w:szCs w:val="18"/>
              </w:rPr>
              <w:t xml:space="preserve">Waste by Meal</w:t>
            </w:r>
          </w:p>
        </w:tc>
        <w:tc>
          <w:tcPr>
            <w:tcW w:type="dxa" w:w="6926"/>
            <w:shd w:fill="F7FAF8" w:color="auto" w:val="clear"/>
            <w:tcMar>
              <w:top w:type="dxa" w:w="80"/>
              <w:left w:type="dxa" w:w="120"/>
              <w:bottom w:type="dxa" w:w="80"/>
              <w:right w:type="dxa" w:w="120"/>
            </w:tcMar>
          </w:tcPr>
          <w:p>
            <w:r>
              <w:rPr>
                <w:sz w:val="18"/>
                <w:szCs w:val="18"/>
              </w:rPr>
              <w:t xml:space="preserve">Donut showing the breakfast / lunch / snacks / dinner split for the week</w:t>
            </w:r>
          </w:p>
        </w:tc>
      </w:tr>
      <w:tr>
        <w:tc>
          <w:tcPr>
            <w:tcW w:type="dxa" w:w="2100"/>
            <w:tcMar>
              <w:top w:type="dxa" w:w="80"/>
              <w:left w:type="dxa" w:w="120"/>
              <w:bottom w:type="dxa" w:w="80"/>
              <w:right w:type="dxa" w:w="120"/>
            </w:tcMar>
          </w:tcPr>
          <w:p>
            <w:r>
              <w:rPr>
                <w:sz w:val="18"/>
                <w:szCs w:val="18"/>
              </w:rPr>
              <w:t xml:space="preserve">Live Scale Readings</w:t>
            </w:r>
          </w:p>
        </w:tc>
        <w:tc>
          <w:tcPr>
            <w:tcW w:type="dxa" w:w="6926"/>
            <w:tcMar>
              <w:top w:type="dxa" w:w="80"/>
              <w:left w:type="dxa" w:w="120"/>
              <w:bottom w:type="dxa" w:w="80"/>
              <w:right w:type="dxa" w:w="120"/>
            </w:tcMar>
          </w:tcPr>
          <w:p>
            <w:r>
              <w:rPr>
                <w:sz w:val="18"/>
                <w:szCs w:val="18"/>
              </w:rPr>
              <w:t xml:space="preserve">Per-bin current totals and online state (admin only)</w:t>
            </w:r>
          </w:p>
        </w:tc>
      </w:tr>
      <w:tr>
        <w:tc>
          <w:tcPr>
            <w:tcW w:type="dxa" w:w="2100"/>
            <w:shd w:fill="F7FAF8" w:color="auto" w:val="clear"/>
            <w:tcMar>
              <w:top w:type="dxa" w:w="80"/>
              <w:left w:type="dxa" w:w="120"/>
              <w:bottom w:type="dxa" w:w="80"/>
              <w:right w:type="dxa" w:w="120"/>
            </w:tcMar>
          </w:tcPr>
          <w:p>
            <w:r>
              <w:rPr>
                <w:sz w:val="18"/>
                <w:szCs w:val="18"/>
              </w:rPr>
              <w:t xml:space="preserve">Insight tiles</w:t>
            </w:r>
          </w:p>
        </w:tc>
        <w:tc>
          <w:tcPr>
            <w:tcW w:type="dxa" w:w="6926"/>
            <w:shd w:fill="F7FAF8" w:color="auto" w:val="clear"/>
            <w:tcMar>
              <w:top w:type="dxa" w:w="80"/>
              <w:left w:type="dxa" w:w="120"/>
              <w:bottom w:type="dxa" w:w="80"/>
              <w:right w:type="dxa" w:w="120"/>
            </w:tcMar>
          </w:tcPr>
          <w:p>
            <w:r>
              <w:rPr>
                <w:sz w:val="18"/>
                <w:szCs w:val="18"/>
              </w:rPr>
              <w:t xml:space="preserve">Best-performing hostel, peak waste time, estimated CO₂ saved</w:t>
            </w:r>
          </w:p>
        </w:tc>
      </w:tr>
      <w:tr>
        <w:tc>
          <w:tcPr>
            <w:tcW w:type="dxa" w:w="2100"/>
            <w:tcMar>
              <w:top w:type="dxa" w:w="80"/>
              <w:left w:type="dxa" w:w="120"/>
              <w:bottom w:type="dxa" w:w="80"/>
              <w:right w:type="dxa" w:w="120"/>
            </w:tcMar>
          </w:tcPr>
          <w:p>
            <w:r>
              <w:rPr>
                <w:sz w:val="18"/>
                <w:szCs w:val="18"/>
              </w:rPr>
              <w:t xml:space="preserve">Admin analytics</w:t>
            </w:r>
          </w:p>
        </w:tc>
        <w:tc>
          <w:tcPr>
            <w:tcW w:type="dxa" w:w="6926"/>
            <w:tcMar>
              <w:top w:type="dxa" w:w="80"/>
              <w:left w:type="dxa" w:w="120"/>
              <w:bottom w:type="dxa" w:w="80"/>
              <w:right w:type="dxa" w:w="120"/>
            </w:tcMar>
          </w:tcPr>
          <w:p>
            <w:r>
              <w:rPr>
                <w:sz w:val="18"/>
                <w:szCs w:val="18"/>
              </w:rPr>
              <w:t xml:space="preserve">Hostel comparison bar chart and cost analysis (today, week, monthly projection)</w:t>
            </w:r>
          </w:p>
        </w:tc>
      </w:tr>
      <w:tr>
        <w:tc>
          <w:tcPr>
            <w:tcW w:type="dxa" w:w="2100"/>
            <w:shd w:fill="F7FAF8" w:color="auto" w:val="clear"/>
            <w:tcMar>
              <w:top w:type="dxa" w:w="80"/>
              <w:left w:type="dxa" w:w="120"/>
              <w:bottom w:type="dxa" w:w="80"/>
              <w:right w:type="dxa" w:w="120"/>
            </w:tcMar>
          </w:tcPr>
          <w:p>
            <w:r>
              <w:rPr>
                <w:sz w:val="18"/>
                <w:szCs w:val="18"/>
              </w:rPr>
              <w:t xml:space="preserve">Device Monitor</w:t>
            </w:r>
          </w:p>
        </w:tc>
        <w:tc>
          <w:tcPr>
            <w:tcW w:type="dxa" w:w="6926"/>
            <w:shd w:fill="F7FAF8" w:color="auto" w:val="clear"/>
            <w:tcMar>
              <w:top w:type="dxa" w:w="80"/>
              <w:left w:type="dxa" w:w="120"/>
              <w:bottom w:type="dxa" w:w="80"/>
              <w:right w:type="dxa" w:w="120"/>
            </w:tcMar>
          </w:tcPr>
          <w:p>
            <w:r>
              <w:rPr>
                <w:sz w:val="18"/>
                <w:szCs w:val="18"/>
              </w:rPr>
              <w:t xml:space="preserve">Connected ESP32s with last-seen time and Wi-Fi signal strength (admin only)</w:t>
            </w:r>
          </w:p>
        </w:tc>
      </w:tr>
      <w:tr>
        <w:tc>
          <w:tcPr>
            <w:tcW w:type="dxa" w:w="2100"/>
            <w:tcMar>
              <w:top w:type="dxa" w:w="80"/>
              <w:left w:type="dxa" w:w="120"/>
              <w:bottom w:type="dxa" w:w="80"/>
              <w:right w:type="dxa" w:w="120"/>
            </w:tcMar>
          </w:tcPr>
          <w:p>
            <w:r>
              <w:rPr>
                <w:sz w:val="18"/>
                <w:szCs w:val="18"/>
              </w:rPr>
              <w:t xml:space="preserve">Recommendation</w:t>
            </w:r>
          </w:p>
        </w:tc>
        <w:tc>
          <w:tcPr>
            <w:tcW w:type="dxa" w:w="6926"/>
            <w:tcMar>
              <w:top w:type="dxa" w:w="80"/>
              <w:left w:type="dxa" w:w="120"/>
              <w:bottom w:type="dxa" w:w="80"/>
              <w:right w:type="dxa" w:w="120"/>
            </w:tcMar>
          </w:tcPr>
          <w:p>
            <w:r>
              <w:rPr>
                <w:sz w:val="18"/>
                <w:szCs w:val="18"/>
              </w:rPr>
              <w:t xml:space="preserve">Rule-based advice derived from today’s data versus the 7-day average (admin only)</w:t>
            </w:r>
          </w:p>
        </w:tc>
      </w:tr>
      <w:tr>
        <w:tc>
          <w:tcPr>
            <w:tcW w:type="dxa" w:w="2100"/>
            <w:shd w:fill="F7FAF8" w:color="auto" w:val="clear"/>
            <w:tcMar>
              <w:top w:type="dxa" w:w="80"/>
              <w:left w:type="dxa" w:w="120"/>
              <w:bottom w:type="dxa" w:w="80"/>
              <w:right w:type="dxa" w:w="120"/>
            </w:tcMar>
          </w:tcPr>
          <w:p>
            <w:r>
              <w:rPr>
                <w:sz w:val="18"/>
                <w:szCs w:val="18"/>
              </w:rPr>
              <w:t xml:space="preserve">Alerts</w:t>
            </w:r>
          </w:p>
        </w:tc>
        <w:tc>
          <w:tcPr>
            <w:tcW w:type="dxa" w:w="6926"/>
            <w:shd w:fill="F7FAF8" w:color="auto" w:val="clear"/>
            <w:tcMar>
              <w:top w:type="dxa" w:w="80"/>
              <w:left w:type="dxa" w:w="120"/>
              <w:bottom w:type="dxa" w:w="80"/>
              <w:right w:type="dxa" w:w="120"/>
            </w:tcMar>
          </w:tcPr>
          <w:p>
            <w:r>
              <w:rPr>
                <w:sz w:val="18"/>
                <w:szCs w:val="18"/>
              </w:rPr>
              <w:t xml:space="preserve">High-waste and offline-device notifications (admin only)</w:t>
            </w:r>
          </w:p>
        </w:tc>
      </w:tr>
    </w:tbl>
    <w:p>
      <w:pPr>
        <w:pStyle w:val="Heading2"/>
        <w:spacing w:after="120" w:before="240"/>
      </w:pPr>
      <w:r>
        <w:t xml:space="preserve">8.2 Derived metrics</w:t>
      </w:r>
    </w:p>
    <w:p>
      <w:pPr>
        <w:spacing w:after="120" w:line="280"/>
        <w:jc w:val="both"/>
      </w:pPr>
      <w:r>
        <w:rPr>
          <w:b w:val="false"/>
          <w:bCs w:val="false"/>
          <w:i w:val="false"/>
          <w:iCs w:val="false"/>
          <w:color w:val="101828"/>
          <w:sz w:val="21"/>
          <w:szCs w:val="21"/>
        </w:rPr>
        <w:t xml:space="preserve">The dashboard converts raw mass into the units in which decisions are actually made. All factors are declared in config.js and can be tuned without touching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shd w:fill="16A34A" w:color="auto" w:val="clear"/>
            <w:tcMar>
              <w:top w:type="dxa" w:w="90"/>
              <w:left w:type="dxa" w:w="120"/>
              <w:bottom w:type="dxa" w:w="90"/>
              <w:right w:type="dxa" w:w="120"/>
            </w:tcMar>
          </w:tcPr>
          <w:p>
            <w:r>
              <w:rPr>
                <w:b/>
                <w:bCs/>
                <w:color w:val="FFFFFF"/>
                <w:sz w:val="18"/>
                <w:szCs w:val="18"/>
              </w:rPr>
              <w:t xml:space="preserve">Metric</w:t>
            </w:r>
          </w:p>
        </w:tc>
        <w:tc>
          <w:tcPr>
            <w:tcW w:type="dxa" w:w="4200"/>
            <w:shd w:fill="16A34A" w:color="auto" w:val="clear"/>
            <w:tcMar>
              <w:top w:type="dxa" w:w="90"/>
              <w:left w:type="dxa" w:w="120"/>
              <w:bottom w:type="dxa" w:w="90"/>
              <w:right w:type="dxa" w:w="120"/>
            </w:tcMar>
          </w:tcPr>
          <w:p>
            <w:r>
              <w:rPr>
                <w:b/>
                <w:bCs/>
                <w:color w:val="FFFFFF"/>
                <w:sz w:val="18"/>
                <w:szCs w:val="18"/>
              </w:rPr>
              <w:t xml:space="preserve">Formula</w:t>
            </w:r>
          </w:p>
        </w:tc>
        <w:tc>
          <w:tcPr>
            <w:tcW w:type="dxa" w:w="2426"/>
            <w:shd w:fill="16A34A" w:color="auto" w:val="clear"/>
            <w:tcMar>
              <w:top w:type="dxa" w:w="90"/>
              <w:left w:type="dxa" w:w="120"/>
              <w:bottom w:type="dxa" w:w="90"/>
              <w:right w:type="dxa" w:w="120"/>
            </w:tcMar>
          </w:tcPr>
          <w:p>
            <w:r>
              <w:rPr>
                <w:b/>
                <w:bCs/>
                <w:color w:val="FFFFFF"/>
                <w:sz w:val="18"/>
                <w:szCs w:val="18"/>
              </w:rPr>
              <w:t xml:space="preserve">Constant</w:t>
            </w:r>
          </w:p>
        </w:tc>
      </w:tr>
      <w:tr>
        <w:tc>
          <w:tcPr>
            <w:tcW w:type="dxa" w:w="2400"/>
            <w:tcMar>
              <w:top w:type="dxa" w:w="80"/>
              <w:left w:type="dxa" w:w="120"/>
              <w:bottom w:type="dxa" w:w="80"/>
              <w:right w:type="dxa" w:w="120"/>
            </w:tcMar>
          </w:tcPr>
          <w:p>
            <w:r>
              <w:rPr>
                <w:sz w:val="18"/>
                <w:szCs w:val="18"/>
              </w:rPr>
              <w:t xml:space="preserve">Value lost (₹)</w:t>
            </w:r>
          </w:p>
        </w:tc>
        <w:tc>
          <w:tcPr>
            <w:tcW w:type="dxa" w:w="4200"/>
            <w:tcMar>
              <w:top w:type="dxa" w:w="80"/>
              <w:left w:type="dxa" w:w="120"/>
              <w:bottom w:type="dxa" w:w="80"/>
              <w:right w:type="dxa" w:w="120"/>
            </w:tcMar>
          </w:tcPr>
          <w:p>
            <w:r>
              <w:rPr>
                <w:sz w:val="18"/>
                <w:szCs w:val="18"/>
              </w:rPr>
              <w:t xml:space="preserve">weight_kg × PRICE_PER_KG</w:t>
            </w:r>
          </w:p>
        </w:tc>
        <w:tc>
          <w:tcPr>
            <w:tcW w:type="dxa" w:w="2426"/>
            <w:tcMar>
              <w:top w:type="dxa" w:w="80"/>
              <w:left w:type="dxa" w:w="120"/>
              <w:bottom w:type="dxa" w:w="80"/>
              <w:right w:type="dxa" w:w="120"/>
            </w:tcMar>
          </w:tcPr>
          <w:p>
            <w:r>
              <w:rPr>
                <w:sz w:val="18"/>
                <w:szCs w:val="18"/>
              </w:rPr>
              <w:t xml:space="preserve">₹75 per kg</w:t>
            </w:r>
          </w:p>
        </w:tc>
      </w:tr>
      <w:tr>
        <w:tc>
          <w:tcPr>
            <w:tcW w:type="dxa" w:w="2400"/>
            <w:shd w:fill="F7FAF8" w:color="auto" w:val="clear"/>
            <w:tcMar>
              <w:top w:type="dxa" w:w="80"/>
              <w:left w:type="dxa" w:w="120"/>
              <w:bottom w:type="dxa" w:w="80"/>
              <w:right w:type="dxa" w:w="120"/>
            </w:tcMar>
          </w:tcPr>
          <w:p>
            <w:r>
              <w:rPr>
                <w:sz w:val="18"/>
                <w:szCs w:val="18"/>
              </w:rPr>
              <w:t xml:space="preserve">Carbon footprint (kg CO₂e)</w:t>
            </w:r>
          </w:p>
        </w:tc>
        <w:tc>
          <w:tcPr>
            <w:tcW w:type="dxa" w:w="4200"/>
            <w:shd w:fill="F7FAF8" w:color="auto" w:val="clear"/>
            <w:tcMar>
              <w:top w:type="dxa" w:w="80"/>
              <w:left w:type="dxa" w:w="120"/>
              <w:bottom w:type="dxa" w:w="80"/>
              <w:right w:type="dxa" w:w="120"/>
            </w:tcMar>
          </w:tcPr>
          <w:p>
            <w:r>
              <w:rPr>
                <w:sz w:val="18"/>
                <w:szCs w:val="18"/>
              </w:rPr>
              <w:t xml:space="preserve">weight_kg × CO2_PER_KG</w:t>
            </w:r>
          </w:p>
        </w:tc>
        <w:tc>
          <w:tcPr>
            <w:tcW w:type="dxa" w:w="2426"/>
            <w:shd w:fill="F7FAF8" w:color="auto" w:val="clear"/>
            <w:tcMar>
              <w:top w:type="dxa" w:w="80"/>
              <w:left w:type="dxa" w:w="120"/>
              <w:bottom w:type="dxa" w:w="80"/>
              <w:right w:type="dxa" w:w="120"/>
            </w:tcMar>
          </w:tcPr>
          <w:p>
            <w:r>
              <w:rPr>
                <w:sz w:val="18"/>
                <w:szCs w:val="18"/>
              </w:rPr>
              <w:t xml:space="preserve">2.5 kg CO₂e per kg</w:t>
            </w:r>
          </w:p>
        </w:tc>
      </w:tr>
      <w:tr>
        <w:tc>
          <w:tcPr>
            <w:tcW w:type="dxa" w:w="2400"/>
            <w:tcMar>
              <w:top w:type="dxa" w:w="80"/>
              <w:left w:type="dxa" w:w="120"/>
              <w:bottom w:type="dxa" w:w="80"/>
              <w:right w:type="dxa" w:w="120"/>
            </w:tcMar>
          </w:tcPr>
          <w:p>
            <w:r>
              <w:rPr>
                <w:sz w:val="18"/>
                <w:szCs w:val="18"/>
              </w:rPr>
              <w:t xml:space="preserve">Per-capita waste (g)</w:t>
            </w:r>
          </w:p>
        </w:tc>
        <w:tc>
          <w:tcPr>
            <w:tcW w:type="dxa" w:w="4200"/>
            <w:tcMar>
              <w:top w:type="dxa" w:w="80"/>
              <w:left w:type="dxa" w:w="120"/>
              <w:bottom w:type="dxa" w:w="80"/>
              <w:right w:type="dxa" w:w="120"/>
            </w:tcMar>
          </w:tcPr>
          <w:p>
            <w:r>
              <w:rPr>
                <w:sz w:val="18"/>
                <w:szCs w:val="18"/>
              </w:rPr>
              <w:t xml:space="preserve">weight_kg × 1000 ÷ residents in scope</w:t>
            </w:r>
          </w:p>
        </w:tc>
        <w:tc>
          <w:tcPr>
            <w:tcW w:type="dxa" w:w="2426"/>
            <w:tcMar>
              <w:top w:type="dxa" w:w="80"/>
              <w:left w:type="dxa" w:w="120"/>
              <w:bottom w:type="dxa" w:w="80"/>
              <w:right w:type="dxa" w:w="120"/>
            </w:tcMar>
          </w:tcPr>
          <w:p>
            <w:r>
              <w:rPr>
                <w:sz w:val="18"/>
                <w:szCs w:val="18"/>
              </w:rPr>
              <w:t xml:space="preserve">450 residents per hostel</w:t>
            </w:r>
          </w:p>
        </w:tc>
      </w:tr>
      <w:tr>
        <w:tc>
          <w:tcPr>
            <w:tcW w:type="dxa" w:w="2400"/>
            <w:shd w:fill="F7FAF8" w:color="auto" w:val="clear"/>
            <w:tcMar>
              <w:top w:type="dxa" w:w="80"/>
              <w:left w:type="dxa" w:w="120"/>
              <w:bottom w:type="dxa" w:w="80"/>
              <w:right w:type="dxa" w:w="120"/>
            </w:tcMar>
          </w:tcPr>
          <w:p>
            <w:r>
              <w:rPr>
                <w:sz w:val="18"/>
                <w:szCs w:val="18"/>
              </w:rPr>
              <w:t xml:space="preserve">Meals equivalent</w:t>
            </w:r>
          </w:p>
        </w:tc>
        <w:tc>
          <w:tcPr>
            <w:tcW w:type="dxa" w:w="4200"/>
            <w:shd w:fill="F7FAF8" w:color="auto" w:val="clear"/>
            <w:tcMar>
              <w:top w:type="dxa" w:w="80"/>
              <w:left w:type="dxa" w:w="120"/>
              <w:bottom w:type="dxa" w:w="80"/>
              <w:right w:type="dxa" w:w="120"/>
            </w:tcMar>
          </w:tcPr>
          <w:p>
            <w:r>
              <w:rPr>
                <w:sz w:val="18"/>
                <w:szCs w:val="18"/>
              </w:rPr>
              <w:t xml:space="preserve">weight_kg ÷ KG_PER_MEAL</w:t>
            </w:r>
          </w:p>
        </w:tc>
        <w:tc>
          <w:tcPr>
            <w:tcW w:type="dxa" w:w="2426"/>
            <w:shd w:fill="F7FAF8" w:color="auto" w:val="clear"/>
            <w:tcMar>
              <w:top w:type="dxa" w:w="80"/>
              <w:left w:type="dxa" w:w="120"/>
              <w:bottom w:type="dxa" w:w="80"/>
              <w:right w:type="dxa" w:w="120"/>
            </w:tcMar>
          </w:tcPr>
          <w:p>
            <w:r>
              <w:rPr>
                <w:sz w:val="18"/>
                <w:szCs w:val="18"/>
              </w:rPr>
              <w:t xml:space="preserve">0.4 kg per meal</w:t>
            </w:r>
          </w:p>
        </w:tc>
      </w:tr>
      <w:tr>
        <w:tc>
          <w:tcPr>
            <w:tcW w:type="dxa" w:w="2400"/>
            <w:tcMar>
              <w:top w:type="dxa" w:w="80"/>
              <w:left w:type="dxa" w:w="120"/>
              <w:bottom w:type="dxa" w:w="80"/>
              <w:right w:type="dxa" w:w="120"/>
            </w:tcMar>
          </w:tcPr>
          <w:p>
            <w:r>
              <w:rPr>
                <w:sz w:val="18"/>
                <w:szCs w:val="18"/>
              </w:rPr>
              <w:t xml:space="preserve">Efficiency score (%)</w:t>
            </w:r>
          </w:p>
        </w:tc>
        <w:tc>
          <w:tcPr>
            <w:tcW w:type="dxa" w:w="4200"/>
            <w:tcMar>
              <w:top w:type="dxa" w:w="80"/>
              <w:left w:type="dxa" w:w="120"/>
              <w:bottom w:type="dxa" w:w="80"/>
              <w:right w:type="dxa" w:w="120"/>
            </w:tcMar>
          </w:tcPr>
          <w:p>
            <w:r>
              <w:rPr>
                <w:sz w:val="18"/>
                <w:szCs w:val="18"/>
              </w:rPr>
              <w:t xml:space="preserve">clamp(100 − per-capita grams ÷ 1.6, 40, 99)</w:t>
            </w:r>
          </w:p>
        </w:tc>
        <w:tc>
          <w:tcPr>
            <w:tcW w:type="dxa" w:w="2426"/>
            <w:tcMar>
              <w:top w:type="dxa" w:w="80"/>
              <w:left w:type="dxa" w:w="120"/>
              <w:bottom w:type="dxa" w:w="80"/>
              <w:right w:type="dxa" w:w="120"/>
            </w:tcMar>
          </w:tcPr>
          <w:p>
            <w:r>
              <w:rPr>
                <w:sz w:val="18"/>
                <w:szCs w:val="18"/>
              </w:rPr>
              <w:t xml:space="preserve">derived</w:t>
            </w:r>
          </w:p>
        </w:tc>
      </w:tr>
      <w:tr>
        <w:tc>
          <w:tcPr>
            <w:tcW w:type="dxa" w:w="2400"/>
            <w:shd w:fill="F7FAF8" w:color="auto" w:val="clear"/>
            <w:tcMar>
              <w:top w:type="dxa" w:w="80"/>
              <w:left w:type="dxa" w:w="120"/>
              <w:bottom w:type="dxa" w:w="80"/>
              <w:right w:type="dxa" w:w="120"/>
            </w:tcMar>
          </w:tcPr>
          <w:p>
            <w:r>
              <w:rPr>
                <w:sz w:val="18"/>
                <w:szCs w:val="18"/>
              </w:rPr>
              <w:t xml:space="preserve">“High waste” flag</w:t>
            </w:r>
          </w:p>
        </w:tc>
        <w:tc>
          <w:tcPr>
            <w:tcW w:type="dxa" w:w="4200"/>
            <w:shd w:fill="F7FAF8" w:color="auto" w:val="clear"/>
            <w:tcMar>
              <w:top w:type="dxa" w:w="80"/>
              <w:left w:type="dxa" w:w="120"/>
              <w:bottom w:type="dxa" w:w="80"/>
              <w:right w:type="dxa" w:w="120"/>
            </w:tcMar>
          </w:tcPr>
          <w:p>
            <w:r>
              <w:rPr>
                <w:sz w:val="18"/>
                <w:szCs w:val="18"/>
              </w:rPr>
              <w:t xml:space="preserve">today &gt; 1.3 × 7-day average</w:t>
            </w:r>
          </w:p>
        </w:tc>
        <w:tc>
          <w:tcPr>
            <w:tcW w:type="dxa" w:w="2426"/>
            <w:shd w:fill="F7FAF8" w:color="auto" w:val="clear"/>
            <w:tcMar>
              <w:top w:type="dxa" w:w="80"/>
              <w:left w:type="dxa" w:w="120"/>
              <w:bottom w:type="dxa" w:w="80"/>
              <w:right w:type="dxa" w:w="120"/>
            </w:tcMar>
          </w:tcPr>
          <w:p>
            <w:r>
              <w:rPr>
                <w:sz w:val="18"/>
                <w:szCs w:val="18"/>
              </w:rPr>
              <w:t xml:space="preserve">derived</w:t>
            </w:r>
          </w:p>
        </w:tc>
      </w:tr>
    </w:tbl>
    <w:p>
      <w:pPr>
        <w:spacing w:after="160"/>
      </w:pPr>
    </w:p>
    <w:p>
      <w:pPr>
        <w:spacing w:after="120" w:line="280"/>
        <w:jc w:val="both"/>
      </w:pPr>
      <w:r>
        <w:rPr>
          <w:b/>
          <w:bCs/>
          <w:i w:val="false"/>
          <w:iCs w:val="false"/>
          <w:color w:val="101828"/>
          <w:sz w:val="21"/>
          <w:szCs w:val="21"/>
        </w:rPr>
        <w:t xml:space="preserve">Interpretation note. </w:t>
      </w:r>
      <w:r>
        <w:rPr>
          <w:b w:val="false"/>
          <w:bCs w:val="false"/>
          <w:i w:val="false"/>
          <w:iCs w:val="false"/>
          <w:color w:val="101828"/>
          <w:sz w:val="21"/>
          <w:szCs w:val="21"/>
        </w:rPr>
        <w:t xml:space="preserve">The monetary and carbon figures are planning estimates produced by a single multiplier, not audited measurements — their purpose is to express waste in units a warden or caterer can act on. The efficiency score is likewise a normalised internal indicator for ranking hostels, not a physical quantity. Only the weight, the timestamp, the hostel and the RSSI are directly measured.</w:t>
      </w:r>
    </w:p>
    <w:p>
      <w:pPr>
        <w:pStyle w:val="Heading2"/>
        <w:spacing w:after="120" w:before="240"/>
      </w:pPr>
      <w:r>
        <w:t xml:space="preserve">8.3 Data integrity</w:t>
      </w:r>
    </w:p>
    <w:p>
      <w:pPr>
        <w:spacing w:after="120" w:line="280"/>
        <w:jc w:val="both"/>
      </w:pPr>
      <w:r>
        <w:rPr>
          <w:b w:val="false"/>
          <w:bCs w:val="false"/>
          <w:i w:val="false"/>
          <w:iCs w:val="false"/>
          <w:color w:val="101828"/>
          <w:sz w:val="21"/>
          <w:szCs w:val="21"/>
        </w:rPr>
        <w:t xml:space="preserve">A miscalibrated or faulty load cell can emit implausible values, and a single wild reading would visibly distort every aggregate on the page. The client therefore discards any reading outside MIN_VALID_KG (0.02 kg) to MAX_VALID_KG (60 kg) before it enters the statistics. This bound is a safety net for sensor faults, not a substitute for calibration.</w:t>
      </w:r>
    </w:p>
    <w:p>
      <w:pPr>
        <w:spacing w:after="120" w:line="280"/>
        <w:jc w:val="both"/>
      </w:pPr>
      <w:r>
        <w:rPr>
          <w:b w:val="false"/>
          <w:bCs w:val="false"/>
          <w:i w:val="false"/>
          <w:iCs w:val="false"/>
          <w:color w:val="101828"/>
          <w:sz w:val="21"/>
          <w:szCs w:val="21"/>
        </w:rPr>
        <w:t xml:space="preserve">A DEMO_FILL switch allows hostels without a physical device to be populated with deterministic simulated data so the full interface can be demonstrated before hardware rollout completes. It is currently set to false, so the dashboard presents real measurements only, and hostels sending genuine data are visually distinguished from simulated ones.</w:t>
      </w:r>
    </w:p>
    <w:p>
      <w:r>
        <w:br w:type="page"/>
      </w:r>
    </w:p>
    <w:p>
      <w:pPr>
        <w:pStyle w:val="Heading1"/>
        <w:spacing w:after="160" w:before="320"/>
      </w:pPr>
      <w:r>
        <w:t xml:space="preserve">9. Security Model</w:t>
      </w:r>
    </w:p>
    <w:p>
      <w:pPr>
        <w:pStyle w:val="Heading2"/>
        <w:spacing w:after="120" w:before="240"/>
      </w:pPr>
      <w:r>
        <w:t xml:space="preserve">9.1 Credential isolation</w:t>
      </w:r>
    </w:p>
    <w:p>
      <w:pPr>
        <w:spacing w:after="120" w:line="280"/>
        <w:jc w:val="both"/>
      </w:pPr>
      <w:r>
        <w:rPr>
          <w:b w:val="false"/>
          <w:bCs w:val="false"/>
          <w:i w:val="false"/>
          <w:iCs w:val="false"/>
          <w:color w:val="101828"/>
          <w:sz w:val="21"/>
          <w:szCs w:val="21"/>
        </w:rPr>
        <w:t xml:space="preserve">The system originally embedded ThingSpeak keys directly in client-side JavaScript, which meant every visitor received working cloud credentials. This was corrected by introducing the backend proxy. All keys now reside in a .env file that is excluded from version control and never served — the static handler explicitly denies dotfiles, so neither .env nor .git is reachable over HTTP. The browser holds no cloud credential of any kind and can only reach ThingSpeak through the server’s narrow API.</w:t>
      </w:r>
    </w:p>
    <w:p>
      <w:pPr>
        <w:pStyle w:val="Heading2"/>
        <w:spacing w:after="120" w:before="240"/>
      </w:pPr>
      <w:r>
        <w:t xml:space="preserve">9.2 Roles and write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26"/>
      </w:tblGrid>
      <w:tr>
        <w:trPr>
          <w:tblHeader/>
        </w:trPr>
        <w:tc>
          <w:tcPr>
            <w:tcW w:type="dxa" w:w="1700"/>
            <w:shd w:fill="16A34A" w:color="auto" w:val="clear"/>
            <w:tcMar>
              <w:top w:type="dxa" w:w="90"/>
              <w:left w:type="dxa" w:w="120"/>
              <w:bottom w:type="dxa" w:w="90"/>
              <w:right w:type="dxa" w:w="120"/>
            </w:tcMar>
          </w:tcPr>
          <w:p>
            <w:r>
              <w:rPr>
                <w:b/>
                <w:bCs/>
                <w:color w:val="FFFFFF"/>
                <w:sz w:val="18"/>
                <w:szCs w:val="18"/>
              </w:rPr>
              <w:t xml:space="preserve">Role</w:t>
            </w:r>
          </w:p>
        </w:tc>
        <w:tc>
          <w:tcPr>
            <w:tcW w:type="dxa" w:w="2900"/>
            <w:shd w:fill="16A34A" w:color="auto" w:val="clear"/>
            <w:tcMar>
              <w:top w:type="dxa" w:w="90"/>
              <w:left w:type="dxa" w:w="120"/>
              <w:bottom w:type="dxa" w:w="90"/>
              <w:right w:type="dxa" w:w="120"/>
            </w:tcMar>
          </w:tcPr>
          <w:p>
            <w:r>
              <w:rPr>
                <w:b/>
                <w:bCs/>
                <w:color w:val="FFFFFF"/>
                <w:sz w:val="18"/>
                <w:szCs w:val="18"/>
              </w:rPr>
              <w:t xml:space="preserve">Verification</w:t>
            </w:r>
          </w:p>
        </w:tc>
        <w:tc>
          <w:tcPr>
            <w:tcW w:type="dxa" w:w="4426"/>
            <w:shd w:fill="16A34A" w:color="auto" w:val="clear"/>
            <w:tcMar>
              <w:top w:type="dxa" w:w="90"/>
              <w:left w:type="dxa" w:w="120"/>
              <w:bottom w:type="dxa" w:w="90"/>
              <w:right w:type="dxa" w:w="120"/>
            </w:tcMar>
          </w:tcPr>
          <w:p>
            <w:r>
              <w:rPr>
                <w:b/>
                <w:bCs/>
                <w:color w:val="FFFFFF"/>
                <w:sz w:val="18"/>
                <w:szCs w:val="18"/>
              </w:rPr>
              <w:t xml:space="preserve">Capabilities</w:t>
            </w:r>
          </w:p>
        </w:tc>
      </w:tr>
      <w:tr>
        <w:tc>
          <w:tcPr>
            <w:tcW w:type="dxa" w:w="1700"/>
            <w:tcMar>
              <w:top w:type="dxa" w:w="80"/>
              <w:left w:type="dxa" w:w="120"/>
              <w:bottom w:type="dxa" w:w="80"/>
              <w:right w:type="dxa" w:w="120"/>
            </w:tcMar>
          </w:tcPr>
          <w:p>
            <w:r>
              <w:rPr>
                <w:sz w:val="18"/>
                <w:szCs w:val="18"/>
              </w:rPr>
              <w:t xml:space="preserve">Administrator</w:t>
            </w:r>
          </w:p>
        </w:tc>
        <w:tc>
          <w:tcPr>
            <w:tcW w:type="dxa" w:w="2900"/>
            <w:tcMar>
              <w:top w:type="dxa" w:w="80"/>
              <w:left w:type="dxa" w:w="120"/>
              <w:bottom w:type="dxa" w:w="80"/>
              <w:right w:type="dxa" w:w="120"/>
            </w:tcMar>
          </w:tcPr>
          <w:p>
            <w:r>
              <w:rPr>
                <w:sz w:val="18"/>
                <w:szCs w:val="18"/>
              </w:rPr>
              <w:t xml:space="preserve">Server-side (/api/login against .env)</w:t>
            </w:r>
          </w:p>
        </w:tc>
        <w:tc>
          <w:tcPr>
            <w:tcW w:type="dxa" w:w="4426"/>
            <w:tcMar>
              <w:top w:type="dxa" w:w="80"/>
              <w:left w:type="dxa" w:w="120"/>
              <w:bottom w:type="dxa" w:w="80"/>
              <w:right w:type="dxa" w:w="120"/>
            </w:tcMar>
          </w:tcPr>
          <w:p>
            <w:r>
              <w:rPr>
                <w:sz w:val="18"/>
                <w:szCs w:val="18"/>
              </w:rPr>
              <w:t xml:space="preserve">Full dashboard, device monitor, alerts, recommendations, CSV export, manual logging, data reset</w:t>
            </w:r>
          </w:p>
        </w:tc>
      </w:tr>
      <w:tr>
        <w:tc>
          <w:tcPr>
            <w:tcW w:type="dxa" w:w="1700"/>
            <w:shd w:fill="F7FAF8" w:color="auto" w:val="clear"/>
            <w:tcMar>
              <w:top w:type="dxa" w:w="80"/>
              <w:left w:type="dxa" w:w="120"/>
              <w:bottom w:type="dxa" w:w="80"/>
              <w:right w:type="dxa" w:w="120"/>
            </w:tcMar>
          </w:tcPr>
          <w:p>
            <w:r>
              <w:rPr>
                <w:sz w:val="18"/>
                <w:szCs w:val="18"/>
              </w:rPr>
              <w:t xml:space="preserve">Viewer</w:t>
            </w:r>
          </w:p>
        </w:tc>
        <w:tc>
          <w:tcPr>
            <w:tcW w:type="dxa" w:w="2900"/>
            <w:shd w:fill="F7FAF8" w:color="auto" w:val="clear"/>
            <w:tcMar>
              <w:top w:type="dxa" w:w="80"/>
              <w:left w:type="dxa" w:w="120"/>
              <w:bottom w:type="dxa" w:w="80"/>
              <w:right w:type="dxa" w:w="120"/>
            </w:tcMar>
          </w:tcPr>
          <w:p>
            <w:r>
              <w:rPr>
                <w:sz w:val="18"/>
                <w:szCs w:val="18"/>
              </w:rPr>
              <w:t xml:space="preserve">Client-side (read-only account)</w:t>
            </w:r>
          </w:p>
        </w:tc>
        <w:tc>
          <w:tcPr>
            <w:tcW w:type="dxa" w:w="4426"/>
            <w:shd w:fill="F7FAF8" w:color="auto" w:val="clear"/>
            <w:tcMar>
              <w:top w:type="dxa" w:w="80"/>
              <w:left w:type="dxa" w:w="120"/>
              <w:bottom w:type="dxa" w:w="80"/>
              <w:right w:type="dxa" w:w="120"/>
            </w:tcMar>
          </w:tcPr>
          <w:p>
            <w:r>
              <w:rPr>
                <w:sz w:val="18"/>
                <w:szCs w:val="18"/>
              </w:rPr>
              <w:t xml:space="preserve">Simplified read-only dashboard: KPIs, trend, meal split, insights, hostel rails</w:t>
            </w:r>
          </w:p>
        </w:tc>
      </w:tr>
    </w:tbl>
    <w:p>
      <w:pPr>
        <w:spacing w:after="160"/>
      </w:pPr>
    </w:p>
    <w:p>
      <w:pPr>
        <w:spacing w:after="120" w:line="280"/>
        <w:jc w:val="both"/>
      </w:pPr>
      <w:r>
        <w:rPr>
          <w:b w:val="false"/>
          <w:bCs w:val="false"/>
          <w:i w:val="false"/>
          <w:iCs w:val="false"/>
          <w:color w:val="101828"/>
          <w:sz w:val="21"/>
          <w:szCs w:val="21"/>
        </w:rPr>
        <w:t xml:space="preserve">Privileged actions are enforced on the server, not merely hidden in the interface. /api/reading and /api/reset are wrapped in a requireAdmin middleware that demands a valid token in the x-admin-token header and returns HTTP 403 otherwise. This was verified by calling the write endpoint directly with no token and as a signed-in viewer; both were rejected by the server. Hiding a button is a usability measure — the middleware is the actual control.</w:t>
      </w:r>
    </w:p>
    <w:p>
      <w:pPr>
        <w:pStyle w:val="Heading2"/>
        <w:spacing w:after="120" w:before="240"/>
      </w:pPr>
      <w:r>
        <w:t xml:space="preserve">9.3 Open issues (honest assessment)</w:t>
      </w:r>
    </w:p>
    <w:p>
      <w:pPr>
        <w:spacing w:after="120" w:line="280"/>
        <w:jc w:val="both"/>
      </w:pPr>
      <w:r>
        <w:rPr>
          <w:b/>
          <w:bCs/>
          <w:i w:val="false"/>
          <w:iCs w:val="false"/>
          <w:color w:val="C0392B"/>
          <w:sz w:val="21"/>
          <w:szCs w:val="21"/>
        </w:rPr>
        <w:t xml:space="preserve">The following are genuine weaknesses in the current build and should be resolved before any public or production deployment.</w:t>
      </w:r>
    </w:p>
    <w:p>
      <w:pPr>
        <w:pStyle w:val="ListParagraph"/>
        <w:numPr>
          <w:ilvl w:val="0"/>
          <w:numId w:val="2"/>
        </w:numPr>
        <w:spacing w:after="80" w:line="280"/>
      </w:pPr>
      <w:r>
        <w:rPr>
          <w:color w:val="101828"/>
          <w:sz w:val="21"/>
          <w:szCs w:val="21"/>
        </w:rPr>
        <w:t xml:space="preserve">Admin credentials in client configuration. To make login work on the hosted deployment without server environment variables, an admin entry — including the password and an admin token — was reintroduced into config.js, which ships to every browser. The committed copy currently carries a placeholder token ("demo-token"), so the live secret is not yet public, but the admin password is, and the working copy now contains the real token. Committing it in this state would publish a credential that grants write and reset access.</w:t>
      </w:r>
    </w:p>
    <w:p>
      <w:pPr>
        <w:pStyle w:val="ListParagraph"/>
        <w:numPr>
          <w:ilvl w:val="0"/>
          <w:numId w:val="2"/>
        </w:numPr>
        <w:spacing w:after="80" w:line="280"/>
      </w:pPr>
      <w:r>
        <w:rPr>
          <w:color w:val="101828"/>
          <w:sz w:val="21"/>
          <w:szCs w:val="21"/>
        </w:rPr>
        <w:t xml:space="preserve">Credential history. Cloud keys were committed early in development. The repository history was subsequently rewritten with git filter-repo to purge them, but keys that were ever public should be considered compromised and regenerated on ThingSpeak.</w:t>
      </w:r>
    </w:p>
    <w:p>
      <w:pPr>
        <w:pStyle w:val="ListParagraph"/>
        <w:numPr>
          <w:ilvl w:val="0"/>
          <w:numId w:val="2"/>
        </w:numPr>
        <w:spacing w:after="80" w:line="280"/>
      </w:pPr>
      <w:r>
        <w:rPr>
          <w:color w:val="101828"/>
          <w:sz w:val="21"/>
          <w:szCs w:val="21"/>
        </w:rPr>
        <w:t xml:space="preserve">Static shared token. The admin token is a fixed secret rather than a per-session, expiring credential. It cannot be revoked individually or timed out.</w:t>
      </w:r>
    </w:p>
    <w:p>
      <w:pPr>
        <w:pStyle w:val="ListParagraph"/>
        <w:numPr>
          <w:ilvl w:val="0"/>
          <w:numId w:val="2"/>
        </w:numPr>
        <w:spacing w:after="80" w:line="280"/>
      </w:pPr>
      <w:r>
        <w:rPr>
          <w:color w:val="101828"/>
          <w:sz w:val="21"/>
          <w:szCs w:val="21"/>
        </w:rPr>
        <w:t xml:space="preserve">Viewer authentication is cosmetic. The viewer account is checked in the browser and protects nothing; read endpoints are unauthenticated by design.</w:t>
      </w:r>
    </w:p>
    <w:p>
      <w:pPr>
        <w:spacing w:after="80"/>
      </w:pPr>
    </w:p>
    <w:p>
      <w:pPr>
        <w:spacing w:after="120" w:line="280"/>
        <w:jc w:val="both"/>
      </w:pPr>
      <w:r>
        <w:rPr>
          <w:b/>
          <w:bCs/>
          <w:i w:val="false"/>
          <w:iCs w:val="false"/>
          <w:color w:val="101828"/>
          <w:sz w:val="21"/>
          <w:szCs w:val="21"/>
        </w:rPr>
        <w:t xml:space="preserve">Recommended remediation: </w:t>
      </w:r>
      <w:r>
        <w:rPr>
          <w:b w:val="false"/>
          <w:bCs w:val="false"/>
          <w:i w:val="false"/>
          <w:iCs w:val="false"/>
          <w:color w:val="101828"/>
          <w:sz w:val="21"/>
          <w:szCs w:val="21"/>
        </w:rPr>
        <w:t xml:space="preserve">remove the admin password and token from config.js and restore server-only verification by configuring ADMIN_USER, ADMIN_PASS and ADMIN_TOKEN as environment variables in the hosting platform; regenerate every ThingSpeak key; and, for production, replace the static token with signed, expiring sessions.</w:t>
      </w:r>
    </w:p>
    <w:p>
      <w:pPr>
        <w:pStyle w:val="Heading1"/>
        <w:spacing w:after="160" w:before="320"/>
      </w:pPr>
      <w:r>
        <w:t xml:space="preserve">10. Deployment and Operation</w:t>
      </w:r>
    </w:p>
    <w:p>
      <w:pPr>
        <w:pStyle w:val="Heading2"/>
        <w:spacing w:after="120" w:before="240"/>
      </w:pPr>
      <w:r>
        <w:t xml:space="preserve">10.1 Running locally</w:t>
      </w:r>
    </w:p>
    <w:p>
      <w:pPr>
        <w:shd w:fill="F4F6F8" w:color="auto" w:val="clear"/>
        <w:spacing w:after="0" w:line="240"/>
      </w:pPr>
      <w:r>
        <w:rPr>
          <w:rFonts w:ascii="Consolas" w:cs="Consolas" w:eastAsia="Consolas" w:hAnsi="Consolas"/>
          <w:color w:val="243B53"/>
          <w:sz w:val="16"/>
          <w:szCs w:val="16"/>
        </w:rPr>
        <w:t xml:space="preserve">  cd "TIH IOT Project"</w:t>
      </w:r>
    </w:p>
    <w:p>
      <w:pPr>
        <w:shd w:fill="F4F6F8" w:color="auto" w:val="clear"/>
        <w:spacing w:after="0" w:line="240"/>
      </w:pPr>
      <w:r>
        <w:rPr>
          <w:rFonts w:ascii="Consolas" w:cs="Consolas" w:eastAsia="Consolas" w:hAnsi="Consolas"/>
          <w:color w:val="243B53"/>
          <w:sz w:val="16"/>
          <w:szCs w:val="16"/>
        </w:rPr>
        <w:t xml:space="preserve">  cp .env.example .env      # then fill in ThingSpeak keys + admin credentials</w:t>
      </w:r>
    </w:p>
    <w:p>
      <w:pPr>
        <w:shd w:fill="F4F6F8" w:color="auto" w:val="clear"/>
        <w:spacing w:after="0" w:line="240"/>
      </w:pPr>
      <w:r>
        <w:rPr>
          <w:rFonts w:ascii="Consolas" w:cs="Consolas" w:eastAsia="Consolas" w:hAnsi="Consolas"/>
          <w:color w:val="243B53"/>
          <w:sz w:val="16"/>
          <w:szCs w:val="16"/>
        </w:rPr>
        <w:t xml:space="preserve">  npm install               # express, dotenv</w:t>
      </w:r>
    </w:p>
    <w:p>
      <w:pPr>
        <w:shd w:fill="F4F6F8" w:color="auto" w:val="clear"/>
        <w:spacing w:after="0" w:line="240"/>
      </w:pPr>
      <w:r>
        <w:rPr>
          <w:rFonts w:ascii="Consolas" w:cs="Consolas" w:eastAsia="Consolas" w:hAnsi="Consolas"/>
          <w:color w:val="243B53"/>
          <w:sz w:val="16"/>
          <w:szCs w:val="16"/>
        </w:rPr>
        <w:t xml:space="preserve">  npm start                 # → http://localhost:3000</w:t>
      </w:r>
    </w:p>
    <w:p>
      <w:pPr>
        <w:spacing w:after="160"/>
      </w:pPr>
    </w:p>
    <w:p>
      <w:pPr>
        <w:pStyle w:val="Heading2"/>
        <w:spacing w:after="120" w:before="240"/>
      </w:pPr>
      <w:r>
        <w:t xml:space="preserve">10.2 Hosting</w:t>
      </w:r>
    </w:p>
    <w:p>
      <w:pPr>
        <w:spacing w:after="120" w:line="280"/>
        <w:jc w:val="both"/>
      </w:pPr>
      <w:r>
        <w:rPr>
          <w:b w:val="false"/>
          <w:bCs w:val="false"/>
          <w:i w:val="false"/>
          <w:iCs w:val="false"/>
          <w:color w:val="101828"/>
          <w:sz w:val="21"/>
          <w:szCs w:val="21"/>
        </w:rPr>
        <w:t xml:space="preserve">The server exports the Express app and only binds a port when executed directly, which allows the same file to run as a long-lived Node process locally and as a serverless function on Vercel (configured in vercel.json). Because credentials live in the environment rather than the repository, every deployment target must define them independently — the absence of these variables is the usual cause of a deployed instance returning HTTP 500 from /api/feeds while the local instance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shd w:fill="16A34A" w:color="auto" w:val="clear"/>
            <w:tcMar>
              <w:top w:type="dxa" w:w="90"/>
              <w:left w:type="dxa" w:w="120"/>
              <w:bottom w:type="dxa" w:w="90"/>
              <w:right w:type="dxa" w:w="120"/>
            </w:tcMar>
          </w:tcPr>
          <w:p>
            <w:r>
              <w:rPr>
                <w:b/>
                <w:bCs/>
                <w:color w:val="FFFFFF"/>
                <w:sz w:val="18"/>
                <w:szCs w:val="18"/>
              </w:rPr>
              <w:t xml:space="preserve">Variable</w:t>
            </w:r>
          </w:p>
        </w:tc>
        <w:tc>
          <w:tcPr>
            <w:tcW w:type="dxa" w:w="4200"/>
            <w:shd w:fill="16A34A" w:color="auto" w:val="clear"/>
            <w:tcMar>
              <w:top w:type="dxa" w:w="90"/>
              <w:left w:type="dxa" w:w="120"/>
              <w:bottom w:type="dxa" w:w="90"/>
              <w:right w:type="dxa" w:w="120"/>
            </w:tcMar>
          </w:tcPr>
          <w:p>
            <w:r>
              <w:rPr>
                <w:b/>
                <w:bCs/>
                <w:color w:val="FFFFFF"/>
                <w:sz w:val="18"/>
                <w:szCs w:val="18"/>
              </w:rPr>
              <w:t xml:space="preserve">Purpose</w:t>
            </w:r>
          </w:p>
        </w:tc>
        <w:tc>
          <w:tcPr>
            <w:tcW w:type="dxa" w:w="2226"/>
            <w:shd w:fill="16A34A" w:color="auto" w:val="clear"/>
            <w:tcMar>
              <w:top w:type="dxa" w:w="90"/>
              <w:left w:type="dxa" w:w="120"/>
              <w:bottom w:type="dxa" w:w="90"/>
              <w:right w:type="dxa" w:w="120"/>
            </w:tcMar>
          </w:tcPr>
          <w:p>
            <w:r>
              <w:rPr>
                <w:b/>
                <w:bCs/>
                <w:color w:val="FFFFFF"/>
                <w:sz w:val="18"/>
                <w:szCs w:val="18"/>
              </w:rPr>
              <w:t xml:space="preserve">Required</w:t>
            </w:r>
          </w:p>
        </w:tc>
      </w:tr>
      <w:tr>
        <w:tc>
          <w:tcPr>
            <w:tcW w:type="dxa" w:w="2600"/>
            <w:tcMar>
              <w:top w:type="dxa" w:w="80"/>
              <w:left w:type="dxa" w:w="120"/>
              <w:bottom w:type="dxa" w:w="80"/>
              <w:right w:type="dxa" w:w="120"/>
            </w:tcMar>
          </w:tcPr>
          <w:p>
            <w:r>
              <w:rPr>
                <w:sz w:val="18"/>
                <w:szCs w:val="18"/>
              </w:rPr>
              <w:t xml:space="preserve">TS_CHANNEL_1..4_ID</w:t>
            </w:r>
          </w:p>
        </w:tc>
        <w:tc>
          <w:tcPr>
            <w:tcW w:type="dxa" w:w="4200"/>
            <w:tcMar>
              <w:top w:type="dxa" w:w="80"/>
              <w:left w:type="dxa" w:w="120"/>
              <w:bottom w:type="dxa" w:w="80"/>
              <w:right w:type="dxa" w:w="120"/>
            </w:tcMar>
          </w:tcPr>
          <w:p>
            <w:r>
              <w:rPr>
                <w:sz w:val="18"/>
                <w:szCs w:val="18"/>
              </w:rPr>
              <w:t xml:space="preserve">ThingSpeak channel identifiers</w:t>
            </w:r>
          </w:p>
        </w:tc>
        <w:tc>
          <w:tcPr>
            <w:tcW w:type="dxa" w:w="2226"/>
            <w:tcMar>
              <w:top w:type="dxa" w:w="80"/>
              <w:left w:type="dxa" w:w="120"/>
              <w:bottom w:type="dxa" w:w="80"/>
              <w:right w:type="dxa" w:w="120"/>
            </w:tcMar>
          </w:tcPr>
          <w:p>
            <w:r>
              <w:rPr>
                <w:sz w:val="18"/>
                <w:szCs w:val="18"/>
              </w:rPr>
              <w:t xml:space="preserve">Yes (multi-channel)</w:t>
            </w:r>
          </w:p>
        </w:tc>
      </w:tr>
      <w:tr>
        <w:tc>
          <w:tcPr>
            <w:tcW w:type="dxa" w:w="2600"/>
            <w:shd w:fill="F7FAF8" w:color="auto" w:val="clear"/>
            <w:tcMar>
              <w:top w:type="dxa" w:w="80"/>
              <w:left w:type="dxa" w:w="120"/>
              <w:bottom w:type="dxa" w:w="80"/>
              <w:right w:type="dxa" w:w="120"/>
            </w:tcMar>
          </w:tcPr>
          <w:p>
            <w:r>
              <w:rPr>
                <w:sz w:val="18"/>
                <w:szCs w:val="18"/>
              </w:rPr>
              <w:t xml:space="preserve">TS_READ_KEY_1..4</w:t>
            </w:r>
          </w:p>
        </w:tc>
        <w:tc>
          <w:tcPr>
            <w:tcW w:type="dxa" w:w="4200"/>
            <w:shd w:fill="F7FAF8" w:color="auto" w:val="clear"/>
            <w:tcMar>
              <w:top w:type="dxa" w:w="80"/>
              <w:left w:type="dxa" w:w="120"/>
              <w:bottom w:type="dxa" w:w="80"/>
              <w:right w:type="dxa" w:w="120"/>
            </w:tcMar>
          </w:tcPr>
          <w:p>
            <w:r>
              <w:rPr>
                <w:sz w:val="18"/>
                <w:szCs w:val="18"/>
              </w:rPr>
              <w:t xml:space="preserve">Per-channel read keys</w:t>
            </w:r>
          </w:p>
        </w:tc>
        <w:tc>
          <w:tcPr>
            <w:tcW w:type="dxa" w:w="2226"/>
            <w:shd w:fill="F7FAF8" w:color="auto" w:val="clear"/>
            <w:tcMar>
              <w:top w:type="dxa" w:w="80"/>
              <w:left w:type="dxa" w:w="120"/>
              <w:bottom w:type="dxa" w:w="80"/>
              <w:right w:type="dxa" w:w="120"/>
            </w:tcMar>
          </w:tcPr>
          <w:p>
            <w:r>
              <w:rPr>
                <w:sz w:val="18"/>
                <w:szCs w:val="18"/>
              </w:rPr>
              <w:t xml:space="preserve">Yes</w:t>
            </w:r>
          </w:p>
        </w:tc>
      </w:tr>
      <w:tr>
        <w:tc>
          <w:tcPr>
            <w:tcW w:type="dxa" w:w="2600"/>
            <w:tcMar>
              <w:top w:type="dxa" w:w="80"/>
              <w:left w:type="dxa" w:w="120"/>
              <w:bottom w:type="dxa" w:w="80"/>
              <w:right w:type="dxa" w:w="120"/>
            </w:tcMar>
          </w:tcPr>
          <w:p>
            <w:r>
              <w:rPr>
                <w:sz w:val="18"/>
                <w:szCs w:val="18"/>
              </w:rPr>
              <w:t xml:space="preserve">TS_WRITE_KEY_1..4</w:t>
            </w:r>
          </w:p>
        </w:tc>
        <w:tc>
          <w:tcPr>
            <w:tcW w:type="dxa" w:w="4200"/>
            <w:tcMar>
              <w:top w:type="dxa" w:w="80"/>
              <w:left w:type="dxa" w:w="120"/>
              <w:bottom w:type="dxa" w:w="80"/>
              <w:right w:type="dxa" w:w="120"/>
            </w:tcMar>
          </w:tcPr>
          <w:p>
            <w:r>
              <w:rPr>
                <w:sz w:val="18"/>
                <w:szCs w:val="18"/>
              </w:rPr>
              <w:t xml:space="preserve">Per-channel write keys</w:t>
            </w:r>
          </w:p>
        </w:tc>
        <w:tc>
          <w:tcPr>
            <w:tcW w:type="dxa" w:w="2226"/>
            <w:tcMar>
              <w:top w:type="dxa" w:w="80"/>
              <w:left w:type="dxa" w:w="120"/>
              <w:bottom w:type="dxa" w:w="80"/>
              <w:right w:type="dxa" w:w="120"/>
            </w:tcMar>
          </w:tcPr>
          <w:p>
            <w:r>
              <w:rPr>
                <w:sz w:val="18"/>
                <w:szCs w:val="18"/>
              </w:rPr>
              <w:t xml:space="preserve">For manual logging</w:t>
            </w:r>
          </w:p>
        </w:tc>
      </w:tr>
      <w:tr>
        <w:tc>
          <w:tcPr>
            <w:tcW w:type="dxa" w:w="2600"/>
            <w:shd w:fill="F7FAF8" w:color="auto" w:val="clear"/>
            <w:tcMar>
              <w:top w:type="dxa" w:w="80"/>
              <w:left w:type="dxa" w:w="120"/>
              <w:bottom w:type="dxa" w:w="80"/>
              <w:right w:type="dxa" w:w="120"/>
            </w:tcMar>
          </w:tcPr>
          <w:p>
            <w:r>
              <w:rPr>
                <w:sz w:val="18"/>
                <w:szCs w:val="18"/>
              </w:rPr>
              <w:t xml:space="preserve">ADMIN_USER / ADMIN_PASS</w:t>
            </w:r>
          </w:p>
        </w:tc>
        <w:tc>
          <w:tcPr>
            <w:tcW w:type="dxa" w:w="4200"/>
            <w:shd w:fill="F7FAF8" w:color="auto" w:val="clear"/>
            <w:tcMar>
              <w:top w:type="dxa" w:w="80"/>
              <w:left w:type="dxa" w:w="120"/>
              <w:bottom w:type="dxa" w:w="80"/>
              <w:right w:type="dxa" w:w="120"/>
            </w:tcMar>
          </w:tcPr>
          <w:p>
            <w:r>
              <w:rPr>
                <w:sz w:val="18"/>
                <w:szCs w:val="18"/>
              </w:rPr>
              <w:t xml:space="preserve">Admin credentials, verified server-side</w:t>
            </w:r>
          </w:p>
        </w:tc>
        <w:tc>
          <w:tcPr>
            <w:tcW w:type="dxa" w:w="2226"/>
            <w:shd w:fill="F7FAF8" w:color="auto" w:val="clear"/>
            <w:tcMar>
              <w:top w:type="dxa" w:w="80"/>
              <w:left w:type="dxa" w:w="120"/>
              <w:bottom w:type="dxa" w:w="80"/>
              <w:right w:type="dxa" w:w="120"/>
            </w:tcMar>
          </w:tcPr>
          <w:p>
            <w:r>
              <w:rPr>
                <w:sz w:val="18"/>
                <w:szCs w:val="18"/>
              </w:rPr>
              <w:t xml:space="preserve">For admin login</w:t>
            </w:r>
          </w:p>
        </w:tc>
      </w:tr>
      <w:tr>
        <w:tc>
          <w:tcPr>
            <w:tcW w:type="dxa" w:w="2600"/>
            <w:tcMar>
              <w:top w:type="dxa" w:w="80"/>
              <w:left w:type="dxa" w:w="120"/>
              <w:bottom w:type="dxa" w:w="80"/>
              <w:right w:type="dxa" w:w="120"/>
            </w:tcMar>
          </w:tcPr>
          <w:p>
            <w:r>
              <w:rPr>
                <w:sz w:val="18"/>
                <w:szCs w:val="18"/>
              </w:rPr>
              <w:t xml:space="preserve">ADMIN_TOKEN</w:t>
            </w:r>
          </w:p>
        </w:tc>
        <w:tc>
          <w:tcPr>
            <w:tcW w:type="dxa" w:w="4200"/>
            <w:tcMar>
              <w:top w:type="dxa" w:w="80"/>
              <w:left w:type="dxa" w:w="120"/>
              <w:bottom w:type="dxa" w:w="80"/>
              <w:right w:type="dxa" w:w="120"/>
            </w:tcMar>
          </w:tcPr>
          <w:p>
            <w:r>
              <w:rPr>
                <w:sz w:val="18"/>
                <w:szCs w:val="18"/>
              </w:rPr>
              <w:t xml:space="preserve">Secret required by write endpoints</w:t>
            </w:r>
          </w:p>
        </w:tc>
        <w:tc>
          <w:tcPr>
            <w:tcW w:type="dxa" w:w="2226"/>
            <w:tcMar>
              <w:top w:type="dxa" w:w="80"/>
              <w:left w:type="dxa" w:w="120"/>
              <w:bottom w:type="dxa" w:w="80"/>
              <w:right w:type="dxa" w:w="120"/>
            </w:tcMar>
          </w:tcPr>
          <w:p>
            <w:r>
              <w:rPr>
                <w:sz w:val="18"/>
                <w:szCs w:val="18"/>
              </w:rPr>
              <w:t xml:space="preserve">For admin actions</w:t>
            </w:r>
          </w:p>
        </w:tc>
      </w:tr>
      <w:tr>
        <w:tc>
          <w:tcPr>
            <w:tcW w:type="dxa" w:w="2600"/>
            <w:shd w:fill="F7FAF8" w:color="auto" w:val="clear"/>
            <w:tcMar>
              <w:top w:type="dxa" w:w="80"/>
              <w:left w:type="dxa" w:w="120"/>
              <w:bottom w:type="dxa" w:w="80"/>
              <w:right w:type="dxa" w:w="120"/>
            </w:tcMar>
          </w:tcPr>
          <w:p>
            <w:r>
              <w:rPr>
                <w:sz w:val="18"/>
                <w:szCs w:val="18"/>
              </w:rPr>
              <w:t xml:space="preserve">TS_USER_API_KEY</w:t>
            </w:r>
          </w:p>
        </w:tc>
        <w:tc>
          <w:tcPr>
            <w:tcW w:type="dxa" w:w="4200"/>
            <w:shd w:fill="F7FAF8" w:color="auto" w:val="clear"/>
            <w:tcMar>
              <w:top w:type="dxa" w:w="80"/>
              <w:left w:type="dxa" w:w="120"/>
              <w:bottom w:type="dxa" w:w="80"/>
              <w:right w:type="dxa" w:w="120"/>
            </w:tcMar>
          </w:tcPr>
          <w:p>
            <w:r>
              <w:rPr>
                <w:sz w:val="18"/>
                <w:szCs w:val="18"/>
              </w:rPr>
              <w:t xml:space="preserve">Account key enabling a hard channel wipe</w:t>
            </w:r>
          </w:p>
        </w:tc>
        <w:tc>
          <w:tcPr>
            <w:tcW w:type="dxa" w:w="2226"/>
            <w:shd w:fill="F7FAF8" w:color="auto" w:val="clear"/>
            <w:tcMar>
              <w:top w:type="dxa" w:w="80"/>
              <w:left w:type="dxa" w:w="120"/>
              <w:bottom w:type="dxa" w:w="80"/>
              <w:right w:type="dxa" w:w="120"/>
            </w:tcMar>
          </w:tcPr>
          <w:p>
            <w:r>
              <w:rPr>
                <w:sz w:val="18"/>
                <w:szCs w:val="18"/>
              </w:rPr>
              <w:t xml:space="preserve">Optional</w:t>
            </w:r>
          </w:p>
        </w:tc>
      </w:tr>
    </w:tbl>
    <w:p>
      <w:r>
        <w:br w:type="page"/>
      </w:r>
    </w:p>
    <w:p>
      <w:pPr>
        <w:pStyle w:val="Heading1"/>
        <w:spacing w:after="160" w:before="320"/>
      </w:pPr>
      <w:r>
        <w:t xml:space="preserve">11. Verification and Results</w:t>
      </w:r>
    </w:p>
    <w:p>
      <w:pPr>
        <w:spacing w:after="120" w:line="280"/>
        <w:jc w:val="both"/>
      </w:pPr>
      <w:r>
        <w:rPr>
          <w:b w:val="false"/>
          <w:bCs w:val="false"/>
          <w:i w:val="false"/>
          <w:iCs w:val="false"/>
          <w:color w:val="101828"/>
          <w:sz w:val="21"/>
          <w:szCs w:val="21"/>
        </w:rPr>
        <w:t xml:space="preserve">The following behaviours were exercised directly against the running system rather than assumed: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tblHeader/>
        </w:trPr>
        <w:tc>
          <w:tcPr>
            <w:tcW w:type="dxa" w:w="2100"/>
            <w:shd w:fill="16A34A" w:color="auto" w:val="clear"/>
            <w:tcMar>
              <w:top w:type="dxa" w:w="90"/>
              <w:left w:type="dxa" w:w="120"/>
              <w:bottom w:type="dxa" w:w="90"/>
              <w:right w:type="dxa" w:w="120"/>
            </w:tcMar>
          </w:tcPr>
          <w:p>
            <w:r>
              <w:rPr>
                <w:b/>
                <w:bCs/>
                <w:color w:val="FFFFFF"/>
                <w:sz w:val="18"/>
                <w:szCs w:val="18"/>
              </w:rPr>
              <w:t xml:space="preserve">Test</w:t>
            </w:r>
          </w:p>
        </w:tc>
        <w:tc>
          <w:tcPr>
            <w:tcW w:type="dxa" w:w="3700"/>
            <w:shd w:fill="16A34A" w:color="auto" w:val="clear"/>
            <w:tcMar>
              <w:top w:type="dxa" w:w="90"/>
              <w:left w:type="dxa" w:w="120"/>
              <w:bottom w:type="dxa" w:w="90"/>
              <w:right w:type="dxa" w:w="120"/>
            </w:tcMar>
          </w:tcPr>
          <w:p>
            <w:r>
              <w:rPr>
                <w:b/>
                <w:bCs/>
                <w:color w:val="FFFFFF"/>
                <w:sz w:val="18"/>
                <w:szCs w:val="18"/>
              </w:rPr>
              <w:t xml:space="preserve">Method</w:t>
            </w:r>
          </w:p>
        </w:tc>
        <w:tc>
          <w:tcPr>
            <w:tcW w:type="dxa" w:w="3226"/>
            <w:shd w:fill="16A34A" w:color="auto" w:val="clear"/>
            <w:tcMar>
              <w:top w:type="dxa" w:w="90"/>
              <w:left w:type="dxa" w:w="120"/>
              <w:bottom w:type="dxa" w:w="90"/>
              <w:right w:type="dxa" w:w="120"/>
            </w:tcMar>
          </w:tcPr>
          <w:p>
            <w:r>
              <w:rPr>
                <w:b/>
                <w:bCs/>
                <w:color w:val="FFFFFF"/>
                <w:sz w:val="18"/>
                <w:szCs w:val="18"/>
              </w:rPr>
              <w:t xml:space="preserve">Result</w:t>
            </w:r>
          </w:p>
        </w:tc>
      </w:tr>
      <w:tr>
        <w:tc>
          <w:tcPr>
            <w:tcW w:type="dxa" w:w="2100"/>
            <w:tcMar>
              <w:top w:type="dxa" w:w="80"/>
              <w:left w:type="dxa" w:w="120"/>
              <w:bottom w:type="dxa" w:w="80"/>
              <w:right w:type="dxa" w:w="120"/>
            </w:tcMar>
          </w:tcPr>
          <w:p>
            <w:r>
              <w:rPr>
                <w:sz w:val="18"/>
                <w:szCs w:val="18"/>
              </w:rPr>
              <w:t xml:space="preserve">End-to-end data path</w:t>
            </w:r>
          </w:p>
        </w:tc>
        <w:tc>
          <w:tcPr>
            <w:tcW w:type="dxa" w:w="3700"/>
            <w:tcMar>
              <w:top w:type="dxa" w:w="80"/>
              <w:left w:type="dxa" w:w="120"/>
              <w:bottom w:type="dxa" w:w="80"/>
              <w:right w:type="dxa" w:w="120"/>
            </w:tcMar>
          </w:tcPr>
          <w:p>
            <w:r>
              <w:rPr>
                <w:sz w:val="18"/>
                <w:szCs w:val="18"/>
              </w:rPr>
              <w:t xml:space="preserve">Device-style write to ThingSpeak, then read back through /api/feeds</w:t>
            </w:r>
          </w:p>
        </w:tc>
        <w:tc>
          <w:tcPr>
            <w:tcW w:type="dxa" w:w="3226"/>
            <w:tcMar>
              <w:top w:type="dxa" w:w="80"/>
              <w:left w:type="dxa" w:w="120"/>
              <w:bottom w:type="dxa" w:w="80"/>
              <w:right w:type="dxa" w:w="120"/>
            </w:tcMar>
          </w:tcPr>
          <w:p>
            <w:r>
              <w:rPr>
                <w:sz w:val="18"/>
                <w:szCs w:val="18"/>
              </w:rPr>
              <w:t xml:space="preserve">Weight, hostel and RSSI returned intact and rendered</w:t>
            </w:r>
          </w:p>
        </w:tc>
      </w:tr>
      <w:tr>
        <w:tc>
          <w:tcPr>
            <w:tcW w:type="dxa" w:w="2100"/>
            <w:shd w:fill="F7FAF8" w:color="auto" w:val="clear"/>
            <w:tcMar>
              <w:top w:type="dxa" w:w="80"/>
              <w:left w:type="dxa" w:w="120"/>
              <w:bottom w:type="dxa" w:w="80"/>
              <w:right w:type="dxa" w:w="120"/>
            </w:tcMar>
          </w:tcPr>
          <w:p>
            <w:r>
              <w:rPr>
                <w:sz w:val="18"/>
                <w:szCs w:val="18"/>
              </w:rPr>
              <w:t xml:space="preserve">Multi-channel aggregation</w:t>
            </w:r>
          </w:p>
        </w:tc>
        <w:tc>
          <w:tcPr>
            <w:tcW w:type="dxa" w:w="3700"/>
            <w:shd w:fill="F7FAF8" w:color="auto" w:val="clear"/>
            <w:tcMar>
              <w:top w:type="dxa" w:w="80"/>
              <w:left w:type="dxa" w:w="120"/>
              <w:bottom w:type="dxa" w:w="80"/>
              <w:right w:type="dxa" w:w="120"/>
            </w:tcMar>
          </w:tcPr>
          <w:p>
            <w:r>
              <w:rPr>
                <w:sz w:val="18"/>
                <w:szCs w:val="18"/>
              </w:rPr>
              <w:t xml:space="preserve">Concurrent fetch of 4 channels, merged and sorted</w:t>
            </w:r>
          </w:p>
        </w:tc>
        <w:tc>
          <w:tcPr>
            <w:tcW w:type="dxa" w:w="3226"/>
            <w:shd w:fill="F7FAF8" w:color="auto" w:val="clear"/>
            <w:tcMar>
              <w:top w:type="dxa" w:w="80"/>
              <w:left w:type="dxa" w:w="120"/>
              <w:bottom w:type="dxa" w:w="80"/>
              <w:right w:type="dxa" w:w="120"/>
            </w:tcMar>
          </w:tcPr>
          <w:p>
            <w:r>
              <w:rPr>
                <w:sz w:val="18"/>
                <w:szCs w:val="18"/>
              </w:rPr>
              <w:t xml:space="preserve">Single unified feed returned to the client</w:t>
            </w:r>
          </w:p>
        </w:tc>
      </w:tr>
      <w:tr>
        <w:tc>
          <w:tcPr>
            <w:tcW w:type="dxa" w:w="2100"/>
            <w:tcMar>
              <w:top w:type="dxa" w:w="80"/>
              <w:left w:type="dxa" w:w="120"/>
              <w:bottom w:type="dxa" w:w="80"/>
              <w:right w:type="dxa" w:w="120"/>
            </w:tcMar>
          </w:tcPr>
          <w:p>
            <w:r>
              <w:rPr>
                <w:sz w:val="18"/>
                <w:szCs w:val="18"/>
              </w:rPr>
              <w:t xml:space="preserve">Write authorisation</w:t>
            </w:r>
          </w:p>
        </w:tc>
        <w:tc>
          <w:tcPr>
            <w:tcW w:type="dxa" w:w="3700"/>
            <w:tcMar>
              <w:top w:type="dxa" w:w="80"/>
              <w:left w:type="dxa" w:w="120"/>
              <w:bottom w:type="dxa" w:w="80"/>
              <w:right w:type="dxa" w:w="120"/>
            </w:tcMar>
          </w:tcPr>
          <w:p>
            <w:r>
              <w:rPr>
                <w:sz w:val="18"/>
                <w:szCs w:val="18"/>
              </w:rPr>
              <w:t xml:space="preserve">POST /api/reading with no token</w:t>
            </w:r>
          </w:p>
        </w:tc>
        <w:tc>
          <w:tcPr>
            <w:tcW w:type="dxa" w:w="3226"/>
            <w:tcMar>
              <w:top w:type="dxa" w:w="80"/>
              <w:left w:type="dxa" w:w="120"/>
              <w:bottom w:type="dxa" w:w="80"/>
              <w:right w:type="dxa" w:w="120"/>
            </w:tcMar>
          </w:tcPr>
          <w:p>
            <w:r>
              <w:rPr>
                <w:sz w:val="18"/>
                <w:szCs w:val="18"/>
              </w:rPr>
              <w:t xml:space="preserve">HTTP 403 — rejected</w:t>
            </w:r>
          </w:p>
        </w:tc>
      </w:tr>
      <w:tr>
        <w:tc>
          <w:tcPr>
            <w:tcW w:type="dxa" w:w="2100"/>
            <w:shd w:fill="F7FAF8" w:color="auto" w:val="clear"/>
            <w:tcMar>
              <w:top w:type="dxa" w:w="80"/>
              <w:left w:type="dxa" w:w="120"/>
              <w:bottom w:type="dxa" w:w="80"/>
              <w:right w:type="dxa" w:w="120"/>
            </w:tcMar>
          </w:tcPr>
          <w:p>
            <w:r>
              <w:rPr>
                <w:sz w:val="18"/>
                <w:szCs w:val="18"/>
              </w:rPr>
              <w:t xml:space="preserve">Admin login</w:t>
            </w:r>
          </w:p>
        </w:tc>
        <w:tc>
          <w:tcPr>
            <w:tcW w:type="dxa" w:w="3700"/>
            <w:shd w:fill="F7FAF8" w:color="auto" w:val="clear"/>
            <w:tcMar>
              <w:top w:type="dxa" w:w="80"/>
              <w:left w:type="dxa" w:w="120"/>
              <w:bottom w:type="dxa" w:w="80"/>
              <w:right w:type="dxa" w:w="120"/>
            </w:tcMar>
          </w:tcPr>
          <w:p>
            <w:r>
              <w:rPr>
                <w:sz w:val="18"/>
                <w:szCs w:val="18"/>
              </w:rPr>
              <w:t xml:space="preserve">POST /api/login with wrong then correct password</w:t>
            </w:r>
          </w:p>
        </w:tc>
        <w:tc>
          <w:tcPr>
            <w:tcW w:type="dxa" w:w="3226"/>
            <w:shd w:fill="F7FAF8" w:color="auto" w:val="clear"/>
            <w:tcMar>
              <w:top w:type="dxa" w:w="80"/>
              <w:left w:type="dxa" w:w="120"/>
              <w:bottom w:type="dxa" w:w="80"/>
              <w:right w:type="dxa" w:w="120"/>
            </w:tcMar>
          </w:tcPr>
          <w:p>
            <w:r>
              <w:rPr>
                <w:sz w:val="18"/>
                <w:szCs w:val="18"/>
              </w:rPr>
              <w:t xml:space="preserve">401, then token issued</w:t>
            </w:r>
          </w:p>
        </w:tc>
      </w:tr>
      <w:tr>
        <w:tc>
          <w:tcPr>
            <w:tcW w:type="dxa" w:w="2100"/>
            <w:tcMar>
              <w:top w:type="dxa" w:w="80"/>
              <w:left w:type="dxa" w:w="120"/>
              <w:bottom w:type="dxa" w:w="80"/>
              <w:right w:type="dxa" w:w="120"/>
            </w:tcMar>
          </w:tcPr>
          <w:p>
            <w:r>
              <w:rPr>
                <w:sz w:val="18"/>
                <w:szCs w:val="18"/>
              </w:rPr>
              <w:t xml:space="preserve">Viewer cannot write</w:t>
            </w:r>
          </w:p>
        </w:tc>
        <w:tc>
          <w:tcPr>
            <w:tcW w:type="dxa" w:w="3700"/>
            <w:tcMar>
              <w:top w:type="dxa" w:w="80"/>
              <w:left w:type="dxa" w:w="120"/>
              <w:bottom w:type="dxa" w:w="80"/>
              <w:right w:type="dxa" w:w="120"/>
            </w:tcMar>
          </w:tcPr>
          <w:p>
            <w:r>
              <w:rPr>
                <w:sz w:val="18"/>
                <w:szCs w:val="18"/>
              </w:rPr>
              <w:t xml:space="preserve">Forced fetch to /api/reading while signed in as viewer</w:t>
            </w:r>
          </w:p>
        </w:tc>
        <w:tc>
          <w:tcPr>
            <w:tcW w:type="dxa" w:w="3226"/>
            <w:tcMar>
              <w:top w:type="dxa" w:w="80"/>
              <w:left w:type="dxa" w:w="120"/>
              <w:bottom w:type="dxa" w:w="80"/>
              <w:right w:type="dxa" w:w="120"/>
            </w:tcMar>
          </w:tcPr>
          <w:p>
            <w:r>
              <w:rPr>
                <w:sz w:val="18"/>
                <w:szCs w:val="18"/>
              </w:rPr>
              <w:t xml:space="preserve">HTTP 403 — rejected by server</w:t>
            </w:r>
          </w:p>
        </w:tc>
      </w:tr>
      <w:tr>
        <w:tc>
          <w:tcPr>
            <w:tcW w:type="dxa" w:w="2100"/>
            <w:shd w:fill="F7FAF8" w:color="auto" w:val="clear"/>
            <w:tcMar>
              <w:top w:type="dxa" w:w="80"/>
              <w:left w:type="dxa" w:w="120"/>
              <w:bottom w:type="dxa" w:w="80"/>
              <w:right w:type="dxa" w:w="120"/>
            </w:tcMar>
          </w:tcPr>
          <w:p>
            <w:r>
              <w:rPr>
                <w:sz w:val="18"/>
                <w:szCs w:val="18"/>
              </w:rPr>
              <w:t xml:space="preserve">Role-based interface</w:t>
            </w:r>
          </w:p>
        </w:tc>
        <w:tc>
          <w:tcPr>
            <w:tcW w:type="dxa" w:w="3700"/>
            <w:shd w:fill="F7FAF8" w:color="auto" w:val="clear"/>
            <w:tcMar>
              <w:top w:type="dxa" w:w="80"/>
              <w:left w:type="dxa" w:w="120"/>
              <w:bottom w:type="dxa" w:w="80"/>
              <w:right w:type="dxa" w:w="120"/>
            </w:tcMar>
          </w:tcPr>
          <w:p>
            <w:r>
              <w:rPr>
                <w:sz w:val="18"/>
                <w:szCs w:val="18"/>
              </w:rPr>
              <w:t xml:space="preserve">Sign in as viewer and as admin</w:t>
            </w:r>
          </w:p>
        </w:tc>
        <w:tc>
          <w:tcPr>
            <w:tcW w:type="dxa" w:w="3226"/>
            <w:shd w:fill="F7FAF8" w:color="auto" w:val="clear"/>
            <w:tcMar>
              <w:top w:type="dxa" w:w="80"/>
              <w:left w:type="dxa" w:w="120"/>
              <w:bottom w:type="dxa" w:w="80"/>
              <w:right w:type="dxa" w:w="120"/>
            </w:tcMar>
          </w:tcPr>
          <w:p>
            <w:r>
              <w:rPr>
                <w:sz w:val="18"/>
                <w:szCs w:val="18"/>
              </w:rPr>
              <w:t xml:space="preserve">Admin-only panels hidden for viewer; restored for admin</w:t>
            </w:r>
          </w:p>
        </w:tc>
      </w:tr>
      <w:tr>
        <w:tc>
          <w:tcPr>
            <w:tcW w:type="dxa" w:w="2100"/>
            <w:tcMar>
              <w:top w:type="dxa" w:w="80"/>
              <w:left w:type="dxa" w:w="120"/>
              <w:bottom w:type="dxa" w:w="80"/>
              <w:right w:type="dxa" w:w="120"/>
            </w:tcMar>
          </w:tcPr>
          <w:p>
            <w:r>
              <w:rPr>
                <w:sz w:val="18"/>
                <w:szCs w:val="18"/>
              </w:rPr>
              <w:t xml:space="preserve">Reset authorisation</w:t>
            </w:r>
          </w:p>
        </w:tc>
        <w:tc>
          <w:tcPr>
            <w:tcW w:type="dxa" w:w="3700"/>
            <w:tcMar>
              <w:top w:type="dxa" w:w="80"/>
              <w:left w:type="dxa" w:w="120"/>
              <w:bottom w:type="dxa" w:w="80"/>
              <w:right w:type="dxa" w:w="120"/>
            </w:tcMar>
          </w:tcPr>
          <w:p>
            <w:r>
              <w:rPr>
                <w:sz w:val="18"/>
                <w:szCs w:val="18"/>
              </w:rPr>
              <w:t xml:space="preserve">POST /api/reset with no token</w:t>
            </w:r>
          </w:p>
        </w:tc>
        <w:tc>
          <w:tcPr>
            <w:tcW w:type="dxa" w:w="3226"/>
            <w:tcMar>
              <w:top w:type="dxa" w:w="80"/>
              <w:left w:type="dxa" w:w="120"/>
              <w:bottom w:type="dxa" w:w="80"/>
              <w:right w:type="dxa" w:w="120"/>
            </w:tcMar>
          </w:tcPr>
          <w:p>
            <w:r>
              <w:rPr>
                <w:sz w:val="18"/>
                <w:szCs w:val="18"/>
              </w:rPr>
              <w:t xml:space="preserve">HTTP 403 — rejected</w:t>
            </w:r>
          </w:p>
        </w:tc>
      </w:tr>
      <w:tr>
        <w:tc>
          <w:tcPr>
            <w:tcW w:type="dxa" w:w="2100"/>
            <w:shd w:fill="F7FAF8" w:color="auto" w:val="clear"/>
            <w:tcMar>
              <w:top w:type="dxa" w:w="80"/>
              <w:left w:type="dxa" w:w="120"/>
              <w:bottom w:type="dxa" w:w="80"/>
              <w:right w:type="dxa" w:w="120"/>
            </w:tcMar>
          </w:tcPr>
          <w:p>
            <w:r>
              <w:rPr>
                <w:sz w:val="18"/>
                <w:szCs w:val="18"/>
              </w:rPr>
              <w:t xml:space="preserve">Secret exposure</w:t>
            </w:r>
          </w:p>
        </w:tc>
        <w:tc>
          <w:tcPr>
            <w:tcW w:type="dxa" w:w="3700"/>
            <w:shd w:fill="F7FAF8" w:color="auto" w:val="clear"/>
            <w:tcMar>
              <w:top w:type="dxa" w:w="80"/>
              <w:left w:type="dxa" w:w="120"/>
              <w:bottom w:type="dxa" w:w="80"/>
              <w:right w:type="dxa" w:w="120"/>
            </w:tcMar>
          </w:tcPr>
          <w:p>
            <w:r>
              <w:rPr>
                <w:sz w:val="18"/>
                <w:szCs w:val="18"/>
              </w:rPr>
              <w:t xml:space="preserve">Request /.env over HTTP</w:t>
            </w:r>
          </w:p>
        </w:tc>
        <w:tc>
          <w:tcPr>
            <w:tcW w:type="dxa" w:w="3226"/>
            <w:shd w:fill="F7FAF8" w:color="auto" w:val="clear"/>
            <w:tcMar>
              <w:top w:type="dxa" w:w="80"/>
              <w:left w:type="dxa" w:w="120"/>
              <w:bottom w:type="dxa" w:w="80"/>
              <w:right w:type="dxa" w:w="120"/>
            </w:tcMar>
          </w:tcPr>
          <w:p>
            <w:r>
              <w:rPr>
                <w:sz w:val="18"/>
                <w:szCs w:val="18"/>
              </w:rPr>
              <w:t xml:space="preserve">Not served</w:t>
            </w:r>
          </w:p>
        </w:tc>
      </w:tr>
      <w:tr>
        <w:tc>
          <w:tcPr>
            <w:tcW w:type="dxa" w:w="2100"/>
            <w:tcMar>
              <w:top w:type="dxa" w:w="80"/>
              <w:left w:type="dxa" w:w="120"/>
              <w:bottom w:type="dxa" w:w="80"/>
              <w:right w:type="dxa" w:w="120"/>
            </w:tcMar>
          </w:tcPr>
          <w:p>
            <w:r>
              <w:rPr>
                <w:sz w:val="18"/>
                <w:szCs w:val="18"/>
              </w:rPr>
              <w:t xml:space="preserve">Credential isolation</w:t>
            </w:r>
          </w:p>
        </w:tc>
        <w:tc>
          <w:tcPr>
            <w:tcW w:type="dxa" w:w="3700"/>
            <w:tcMar>
              <w:top w:type="dxa" w:w="80"/>
              <w:left w:type="dxa" w:w="120"/>
              <w:bottom w:type="dxa" w:w="80"/>
              <w:right w:type="dxa" w:w="120"/>
            </w:tcMar>
          </w:tcPr>
          <w:p>
            <w:r>
              <w:rPr>
                <w:sz w:val="18"/>
                <w:szCs w:val="18"/>
              </w:rPr>
              <w:t xml:space="preserve">Inspect browser network traffic</w:t>
            </w:r>
          </w:p>
        </w:tc>
        <w:tc>
          <w:tcPr>
            <w:tcW w:type="dxa" w:w="3226"/>
            <w:tcMar>
              <w:top w:type="dxa" w:w="80"/>
              <w:left w:type="dxa" w:w="120"/>
              <w:bottom w:type="dxa" w:w="80"/>
              <w:right w:type="dxa" w:w="120"/>
            </w:tcMar>
          </w:tcPr>
          <w:p>
            <w:r>
              <w:rPr>
                <w:sz w:val="18"/>
                <w:szCs w:val="18"/>
              </w:rPr>
              <w:t xml:space="preserve">No request to ThingSpeak; only same-origin /api/* calls</w:t>
            </w:r>
          </w:p>
        </w:tc>
      </w:tr>
    </w:tbl>
    <w:p>
      <w:pPr>
        <w:spacing w:after="160"/>
      </w:pPr>
    </w:p>
    <w:p>
      <w:pPr>
        <w:pStyle w:val="Heading2"/>
        <w:spacing w:after="120" w:before="240"/>
      </w:pPr>
      <w:r>
        <w:t xml:space="preserve">11.1 Current status</w:t>
      </w:r>
    </w:p>
    <w:p>
      <w:pPr>
        <w:spacing w:after="120" w:line="280"/>
        <w:jc w:val="both"/>
      </w:pPr>
      <w:r>
        <w:rPr>
          <w:b w:val="false"/>
          <w:bCs w:val="false"/>
          <w:i w:val="false"/>
          <w:iCs w:val="false"/>
          <w:color w:val="101828"/>
          <w:sz w:val="21"/>
          <w:szCs w:val="21"/>
        </w:rPr>
        <w:t xml:space="preserve">The software platform is complete and operational: the cloud channels are provisioned, the multi-channel backend aggregates them, and the dashboard renders live readings with role separation. Firmware is complete and includes calibration and self-check tooling. The remaining work is physical rollout — calibrating and installing a node in each of the fourteen hostels — together with the security remediation set out in section 9.3.</w:t>
      </w:r>
    </w:p>
    <w:p>
      <w:pPr>
        <w:spacing w:after="120" w:line="280"/>
        <w:jc w:val="both"/>
      </w:pPr>
      <w:r>
        <w:rPr>
          <w:b/>
          <w:bCs/>
          <w:i w:val="false"/>
          <w:iCs w:val="false"/>
          <w:color w:val="101828"/>
          <w:sz w:val="21"/>
          <w:szCs w:val="21"/>
        </w:rPr>
        <w:t xml:space="preserve">Observed during testing: </w:t>
      </w:r>
      <w:r>
        <w:rPr>
          <w:b w:val="false"/>
          <w:bCs w:val="false"/>
          <w:i w:val="false"/>
          <w:iCs w:val="false"/>
          <w:color w:val="101828"/>
          <w:sz w:val="21"/>
          <w:szCs w:val="21"/>
        </w:rPr>
        <w:t xml:space="preserve">a day of test traffic produced an aggregate far above the surrounding days, traced to individual readings of implausible magnitude for a single disposal. This is the signature of an uncalibrated load cell rather than a software fault, and it illustrates why per-reading visibility (the Live Readings feed) and the validity bounds were added — an aggregate alone would have concealed the cause.</w:t>
      </w:r>
    </w:p>
    <w:p>
      <w:pPr>
        <w:pStyle w:val="Heading1"/>
        <w:spacing w:after="160" w:before="320"/>
      </w:pPr>
      <w:r>
        <w:t xml:space="preserve">12. Limitations</w:t>
      </w:r>
    </w:p>
    <w:p>
      <w:pPr>
        <w:pStyle w:val="ListParagraph"/>
        <w:numPr>
          <w:ilvl w:val="0"/>
          <w:numId w:val="2"/>
        </w:numPr>
        <w:spacing w:after="80" w:line="280"/>
      </w:pPr>
      <w:r>
        <w:rPr>
          <w:color w:val="101828"/>
          <w:sz w:val="21"/>
          <w:szCs w:val="21"/>
        </w:rPr>
        <w:t xml:space="preserve">No category sensing. A load cell measures mass only; it cannot distinguish rice from vegetables. Category analytics would require an operator selection at the bin or an added sensing modality.</w:t>
      </w:r>
    </w:p>
    <w:p>
      <w:pPr>
        <w:pStyle w:val="ListParagraph"/>
        <w:numPr>
          <w:ilvl w:val="0"/>
          <w:numId w:val="2"/>
        </w:numPr>
        <w:spacing w:after="80" w:line="280"/>
      </w:pPr>
      <w:r>
        <w:rPr>
          <w:color w:val="101828"/>
          <w:sz w:val="21"/>
          <w:szCs w:val="21"/>
        </w:rPr>
        <w:t xml:space="preserve">Cloud rate limits. The free tier permits one write per channel per 15 seconds. Four channels ease this, but a campus-wide rollout would need a paid tier or self-hosted ingestion.</w:t>
      </w:r>
    </w:p>
    <w:p>
      <w:pPr>
        <w:pStyle w:val="ListParagraph"/>
        <w:numPr>
          <w:ilvl w:val="0"/>
          <w:numId w:val="2"/>
        </w:numPr>
        <w:spacing w:after="80" w:line="280"/>
      </w:pPr>
      <w:r>
        <w:rPr>
          <w:color w:val="101828"/>
          <w:sz w:val="21"/>
          <w:szCs w:val="21"/>
        </w:rPr>
        <w:t xml:space="preserve">Calibration is per-unit and manual. Each scale must be calibrated individually, and drift or mechanical disturbance requires recalibration.</w:t>
      </w:r>
    </w:p>
    <w:p>
      <w:pPr>
        <w:pStyle w:val="ListParagraph"/>
        <w:numPr>
          <w:ilvl w:val="0"/>
          <w:numId w:val="2"/>
        </w:numPr>
        <w:spacing w:after="80" w:line="280"/>
      </w:pPr>
      <w:r>
        <w:rPr>
          <w:color w:val="101828"/>
          <w:sz w:val="21"/>
          <w:szCs w:val="21"/>
        </w:rPr>
        <w:t xml:space="preserve">Wi-Fi dependence. A node with no network cannot deliver readings; the firmware retries but does not yet buffer offline events to local storage.</w:t>
      </w:r>
    </w:p>
    <w:p>
      <w:pPr>
        <w:pStyle w:val="ListParagraph"/>
        <w:numPr>
          <w:ilvl w:val="0"/>
          <w:numId w:val="2"/>
        </w:numPr>
        <w:spacing w:after="80" w:line="280"/>
      </w:pPr>
      <w:r>
        <w:rPr>
          <w:color w:val="101828"/>
          <w:sz w:val="21"/>
          <w:szCs w:val="21"/>
        </w:rPr>
        <w:t xml:space="preserve">Estimated economics. Monetary and carbon values use fixed campus-wide multipliers and are indicative, not audited.</w:t>
      </w:r>
    </w:p>
    <w:p>
      <w:pPr>
        <w:pStyle w:val="ListParagraph"/>
        <w:numPr>
          <w:ilvl w:val="0"/>
          <w:numId w:val="2"/>
        </w:numPr>
        <w:spacing w:after="80" w:line="280"/>
      </w:pPr>
      <w:r>
        <w:rPr>
          <w:color w:val="101828"/>
          <w:sz w:val="21"/>
          <w:szCs w:val="21"/>
        </w:rPr>
        <w:t xml:space="preserve">Demonstration-grade authentication, as detailed in section 9.3.</w:t>
      </w:r>
    </w:p>
    <w:p>
      <w:pPr>
        <w:pStyle w:val="Heading1"/>
        <w:spacing w:after="160" w:before="320"/>
      </w:pPr>
      <w:r>
        <w:t xml:space="preserve">13.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shd w:fill="16A34A" w:color="auto" w:val="clear"/>
            <w:tcMar>
              <w:top w:type="dxa" w:w="90"/>
              <w:left w:type="dxa" w:w="120"/>
              <w:bottom w:type="dxa" w:w="90"/>
              <w:right w:type="dxa" w:w="120"/>
            </w:tcMar>
          </w:tcPr>
          <w:p>
            <w:r>
              <w:rPr>
                <w:b/>
                <w:bCs/>
                <w:color w:val="FFFFFF"/>
                <w:sz w:val="18"/>
                <w:szCs w:val="18"/>
              </w:rPr>
              <w:t xml:space="preserve">Priority</w:t>
            </w:r>
          </w:p>
        </w:tc>
        <w:tc>
          <w:tcPr>
            <w:tcW w:type="dxa" w:w="3800"/>
            <w:shd w:fill="16A34A" w:color="auto" w:val="clear"/>
            <w:tcMar>
              <w:top w:type="dxa" w:w="90"/>
              <w:left w:type="dxa" w:w="120"/>
              <w:bottom w:type="dxa" w:w="90"/>
              <w:right w:type="dxa" w:w="120"/>
            </w:tcMar>
          </w:tcPr>
          <w:p>
            <w:r>
              <w:rPr>
                <w:b/>
                <w:bCs/>
                <w:color w:val="FFFFFF"/>
                <w:sz w:val="18"/>
                <w:szCs w:val="18"/>
              </w:rPr>
              <w:t xml:space="preserve">Item</w:t>
            </w:r>
          </w:p>
        </w:tc>
        <w:tc>
          <w:tcPr>
            <w:tcW w:type="dxa" w:w="3726"/>
            <w:shd w:fill="16A34A" w:color="auto" w:val="clear"/>
            <w:tcMar>
              <w:top w:type="dxa" w:w="90"/>
              <w:left w:type="dxa" w:w="120"/>
              <w:bottom w:type="dxa" w:w="90"/>
              <w:right w:type="dxa" w:w="120"/>
            </w:tcMar>
          </w:tcPr>
          <w:p>
            <w:r>
              <w:rPr>
                <w:b/>
                <w:bCs/>
                <w:color w:val="FFFFFF"/>
                <w:sz w:val="18"/>
                <w:szCs w:val="18"/>
              </w:rPr>
              <w:t xml:space="preserve">Rationale</w:t>
            </w:r>
          </w:p>
        </w:tc>
      </w:tr>
      <w:tr>
        <w:tc>
          <w:tcPr>
            <w:tcW w:type="dxa" w:w="1500"/>
            <w:tcMar>
              <w:top w:type="dxa" w:w="80"/>
              <w:left w:type="dxa" w:w="120"/>
              <w:bottom w:type="dxa" w:w="80"/>
              <w:right w:type="dxa" w:w="120"/>
            </w:tcMar>
          </w:tcPr>
          <w:p>
            <w:r>
              <w:rPr>
                <w:sz w:val="18"/>
                <w:szCs w:val="18"/>
              </w:rPr>
              <w:t xml:space="preserve">Immediate</w:t>
            </w:r>
          </w:p>
        </w:tc>
        <w:tc>
          <w:tcPr>
            <w:tcW w:type="dxa" w:w="3800"/>
            <w:tcMar>
              <w:top w:type="dxa" w:w="80"/>
              <w:left w:type="dxa" w:w="120"/>
              <w:bottom w:type="dxa" w:w="80"/>
              <w:right w:type="dxa" w:w="120"/>
            </w:tcMar>
          </w:tcPr>
          <w:p>
            <w:r>
              <w:rPr>
                <w:sz w:val="18"/>
                <w:szCs w:val="18"/>
              </w:rPr>
              <w:t xml:space="preserve">Remove admin credentials from config.js; set server environment variables</w:t>
            </w:r>
          </w:p>
        </w:tc>
        <w:tc>
          <w:tcPr>
            <w:tcW w:type="dxa" w:w="3726"/>
            <w:tcMar>
              <w:top w:type="dxa" w:w="80"/>
              <w:left w:type="dxa" w:w="120"/>
              <w:bottom w:type="dxa" w:w="80"/>
              <w:right w:type="dxa" w:w="120"/>
            </w:tcMar>
          </w:tcPr>
          <w:p>
            <w:r>
              <w:rPr>
                <w:sz w:val="18"/>
                <w:szCs w:val="18"/>
              </w:rPr>
              <w:t xml:space="preserve">Closes the live credential exposure</w:t>
            </w:r>
          </w:p>
        </w:tc>
      </w:tr>
      <w:tr>
        <w:tc>
          <w:tcPr>
            <w:tcW w:type="dxa" w:w="1500"/>
            <w:shd w:fill="F7FAF8" w:color="auto" w:val="clear"/>
            <w:tcMar>
              <w:top w:type="dxa" w:w="80"/>
              <w:left w:type="dxa" w:w="120"/>
              <w:bottom w:type="dxa" w:w="80"/>
              <w:right w:type="dxa" w:w="120"/>
            </w:tcMar>
          </w:tcPr>
          <w:p>
            <w:r>
              <w:rPr>
                <w:sz w:val="18"/>
                <w:szCs w:val="18"/>
              </w:rPr>
              <w:t xml:space="preserve">Immediate</w:t>
            </w:r>
          </w:p>
        </w:tc>
        <w:tc>
          <w:tcPr>
            <w:tcW w:type="dxa" w:w="3800"/>
            <w:shd w:fill="F7FAF8" w:color="auto" w:val="clear"/>
            <w:tcMar>
              <w:top w:type="dxa" w:w="80"/>
              <w:left w:type="dxa" w:w="120"/>
              <w:bottom w:type="dxa" w:w="80"/>
              <w:right w:type="dxa" w:w="120"/>
            </w:tcMar>
          </w:tcPr>
          <w:p>
            <w:r>
              <w:rPr>
                <w:sz w:val="18"/>
                <w:szCs w:val="18"/>
              </w:rPr>
              <w:t xml:space="preserve">Regenerate all ThingSpeak keys</w:t>
            </w:r>
          </w:p>
        </w:tc>
        <w:tc>
          <w:tcPr>
            <w:tcW w:type="dxa" w:w="3726"/>
            <w:shd w:fill="F7FAF8" w:color="auto" w:val="clear"/>
            <w:tcMar>
              <w:top w:type="dxa" w:w="80"/>
              <w:left w:type="dxa" w:w="120"/>
              <w:bottom w:type="dxa" w:w="80"/>
              <w:right w:type="dxa" w:w="120"/>
            </w:tcMar>
          </w:tcPr>
          <w:p>
            <w:r>
              <w:rPr>
                <w:sz w:val="18"/>
                <w:szCs w:val="18"/>
              </w:rPr>
              <w:t xml:space="preserve">Previously-public keys must be treated as compromised</w:t>
            </w:r>
          </w:p>
        </w:tc>
      </w:tr>
      <w:tr>
        <w:tc>
          <w:tcPr>
            <w:tcW w:type="dxa" w:w="1500"/>
            <w:tcMar>
              <w:top w:type="dxa" w:w="80"/>
              <w:left w:type="dxa" w:w="120"/>
              <w:bottom w:type="dxa" w:w="80"/>
              <w:right w:type="dxa" w:w="120"/>
            </w:tcMar>
          </w:tcPr>
          <w:p>
            <w:r>
              <w:rPr>
                <w:sz w:val="18"/>
                <w:szCs w:val="18"/>
              </w:rPr>
              <w:t xml:space="preserve">Immediate</w:t>
            </w:r>
          </w:p>
        </w:tc>
        <w:tc>
          <w:tcPr>
            <w:tcW w:type="dxa" w:w="3800"/>
            <w:tcMar>
              <w:top w:type="dxa" w:w="80"/>
              <w:left w:type="dxa" w:w="120"/>
              <w:bottom w:type="dxa" w:w="80"/>
              <w:right w:type="dxa" w:w="120"/>
            </w:tcMar>
          </w:tcPr>
          <w:p>
            <w:r>
              <w:rPr>
                <w:sz w:val="18"/>
                <w:szCs w:val="18"/>
              </w:rPr>
              <w:t xml:space="preserve">Calibrate and deploy the 14 nodes; set DEMO_FILL = false</w:t>
            </w:r>
          </w:p>
        </w:tc>
        <w:tc>
          <w:tcPr>
            <w:tcW w:type="dxa" w:w="3726"/>
            <w:tcMar>
              <w:top w:type="dxa" w:w="80"/>
              <w:left w:type="dxa" w:w="120"/>
              <w:bottom w:type="dxa" w:w="80"/>
              <w:right w:type="dxa" w:w="120"/>
            </w:tcMar>
          </w:tcPr>
          <w:p>
            <w:r>
              <w:rPr>
                <w:sz w:val="18"/>
                <w:szCs w:val="18"/>
              </w:rPr>
              <w:t xml:space="preserve">Completes the pilot with real data campus-wide</w:t>
            </w:r>
          </w:p>
        </w:tc>
      </w:tr>
      <w:tr>
        <w:tc>
          <w:tcPr>
            <w:tcW w:type="dxa" w:w="1500"/>
            <w:shd w:fill="F7FAF8" w:color="auto" w:val="clear"/>
            <w:tcMar>
              <w:top w:type="dxa" w:w="80"/>
              <w:left w:type="dxa" w:w="120"/>
              <w:bottom w:type="dxa" w:w="80"/>
              <w:right w:type="dxa" w:w="120"/>
            </w:tcMar>
          </w:tcPr>
          <w:p>
            <w:r>
              <w:rPr>
                <w:sz w:val="18"/>
                <w:szCs w:val="18"/>
              </w:rPr>
              <w:t xml:space="preserve">Short term</w:t>
            </w:r>
          </w:p>
        </w:tc>
        <w:tc>
          <w:tcPr>
            <w:tcW w:type="dxa" w:w="3800"/>
            <w:shd w:fill="F7FAF8" w:color="auto" w:val="clear"/>
            <w:tcMar>
              <w:top w:type="dxa" w:w="80"/>
              <w:left w:type="dxa" w:w="120"/>
              <w:bottom w:type="dxa" w:w="80"/>
              <w:right w:type="dxa" w:w="120"/>
            </w:tcMar>
          </w:tcPr>
          <w:p>
            <w:r>
              <w:rPr>
                <w:sz w:val="18"/>
                <w:szCs w:val="18"/>
              </w:rPr>
              <w:t xml:space="preserve">Offline buffering in firmware</w:t>
            </w:r>
          </w:p>
        </w:tc>
        <w:tc>
          <w:tcPr>
            <w:tcW w:type="dxa" w:w="3726"/>
            <w:shd w:fill="F7FAF8" w:color="auto" w:val="clear"/>
            <w:tcMar>
              <w:top w:type="dxa" w:w="80"/>
              <w:left w:type="dxa" w:w="120"/>
              <w:bottom w:type="dxa" w:w="80"/>
              <w:right w:type="dxa" w:w="120"/>
            </w:tcMar>
          </w:tcPr>
          <w:p>
            <w:r>
              <w:rPr>
                <w:sz w:val="18"/>
                <w:szCs w:val="18"/>
              </w:rPr>
              <w:t xml:space="preserve">Prevents data loss during network outages</w:t>
            </w:r>
          </w:p>
        </w:tc>
      </w:tr>
      <w:tr>
        <w:tc>
          <w:tcPr>
            <w:tcW w:type="dxa" w:w="1500"/>
            <w:tcMar>
              <w:top w:type="dxa" w:w="80"/>
              <w:left w:type="dxa" w:w="120"/>
              <w:bottom w:type="dxa" w:w="80"/>
              <w:right w:type="dxa" w:w="120"/>
            </w:tcMar>
          </w:tcPr>
          <w:p>
            <w:r>
              <w:rPr>
                <w:sz w:val="18"/>
                <w:szCs w:val="18"/>
              </w:rPr>
              <w:t xml:space="preserve">Short term</w:t>
            </w:r>
          </w:p>
        </w:tc>
        <w:tc>
          <w:tcPr>
            <w:tcW w:type="dxa" w:w="3800"/>
            <w:tcMar>
              <w:top w:type="dxa" w:w="80"/>
              <w:left w:type="dxa" w:w="120"/>
              <w:bottom w:type="dxa" w:w="80"/>
              <w:right w:type="dxa" w:w="120"/>
            </w:tcMar>
          </w:tcPr>
          <w:p>
            <w:r>
              <w:rPr>
                <w:sz w:val="18"/>
                <w:szCs w:val="18"/>
              </w:rPr>
              <w:t xml:space="preserve">Physical tare button and enclosure</w:t>
            </w:r>
          </w:p>
        </w:tc>
        <w:tc>
          <w:tcPr>
            <w:tcW w:type="dxa" w:w="3726"/>
            <w:tcMar>
              <w:top w:type="dxa" w:w="80"/>
              <w:left w:type="dxa" w:w="120"/>
              <w:bottom w:type="dxa" w:w="80"/>
              <w:right w:type="dxa" w:w="120"/>
            </w:tcMar>
          </w:tcPr>
          <w:p>
            <w:r>
              <w:rPr>
                <w:sz w:val="18"/>
                <w:szCs w:val="18"/>
              </w:rPr>
              <w:t xml:space="preserve">Field robustness and easy re-zeroing between meals</w:t>
            </w:r>
          </w:p>
        </w:tc>
      </w:tr>
      <w:tr>
        <w:tc>
          <w:tcPr>
            <w:tcW w:type="dxa" w:w="1500"/>
            <w:shd w:fill="F7FAF8" w:color="auto" w:val="clear"/>
            <w:tcMar>
              <w:top w:type="dxa" w:w="80"/>
              <w:left w:type="dxa" w:w="120"/>
              <w:bottom w:type="dxa" w:w="80"/>
              <w:right w:type="dxa" w:w="120"/>
            </w:tcMar>
          </w:tcPr>
          <w:p>
            <w:r>
              <w:rPr>
                <w:sz w:val="18"/>
                <w:szCs w:val="18"/>
              </w:rPr>
              <w:t xml:space="preserve">Short term</w:t>
            </w:r>
          </w:p>
        </w:tc>
        <w:tc>
          <w:tcPr>
            <w:tcW w:type="dxa" w:w="3800"/>
            <w:shd w:fill="F7FAF8" w:color="auto" w:val="clear"/>
            <w:tcMar>
              <w:top w:type="dxa" w:w="80"/>
              <w:left w:type="dxa" w:w="120"/>
              <w:bottom w:type="dxa" w:w="80"/>
              <w:right w:type="dxa" w:w="120"/>
            </w:tcMar>
          </w:tcPr>
          <w:p>
            <w:r>
              <w:rPr>
                <w:sz w:val="18"/>
                <w:szCs w:val="18"/>
              </w:rPr>
              <w:t xml:space="preserve">Threshold alerts by email/SMS</w:t>
            </w:r>
          </w:p>
        </w:tc>
        <w:tc>
          <w:tcPr>
            <w:tcW w:type="dxa" w:w="3726"/>
            <w:shd w:fill="F7FAF8" w:color="auto" w:val="clear"/>
            <w:tcMar>
              <w:top w:type="dxa" w:w="80"/>
              <w:left w:type="dxa" w:w="120"/>
              <w:bottom w:type="dxa" w:w="80"/>
              <w:right w:type="dxa" w:w="120"/>
            </w:tcMar>
          </w:tcPr>
          <w:p>
            <w:r>
              <w:rPr>
                <w:sz w:val="18"/>
                <w:szCs w:val="18"/>
              </w:rPr>
              <w:t xml:space="preserve">Pushes action to wardens without dashboard monitoring</w:t>
            </w:r>
          </w:p>
        </w:tc>
      </w:tr>
      <w:tr>
        <w:tc>
          <w:tcPr>
            <w:tcW w:type="dxa" w:w="1500"/>
            <w:tcMar>
              <w:top w:type="dxa" w:w="80"/>
              <w:left w:type="dxa" w:w="120"/>
              <w:bottom w:type="dxa" w:w="80"/>
              <w:right w:type="dxa" w:w="120"/>
            </w:tcMar>
          </w:tcPr>
          <w:p>
            <w:r>
              <w:rPr>
                <w:sz w:val="18"/>
                <w:szCs w:val="18"/>
              </w:rPr>
              <w:t xml:space="preserve">Medium term</w:t>
            </w:r>
          </w:p>
        </w:tc>
        <w:tc>
          <w:tcPr>
            <w:tcW w:type="dxa" w:w="3800"/>
            <w:tcMar>
              <w:top w:type="dxa" w:w="80"/>
              <w:left w:type="dxa" w:w="120"/>
              <w:bottom w:type="dxa" w:w="80"/>
              <w:right w:type="dxa" w:w="120"/>
            </w:tcMar>
          </w:tcPr>
          <w:p>
            <w:r>
              <w:rPr>
                <w:sz w:val="18"/>
                <w:szCs w:val="18"/>
              </w:rPr>
              <w:t xml:space="preserve">Signed, expiring sessions and per-user accounts</w:t>
            </w:r>
          </w:p>
        </w:tc>
        <w:tc>
          <w:tcPr>
            <w:tcW w:type="dxa" w:w="3726"/>
            <w:tcMar>
              <w:top w:type="dxa" w:w="80"/>
              <w:left w:type="dxa" w:w="120"/>
              <w:bottom w:type="dxa" w:w="80"/>
              <w:right w:type="dxa" w:w="120"/>
            </w:tcMar>
          </w:tcPr>
          <w:p>
            <w:r>
              <w:rPr>
                <w:sz w:val="18"/>
                <w:szCs w:val="18"/>
              </w:rPr>
              <w:t xml:space="preserve">Production-grade access control and auditability</w:t>
            </w:r>
          </w:p>
        </w:tc>
      </w:tr>
      <w:tr>
        <w:tc>
          <w:tcPr>
            <w:tcW w:type="dxa" w:w="1500"/>
            <w:shd w:fill="F7FAF8" w:color="auto" w:val="clear"/>
            <w:tcMar>
              <w:top w:type="dxa" w:w="80"/>
              <w:left w:type="dxa" w:w="120"/>
              <w:bottom w:type="dxa" w:w="80"/>
              <w:right w:type="dxa" w:w="120"/>
            </w:tcMar>
          </w:tcPr>
          <w:p>
            <w:r>
              <w:rPr>
                <w:sz w:val="18"/>
                <w:szCs w:val="18"/>
              </w:rPr>
              <w:t xml:space="preserve">Medium term</w:t>
            </w:r>
          </w:p>
        </w:tc>
        <w:tc>
          <w:tcPr>
            <w:tcW w:type="dxa" w:w="3800"/>
            <w:shd w:fill="F7FAF8" w:color="auto" w:val="clear"/>
            <w:tcMar>
              <w:top w:type="dxa" w:w="80"/>
              <w:left w:type="dxa" w:w="120"/>
              <w:bottom w:type="dxa" w:w="80"/>
              <w:right w:type="dxa" w:w="120"/>
            </w:tcMar>
          </w:tcPr>
          <w:p>
            <w:r>
              <w:rPr>
                <w:sz w:val="18"/>
                <w:szCs w:val="18"/>
              </w:rPr>
              <w:t xml:space="preserve">Category capture at the bin</w:t>
            </w:r>
          </w:p>
        </w:tc>
        <w:tc>
          <w:tcPr>
            <w:tcW w:type="dxa" w:w="3726"/>
            <w:shd w:fill="F7FAF8" w:color="auto" w:val="clear"/>
            <w:tcMar>
              <w:top w:type="dxa" w:w="80"/>
              <w:left w:type="dxa" w:w="120"/>
              <w:bottom w:type="dxa" w:w="80"/>
              <w:right w:type="dxa" w:w="120"/>
            </w:tcMar>
          </w:tcPr>
          <w:p>
            <w:r>
              <w:rPr>
                <w:sz w:val="18"/>
                <w:szCs w:val="18"/>
              </w:rPr>
              <w:t xml:space="preserve">Enables menu-level, not just quantity-level, optimisation</w:t>
            </w:r>
          </w:p>
        </w:tc>
      </w:tr>
      <w:tr>
        <w:tc>
          <w:tcPr>
            <w:tcW w:type="dxa" w:w="1500"/>
            <w:tcMar>
              <w:top w:type="dxa" w:w="80"/>
              <w:left w:type="dxa" w:w="120"/>
              <w:bottom w:type="dxa" w:w="80"/>
              <w:right w:type="dxa" w:w="120"/>
            </w:tcMar>
          </w:tcPr>
          <w:p>
            <w:r>
              <w:rPr>
                <w:sz w:val="18"/>
                <w:szCs w:val="18"/>
              </w:rPr>
              <w:t xml:space="preserve">Long term</w:t>
            </w:r>
          </w:p>
        </w:tc>
        <w:tc>
          <w:tcPr>
            <w:tcW w:type="dxa" w:w="3800"/>
            <w:tcMar>
              <w:top w:type="dxa" w:w="80"/>
              <w:left w:type="dxa" w:w="120"/>
              <w:bottom w:type="dxa" w:w="80"/>
              <w:right w:type="dxa" w:w="120"/>
            </w:tcMar>
          </w:tcPr>
          <w:p>
            <w:r>
              <w:rPr>
                <w:sz w:val="18"/>
                <w:szCs w:val="18"/>
              </w:rPr>
              <w:t xml:space="preserve">Predictive preparation guidance</w:t>
            </w:r>
          </w:p>
        </w:tc>
        <w:tc>
          <w:tcPr>
            <w:tcW w:type="dxa" w:w="3726"/>
            <w:tcMar>
              <w:top w:type="dxa" w:w="80"/>
              <w:left w:type="dxa" w:w="120"/>
              <w:bottom w:type="dxa" w:w="80"/>
              <w:right w:type="dxa" w:w="120"/>
            </w:tcMar>
          </w:tcPr>
          <w:p>
            <w:r>
              <w:rPr>
                <w:sz w:val="18"/>
                <w:szCs w:val="18"/>
              </w:rPr>
              <w:t xml:space="preserve">Forecast demand from history to prevent waste at source</w:t>
            </w:r>
          </w:p>
        </w:tc>
      </w:tr>
      <w:tr>
        <w:tc>
          <w:tcPr>
            <w:tcW w:type="dxa" w:w="1500"/>
            <w:shd w:fill="F7FAF8" w:color="auto" w:val="clear"/>
            <w:tcMar>
              <w:top w:type="dxa" w:w="80"/>
              <w:left w:type="dxa" w:w="120"/>
              <w:bottom w:type="dxa" w:w="80"/>
              <w:right w:type="dxa" w:w="120"/>
            </w:tcMar>
          </w:tcPr>
          <w:p>
            <w:r>
              <w:rPr>
                <w:sz w:val="18"/>
                <w:szCs w:val="18"/>
              </w:rPr>
              <w:t xml:space="preserve">Long term</w:t>
            </w:r>
          </w:p>
        </w:tc>
        <w:tc>
          <w:tcPr>
            <w:tcW w:type="dxa" w:w="3800"/>
            <w:shd w:fill="F7FAF8" w:color="auto" w:val="clear"/>
            <w:tcMar>
              <w:top w:type="dxa" w:w="80"/>
              <w:left w:type="dxa" w:w="120"/>
              <w:bottom w:type="dxa" w:w="80"/>
              <w:right w:type="dxa" w:w="120"/>
            </w:tcMar>
          </w:tcPr>
          <w:p>
            <w:r>
              <w:rPr>
                <w:sz w:val="18"/>
                <w:szCs w:val="18"/>
              </w:rPr>
              <w:t xml:space="preserve">Extension beyond campus</w:t>
            </w:r>
          </w:p>
        </w:tc>
        <w:tc>
          <w:tcPr>
            <w:tcW w:type="dxa" w:w="3726"/>
            <w:shd w:fill="F7FAF8" w:color="auto" w:val="clear"/>
            <w:tcMar>
              <w:top w:type="dxa" w:w="80"/>
              <w:left w:type="dxa" w:w="120"/>
              <w:bottom w:type="dxa" w:w="80"/>
              <w:right w:type="dxa" w:w="120"/>
            </w:tcMar>
          </w:tcPr>
          <w:p>
            <w:r>
              <w:rPr>
                <w:sz w:val="18"/>
                <w:szCs w:val="18"/>
              </w:rPr>
              <w:t xml:space="preserve">Realises the replicable model for hotels and restaurants</w:t>
            </w:r>
          </w:p>
        </w:tc>
      </w:tr>
    </w:tbl>
    <w:p>
      <w:pPr>
        <w:pStyle w:val="Heading1"/>
        <w:spacing w:after="160" w:before="320"/>
      </w:pPr>
      <w:r>
        <w:t xml:space="preserve">14. Conclusion</w:t>
      </w:r>
    </w:p>
    <w:p>
      <w:pPr>
        <w:spacing w:after="120" w:line="280"/>
        <w:jc w:val="both"/>
      </w:pPr>
      <w:r>
        <w:rPr>
          <w:b w:val="false"/>
          <w:bCs w:val="false"/>
          <w:i w:val="false"/>
          <w:iCs w:val="false"/>
          <w:color w:val="101828"/>
          <w:sz w:val="21"/>
          <w:szCs w:val="21"/>
        </w:rPr>
        <w:t xml:space="preserve">WasteWise demonstrates that the invisibility of institutional food waste is an addressable engineering problem. Using inexpensive, standard components — a load cell, an HX711 amplifier and an ESP32 — the system captures a clean, attributable record of every disposal and turns it, within seconds, into figures a decision-maker can act on: kilograms today, rupees lost, carbon emitted, which hostel is worst, and when the peak occurs.</w:t>
      </w:r>
    </w:p>
    <w:p>
      <w:pPr>
        <w:spacing w:after="120" w:line="280"/>
        <w:jc w:val="both"/>
      </w:pPr>
      <w:r>
        <w:rPr>
          <w:b w:val="false"/>
          <w:bCs w:val="false"/>
          <w:i w:val="false"/>
          <w:iCs w:val="false"/>
          <w:color w:val="101828"/>
          <w:sz w:val="21"/>
          <w:szCs w:val="21"/>
        </w:rPr>
        <w:t xml:space="preserve">The engineering emphasis has been on correctness and honesty rather than surface polish. Devices publish independently of the server, so measurement survives application downtime. Cloud credentials were moved out of the browser and privileged operations are enforced by server-side middleware, verified by direct testing rather than assumed. Implausible sensor values are bounded, estimates are labelled as estimates, and the destructive reset defaults to a recoverable soft reset. Where weaknesses remain — most importantly the admin credentials currently present in client configuration — they are documented in section 9.3 rather than obscured.</w:t>
      </w:r>
    </w:p>
    <w:p>
      <w:pPr>
        <w:spacing w:after="120" w:line="280"/>
        <w:jc w:val="both"/>
      </w:pPr>
      <w:r>
        <w:rPr>
          <w:b w:val="false"/>
          <w:bCs w:val="false"/>
          <w:i w:val="false"/>
          <w:iCs w:val="false"/>
          <w:color w:val="101828"/>
          <w:sz w:val="21"/>
          <w:szCs w:val="21"/>
        </w:rPr>
        <w:t xml:space="preserve">With the software platform complete and verified, the path to the project’s stated vision — a Zero Food Waste Institute, and a model replicable across campuses, hotels and restaurants — now runs through physical deployment: calibrating and installing the fourteen nodes, closing the security gaps, and beginning to feed the resulting evidence back into menu and production planning.</w:t>
      </w:r>
    </w:p>
    <w:p>
      <w:r>
        <w:br w:type="page"/>
      </w:r>
    </w:p>
    <w:p>
      <w:pPr>
        <w:pStyle w:val="Heading1"/>
        <w:spacing w:after="160" w:before="320"/>
      </w:pPr>
      <w:r>
        <w:t xml:space="preserve">Appendix A — Repository Structure</w:t>
      </w:r>
    </w:p>
    <w:p>
      <w:pPr>
        <w:shd w:fill="F4F6F8" w:color="auto" w:val="clear"/>
        <w:spacing w:after="0" w:line="240"/>
      </w:pPr>
      <w:r>
        <w:rPr>
          <w:rFonts w:ascii="Consolas" w:cs="Consolas" w:eastAsia="Consolas" w:hAnsi="Consolas"/>
          <w:color w:val="243B53"/>
          <w:sz w:val="16"/>
          <w:szCs w:val="16"/>
        </w:rPr>
        <w:t xml:space="preserve">  TIH IOT Project/</w:t>
      </w:r>
    </w:p>
    <w:p>
      <w:pPr>
        <w:shd w:fill="F4F6F8" w:color="auto" w:val="clear"/>
        <w:spacing w:after="0" w:line="240"/>
      </w:pPr>
      <w:r>
        <w:rPr>
          <w:rFonts w:ascii="Consolas" w:cs="Consolas" w:eastAsia="Consolas" w:hAnsi="Consolas"/>
          <w:color w:val="243B53"/>
          <w:sz w:val="16"/>
          <w:szCs w:val="16"/>
        </w:rPr>
        <w:t xml:space="preserve">  ├── server.js            Express backend: proxy, auth, multi-channel merge, reset</w:t>
      </w:r>
    </w:p>
    <w:p>
      <w:pPr>
        <w:shd w:fill="F4F6F8" w:color="auto" w:val="clear"/>
        <w:spacing w:after="0" w:line="240"/>
      </w:pPr>
      <w:r>
        <w:rPr>
          <w:rFonts w:ascii="Consolas" w:cs="Consolas" w:eastAsia="Consolas" w:hAnsi="Consolas"/>
          <w:color w:val="243B53"/>
          <w:sz w:val="16"/>
          <w:szCs w:val="16"/>
        </w:rPr>
        <w:t xml:space="preserve">  ├── package.json         Dependencies (express, dotenv); Node &gt;= 18</w:t>
      </w:r>
    </w:p>
    <w:p>
      <w:pPr>
        <w:shd w:fill="F4F6F8" w:color="auto" w:val="clear"/>
        <w:spacing w:after="0" w:line="240"/>
      </w:pPr>
      <w:r>
        <w:rPr>
          <w:rFonts w:ascii="Consolas" w:cs="Consolas" w:eastAsia="Consolas" w:hAnsi="Consolas"/>
          <w:color w:val="243B53"/>
          <w:sz w:val="16"/>
          <w:szCs w:val="16"/>
        </w:rPr>
        <w:t xml:space="preserve">  ├── vercel.json          Serverless deployment configuration</w:t>
      </w:r>
    </w:p>
    <w:p>
      <w:pPr>
        <w:shd w:fill="F4F6F8" w:color="auto" w:val="clear"/>
        <w:spacing w:after="0" w:line="240"/>
      </w:pPr>
      <w:r>
        <w:rPr>
          <w:rFonts w:ascii="Consolas" w:cs="Consolas" w:eastAsia="Consolas" w:hAnsi="Consolas"/>
          <w:color w:val="243B53"/>
          <w:sz w:val="16"/>
          <w:szCs w:val="16"/>
        </w:rPr>
        <w:t xml:space="preserve">  ├── .env                 Secrets — gitignored, never served</w:t>
      </w:r>
    </w:p>
    <w:p>
      <w:pPr>
        <w:shd w:fill="F4F6F8" w:color="auto" w:val="clear"/>
        <w:spacing w:after="0" w:line="240"/>
      </w:pPr>
      <w:r>
        <w:rPr>
          <w:rFonts w:ascii="Consolas" w:cs="Consolas" w:eastAsia="Consolas" w:hAnsi="Consolas"/>
          <w:color w:val="243B53"/>
          <w:sz w:val="16"/>
          <w:szCs w:val="16"/>
        </w:rPr>
        <w:t xml:space="preserve">  ├── .env.example         Template for required environment variables</w:t>
      </w:r>
    </w:p>
    <w:p>
      <w:pPr>
        <w:shd w:fill="F4F6F8" w:color="auto" w:val="clear"/>
        <w:spacing w:after="0" w:line="240"/>
      </w:pPr>
      <w:r>
        <w:rPr>
          <w:rFonts w:ascii="Consolas" w:cs="Consolas" w:eastAsia="Consolas" w:hAnsi="Consolas"/>
          <w:color w:val="243B53"/>
          <w:sz w:val="16"/>
          <w:szCs w:val="16"/>
        </w:rPr>
        <w:t xml:space="preserve">  ├── index.html           Landing page + dashboard markup</w:t>
      </w:r>
    </w:p>
    <w:p>
      <w:pPr>
        <w:shd w:fill="F4F6F8" w:color="auto" w:val="clear"/>
        <w:spacing w:after="0" w:line="240"/>
      </w:pPr>
      <w:r>
        <w:rPr>
          <w:rFonts w:ascii="Consolas" w:cs="Consolas" w:eastAsia="Consolas" w:hAnsi="Consolas"/>
          <w:color w:val="243B53"/>
          <w:sz w:val="16"/>
          <w:szCs w:val="16"/>
        </w:rPr>
        <w:t xml:space="preserve">  ├── style.css            All styling (bento dashboard, responsive rules)</w:t>
      </w:r>
    </w:p>
    <w:p>
      <w:pPr>
        <w:shd w:fill="F4F6F8" w:color="auto" w:val="clear"/>
        <w:spacing w:after="0" w:line="240"/>
      </w:pPr>
      <w:r>
        <w:rPr>
          <w:rFonts w:ascii="Consolas" w:cs="Consolas" w:eastAsia="Consolas" w:hAnsi="Consolas"/>
          <w:color w:val="243B53"/>
          <w:sz w:val="16"/>
          <w:szCs w:val="16"/>
        </w:rPr>
        <w:t xml:space="preserve">  ├── script.js            Site navigation and animations</w:t>
      </w:r>
    </w:p>
    <w:p>
      <w:pPr>
        <w:shd w:fill="F4F6F8" w:color="auto" w:val="clear"/>
        <w:spacing w:after="0" w:line="240"/>
      </w:pPr>
      <w:r>
        <w:rPr>
          <w:rFonts w:ascii="Consolas" w:cs="Consolas" w:eastAsia="Consolas" w:hAnsi="Consolas"/>
          <w:color w:val="243B53"/>
          <w:sz w:val="16"/>
          <w:szCs w:val="16"/>
        </w:rPr>
        <w:t xml:space="preserve">  ├── dashboard.js         Dashboard logic: auth, analytics, SVG charts, rendering</w:t>
      </w:r>
    </w:p>
    <w:p>
      <w:pPr>
        <w:shd w:fill="F4F6F8" w:color="auto" w:val="clear"/>
        <w:spacing w:after="0" w:line="240"/>
      </w:pPr>
      <w:r>
        <w:rPr>
          <w:rFonts w:ascii="Consolas" w:cs="Consolas" w:eastAsia="Consolas" w:hAnsi="Consolas"/>
          <w:color w:val="243B53"/>
          <w:sz w:val="16"/>
          <w:szCs w:val="16"/>
        </w:rPr>
        <w:t xml:space="preserve">  ├── config.js            Front-end settings: hostels, factors, thresholds</w:t>
      </w:r>
    </w:p>
    <w:p>
      <w:pPr>
        <w:shd w:fill="F4F6F8" w:color="auto" w:val="clear"/>
        <w:spacing w:after="0" w:line="240"/>
      </w:pPr>
      <w:r>
        <w:rPr>
          <w:rFonts w:ascii="Consolas" w:cs="Consolas" w:eastAsia="Consolas" w:hAnsi="Consolas"/>
          <w:color w:val="243B53"/>
          <w:sz w:val="16"/>
          <w:szCs w:val="16"/>
        </w:rPr>
        <w:t xml:space="preserve">  ├── reset_timestamp.txt  Soft-reset marker consumed by the feeds endpoint</w:t>
      </w:r>
    </w:p>
    <w:p>
      <w:pPr>
        <w:shd w:fill="F4F6F8" w:color="auto" w:val="clear"/>
        <w:spacing w:after="0" w:line="240"/>
      </w:pPr>
      <w:r>
        <w:rPr>
          <w:rFonts w:ascii="Consolas" w:cs="Consolas" w:eastAsia="Consolas" w:hAnsi="Consolas"/>
          <w:color w:val="243B53"/>
          <w:sz w:val="16"/>
          <w:szCs w:val="16"/>
        </w:rPr>
        <w:t xml:space="preserve">  ├── assets/              Images</w:t>
      </w:r>
    </w:p>
    <w:p>
      <w:pPr>
        <w:shd w:fill="F4F6F8" w:color="auto" w:val="clear"/>
        <w:spacing w:after="0" w:line="240"/>
      </w:pPr>
      <w:r>
        <w:rPr>
          <w:rFonts w:ascii="Consolas" w:cs="Consolas" w:eastAsia="Consolas" w:hAnsi="Consolas"/>
          <w:color w:val="243B53"/>
          <w:sz w:val="16"/>
          <w:szCs w:val="16"/>
        </w:rPr>
        <w:t xml:space="preserve">  └── firmware/esp32_foodwatch/esp32_foodwatch.ino    ESP32 + HX711 firmware</w:t>
      </w:r>
    </w:p>
    <w:p>
      <w:pPr>
        <w:spacing w:after="200"/>
      </w:pPr>
    </w:p>
    <w:p>
      <w:pPr>
        <w:pStyle w:val="Heading1"/>
        <w:spacing w:after="160" w:before="320"/>
      </w:pPr>
      <w:r>
        <w:t xml:space="preserve">Appendix B — Key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300"/>
        <w:gridCol w:w="3626"/>
      </w:tblGrid>
      <w:tr>
        <w:trPr>
          <w:tblHeader/>
        </w:trPr>
        <w:tc>
          <w:tcPr>
            <w:tcW w:type="dxa" w:w="2500"/>
            <w:shd w:fill="16A34A" w:color="auto" w:val="clear"/>
            <w:tcMar>
              <w:top w:type="dxa" w:w="90"/>
              <w:left w:type="dxa" w:w="120"/>
              <w:bottom w:type="dxa" w:w="90"/>
              <w:right w:type="dxa" w:w="120"/>
            </w:tcMar>
          </w:tcPr>
          <w:p>
            <w:r>
              <w:rPr>
                <w:b/>
                <w:bCs/>
                <w:color w:val="FFFFFF"/>
                <w:sz w:val="18"/>
                <w:szCs w:val="18"/>
              </w:rPr>
              <w:t xml:space="preserve">Parameter</w:t>
            </w:r>
          </w:p>
        </w:tc>
        <w:tc>
          <w:tcPr>
            <w:tcW w:type="dxa" w:w="1600"/>
            <w:shd w:fill="16A34A" w:color="auto" w:val="clear"/>
            <w:tcMar>
              <w:top w:type="dxa" w:w="90"/>
              <w:left w:type="dxa" w:w="120"/>
              <w:bottom w:type="dxa" w:w="90"/>
              <w:right w:type="dxa" w:w="120"/>
            </w:tcMar>
          </w:tcPr>
          <w:p>
            <w:r>
              <w:rPr>
                <w:b/>
                <w:bCs/>
                <w:color w:val="FFFFFF"/>
                <w:sz w:val="18"/>
                <w:szCs w:val="18"/>
              </w:rPr>
              <w:t xml:space="preserve">Value</w:t>
            </w:r>
          </w:p>
        </w:tc>
        <w:tc>
          <w:tcPr>
            <w:tcW w:type="dxa" w:w="1300"/>
            <w:shd w:fill="16A34A" w:color="auto" w:val="clear"/>
            <w:tcMar>
              <w:top w:type="dxa" w:w="90"/>
              <w:left w:type="dxa" w:w="120"/>
              <w:bottom w:type="dxa" w:w="90"/>
              <w:right w:type="dxa" w:w="120"/>
            </w:tcMar>
          </w:tcPr>
          <w:p>
            <w:r>
              <w:rPr>
                <w:b/>
                <w:bCs/>
                <w:color w:val="FFFFFF"/>
                <w:sz w:val="18"/>
                <w:szCs w:val="18"/>
              </w:rPr>
              <w:t xml:space="preserve">Location</w:t>
            </w:r>
          </w:p>
        </w:tc>
        <w:tc>
          <w:tcPr>
            <w:tcW w:type="dxa" w:w="3626"/>
            <w:shd w:fill="16A34A" w:color="auto" w:val="clear"/>
            <w:tcMar>
              <w:top w:type="dxa" w:w="90"/>
              <w:left w:type="dxa" w:w="120"/>
              <w:bottom w:type="dxa" w:w="90"/>
              <w:right w:type="dxa" w:w="120"/>
            </w:tcMar>
          </w:tcPr>
          <w:p>
            <w:r>
              <w:rPr>
                <w:b/>
                <w:bCs/>
                <w:color w:val="FFFFFF"/>
                <w:sz w:val="18"/>
                <w:szCs w:val="18"/>
              </w:rPr>
              <w:t xml:space="preserve">Meaning</w:t>
            </w:r>
          </w:p>
        </w:tc>
      </w:tr>
      <w:tr>
        <w:tc>
          <w:tcPr>
            <w:tcW w:type="dxa" w:w="2500"/>
            <w:tcMar>
              <w:top w:type="dxa" w:w="80"/>
              <w:left w:type="dxa" w:w="120"/>
              <w:bottom w:type="dxa" w:w="80"/>
              <w:right w:type="dxa" w:w="120"/>
            </w:tcMar>
          </w:tcPr>
          <w:p>
            <w:r>
              <w:rPr>
                <w:sz w:val="18"/>
                <w:szCs w:val="18"/>
              </w:rPr>
              <w:t xml:space="preserve">MIN_EVENT_KG</w:t>
            </w:r>
          </w:p>
        </w:tc>
        <w:tc>
          <w:tcPr>
            <w:tcW w:type="dxa" w:w="1600"/>
            <w:tcMar>
              <w:top w:type="dxa" w:w="80"/>
              <w:left w:type="dxa" w:w="120"/>
              <w:bottom w:type="dxa" w:w="80"/>
              <w:right w:type="dxa" w:w="120"/>
            </w:tcMar>
          </w:tcPr>
          <w:p>
            <w:r>
              <w:rPr>
                <w:sz w:val="18"/>
                <w:szCs w:val="18"/>
              </w:rPr>
              <w:t xml:space="preserve">0.05 kg</w:t>
            </w:r>
          </w:p>
        </w:tc>
        <w:tc>
          <w:tcPr>
            <w:tcW w:type="dxa" w:w="1300"/>
            <w:tcMar>
              <w:top w:type="dxa" w:w="80"/>
              <w:left w:type="dxa" w:w="120"/>
              <w:bottom w:type="dxa" w:w="80"/>
              <w:right w:type="dxa" w:w="120"/>
            </w:tcMar>
          </w:tcPr>
          <w:p>
            <w:r>
              <w:rPr>
                <w:sz w:val="18"/>
                <w:szCs w:val="18"/>
              </w:rPr>
              <w:t xml:space="preserve">firmware</w:t>
            </w:r>
          </w:p>
        </w:tc>
        <w:tc>
          <w:tcPr>
            <w:tcW w:type="dxa" w:w="3626"/>
            <w:tcMar>
              <w:top w:type="dxa" w:w="80"/>
              <w:left w:type="dxa" w:w="120"/>
              <w:bottom w:type="dxa" w:w="80"/>
              <w:right w:type="dxa" w:w="120"/>
            </w:tcMar>
          </w:tcPr>
          <w:p>
            <w:r>
              <w:rPr>
                <w:sz w:val="18"/>
                <w:szCs w:val="18"/>
              </w:rPr>
              <w:t xml:space="preserve">Minimum mass treated as a disposal event</w:t>
            </w:r>
          </w:p>
        </w:tc>
      </w:tr>
      <w:tr>
        <w:tc>
          <w:tcPr>
            <w:tcW w:type="dxa" w:w="2500"/>
            <w:shd w:fill="F7FAF8" w:color="auto" w:val="clear"/>
            <w:tcMar>
              <w:top w:type="dxa" w:w="80"/>
              <w:left w:type="dxa" w:w="120"/>
              <w:bottom w:type="dxa" w:w="80"/>
              <w:right w:type="dxa" w:w="120"/>
            </w:tcMar>
          </w:tcPr>
          <w:p>
            <w:r>
              <w:rPr>
                <w:sz w:val="18"/>
                <w:szCs w:val="18"/>
              </w:rPr>
              <w:t xml:space="preserve">STABLE_TOL_KG</w:t>
            </w:r>
          </w:p>
        </w:tc>
        <w:tc>
          <w:tcPr>
            <w:tcW w:type="dxa" w:w="1600"/>
            <w:shd w:fill="F7FAF8" w:color="auto" w:val="clear"/>
            <w:tcMar>
              <w:top w:type="dxa" w:w="80"/>
              <w:left w:type="dxa" w:w="120"/>
              <w:bottom w:type="dxa" w:w="80"/>
              <w:right w:type="dxa" w:w="120"/>
            </w:tcMar>
          </w:tcPr>
          <w:p>
            <w:r>
              <w:rPr>
                <w:sz w:val="18"/>
                <w:szCs w:val="18"/>
              </w:rPr>
              <w:t xml:space="preserve">0.02 kg</w:t>
            </w:r>
          </w:p>
        </w:tc>
        <w:tc>
          <w:tcPr>
            <w:tcW w:type="dxa" w:w="1300"/>
            <w:shd w:fill="F7FAF8" w:color="auto" w:val="clear"/>
            <w:tcMar>
              <w:top w:type="dxa" w:w="80"/>
              <w:left w:type="dxa" w:w="120"/>
              <w:bottom w:type="dxa" w:w="80"/>
              <w:right w:type="dxa" w:w="120"/>
            </w:tcMar>
          </w:tcPr>
          <w:p>
            <w:r>
              <w:rPr>
                <w:sz w:val="18"/>
                <w:szCs w:val="18"/>
              </w:rPr>
              <w:t xml:space="preserve">firmware</w:t>
            </w:r>
          </w:p>
        </w:tc>
        <w:tc>
          <w:tcPr>
            <w:tcW w:type="dxa" w:w="3626"/>
            <w:shd w:fill="F7FAF8" w:color="auto" w:val="clear"/>
            <w:tcMar>
              <w:top w:type="dxa" w:w="80"/>
              <w:left w:type="dxa" w:w="120"/>
              <w:bottom w:type="dxa" w:w="80"/>
              <w:right w:type="dxa" w:w="120"/>
            </w:tcMar>
          </w:tcPr>
          <w:p>
            <w:r>
              <w:rPr>
                <w:sz w:val="18"/>
                <w:szCs w:val="18"/>
              </w:rPr>
              <w:t xml:space="preserve">Tolerance band defining a settled reading</w:t>
            </w:r>
          </w:p>
        </w:tc>
      </w:tr>
      <w:tr>
        <w:tc>
          <w:tcPr>
            <w:tcW w:type="dxa" w:w="2500"/>
            <w:tcMar>
              <w:top w:type="dxa" w:w="80"/>
              <w:left w:type="dxa" w:w="120"/>
              <w:bottom w:type="dxa" w:w="80"/>
              <w:right w:type="dxa" w:w="120"/>
            </w:tcMar>
          </w:tcPr>
          <w:p>
            <w:r>
              <w:rPr>
                <w:sz w:val="18"/>
                <w:szCs w:val="18"/>
              </w:rPr>
              <w:t xml:space="preserve">STABLE_SAMPLES</w:t>
            </w:r>
          </w:p>
        </w:tc>
        <w:tc>
          <w:tcPr>
            <w:tcW w:type="dxa" w:w="1600"/>
            <w:tcMar>
              <w:top w:type="dxa" w:w="80"/>
              <w:left w:type="dxa" w:w="120"/>
              <w:bottom w:type="dxa" w:w="80"/>
              <w:right w:type="dxa" w:w="120"/>
            </w:tcMar>
          </w:tcPr>
          <w:p>
            <w:r>
              <w:rPr>
                <w:sz w:val="18"/>
                <w:szCs w:val="18"/>
              </w:rPr>
              <w:t xml:space="preserve">8</w:t>
            </w:r>
          </w:p>
        </w:tc>
        <w:tc>
          <w:tcPr>
            <w:tcW w:type="dxa" w:w="1300"/>
            <w:tcMar>
              <w:top w:type="dxa" w:w="80"/>
              <w:left w:type="dxa" w:w="120"/>
              <w:bottom w:type="dxa" w:w="80"/>
              <w:right w:type="dxa" w:w="120"/>
            </w:tcMar>
          </w:tcPr>
          <w:p>
            <w:r>
              <w:rPr>
                <w:sz w:val="18"/>
                <w:szCs w:val="18"/>
              </w:rPr>
              <w:t xml:space="preserve">firmware</w:t>
            </w:r>
          </w:p>
        </w:tc>
        <w:tc>
          <w:tcPr>
            <w:tcW w:type="dxa" w:w="3626"/>
            <w:tcMar>
              <w:top w:type="dxa" w:w="80"/>
              <w:left w:type="dxa" w:w="120"/>
              <w:bottom w:type="dxa" w:w="80"/>
              <w:right w:type="dxa" w:w="120"/>
            </w:tcMar>
          </w:tcPr>
          <w:p>
            <w:r>
              <w:rPr>
                <w:sz w:val="18"/>
                <w:szCs w:val="18"/>
              </w:rPr>
              <w:t xml:space="preserve">Consecutive stable samples required</w:t>
            </w:r>
          </w:p>
        </w:tc>
      </w:tr>
      <w:tr>
        <w:tc>
          <w:tcPr>
            <w:tcW w:type="dxa" w:w="2500"/>
            <w:shd w:fill="F7FAF8" w:color="auto" w:val="clear"/>
            <w:tcMar>
              <w:top w:type="dxa" w:w="80"/>
              <w:left w:type="dxa" w:w="120"/>
              <w:bottom w:type="dxa" w:w="80"/>
              <w:right w:type="dxa" w:w="120"/>
            </w:tcMar>
          </w:tcPr>
          <w:p>
            <w:r>
              <w:rPr>
                <w:sz w:val="18"/>
                <w:szCs w:val="18"/>
              </w:rPr>
              <w:t xml:space="preserve">TS_MIN_INTERVAL_MS</w:t>
            </w:r>
          </w:p>
        </w:tc>
        <w:tc>
          <w:tcPr>
            <w:tcW w:type="dxa" w:w="1600"/>
            <w:shd w:fill="F7FAF8" w:color="auto" w:val="clear"/>
            <w:tcMar>
              <w:top w:type="dxa" w:w="80"/>
              <w:left w:type="dxa" w:w="120"/>
              <w:bottom w:type="dxa" w:w="80"/>
              <w:right w:type="dxa" w:w="120"/>
            </w:tcMar>
          </w:tcPr>
          <w:p>
            <w:r>
              <w:rPr>
                <w:sz w:val="18"/>
                <w:szCs w:val="18"/>
              </w:rPr>
              <w:t xml:space="preserve">16000 ms</w:t>
            </w:r>
          </w:p>
        </w:tc>
        <w:tc>
          <w:tcPr>
            <w:tcW w:type="dxa" w:w="1300"/>
            <w:shd w:fill="F7FAF8" w:color="auto" w:val="clear"/>
            <w:tcMar>
              <w:top w:type="dxa" w:w="80"/>
              <w:left w:type="dxa" w:w="120"/>
              <w:bottom w:type="dxa" w:w="80"/>
              <w:right w:type="dxa" w:w="120"/>
            </w:tcMar>
          </w:tcPr>
          <w:p>
            <w:r>
              <w:rPr>
                <w:sz w:val="18"/>
                <w:szCs w:val="18"/>
              </w:rPr>
              <w:t xml:space="preserve">firmware</w:t>
            </w:r>
          </w:p>
        </w:tc>
        <w:tc>
          <w:tcPr>
            <w:tcW w:type="dxa" w:w="3626"/>
            <w:shd w:fill="F7FAF8" w:color="auto" w:val="clear"/>
            <w:tcMar>
              <w:top w:type="dxa" w:w="80"/>
              <w:left w:type="dxa" w:w="120"/>
              <w:bottom w:type="dxa" w:w="80"/>
              <w:right w:type="dxa" w:w="120"/>
            </w:tcMar>
          </w:tcPr>
          <w:p>
            <w:r>
              <w:rPr>
                <w:sz w:val="18"/>
                <w:szCs w:val="18"/>
              </w:rPr>
              <w:t xml:space="preserve">Enforced gap between cloud writes</w:t>
            </w:r>
          </w:p>
        </w:tc>
      </w:tr>
      <w:tr>
        <w:tc>
          <w:tcPr>
            <w:tcW w:type="dxa" w:w="2500"/>
            <w:tcMar>
              <w:top w:type="dxa" w:w="80"/>
              <w:left w:type="dxa" w:w="120"/>
              <w:bottom w:type="dxa" w:w="80"/>
              <w:right w:type="dxa" w:w="120"/>
            </w:tcMar>
          </w:tcPr>
          <w:p>
            <w:r>
              <w:rPr>
                <w:sz w:val="18"/>
                <w:szCs w:val="18"/>
              </w:rPr>
              <w:t xml:space="preserve">CALIBRATION_FACTOR</w:t>
            </w:r>
          </w:p>
        </w:tc>
        <w:tc>
          <w:tcPr>
            <w:tcW w:type="dxa" w:w="1600"/>
            <w:tcMar>
              <w:top w:type="dxa" w:w="80"/>
              <w:left w:type="dxa" w:w="120"/>
              <w:bottom w:type="dxa" w:w="80"/>
              <w:right w:type="dxa" w:w="120"/>
            </w:tcMar>
          </w:tcPr>
          <w:p>
            <w:r>
              <w:rPr>
                <w:sz w:val="18"/>
                <w:szCs w:val="18"/>
              </w:rPr>
              <w:t xml:space="preserve">per unit</w:t>
            </w:r>
          </w:p>
        </w:tc>
        <w:tc>
          <w:tcPr>
            <w:tcW w:type="dxa" w:w="1300"/>
            <w:tcMar>
              <w:top w:type="dxa" w:w="80"/>
              <w:left w:type="dxa" w:w="120"/>
              <w:bottom w:type="dxa" w:w="80"/>
              <w:right w:type="dxa" w:w="120"/>
            </w:tcMar>
          </w:tcPr>
          <w:p>
            <w:r>
              <w:rPr>
                <w:sz w:val="18"/>
                <w:szCs w:val="18"/>
              </w:rPr>
              <w:t xml:space="preserve">firmware</w:t>
            </w:r>
          </w:p>
        </w:tc>
        <w:tc>
          <w:tcPr>
            <w:tcW w:type="dxa" w:w="3626"/>
            <w:tcMar>
              <w:top w:type="dxa" w:w="80"/>
              <w:left w:type="dxa" w:w="120"/>
              <w:bottom w:type="dxa" w:w="80"/>
              <w:right w:type="dxa" w:w="120"/>
            </w:tcMar>
          </w:tcPr>
          <w:p>
            <w:r>
              <w:rPr>
                <w:sz w:val="18"/>
                <w:szCs w:val="18"/>
              </w:rPr>
              <w:t xml:space="preserve">Raw ADC counts per gram</w:t>
            </w:r>
          </w:p>
        </w:tc>
      </w:tr>
      <w:tr>
        <w:tc>
          <w:tcPr>
            <w:tcW w:type="dxa" w:w="2500"/>
            <w:shd w:fill="F7FAF8" w:color="auto" w:val="clear"/>
            <w:tcMar>
              <w:top w:type="dxa" w:w="80"/>
              <w:left w:type="dxa" w:w="120"/>
              <w:bottom w:type="dxa" w:w="80"/>
              <w:right w:type="dxa" w:w="120"/>
            </w:tcMar>
          </w:tcPr>
          <w:p>
            <w:r>
              <w:rPr>
                <w:sz w:val="18"/>
                <w:szCs w:val="18"/>
              </w:rPr>
              <w:t xml:space="preserve">MIN_VALID_KG / MAX_VALID_KG</w:t>
            </w:r>
          </w:p>
        </w:tc>
        <w:tc>
          <w:tcPr>
            <w:tcW w:type="dxa" w:w="1600"/>
            <w:shd w:fill="F7FAF8" w:color="auto" w:val="clear"/>
            <w:tcMar>
              <w:top w:type="dxa" w:w="80"/>
              <w:left w:type="dxa" w:w="120"/>
              <w:bottom w:type="dxa" w:w="80"/>
              <w:right w:type="dxa" w:w="120"/>
            </w:tcMar>
          </w:tcPr>
          <w:p>
            <w:r>
              <w:rPr>
                <w:sz w:val="18"/>
                <w:szCs w:val="18"/>
              </w:rPr>
              <w:t xml:space="preserve">0.02 / 60 kg</w:t>
            </w:r>
          </w:p>
        </w:tc>
        <w:tc>
          <w:tcPr>
            <w:tcW w:type="dxa" w:w="1300"/>
            <w:shd w:fill="F7FAF8" w:color="auto" w:val="clear"/>
            <w:tcMar>
              <w:top w:type="dxa" w:w="80"/>
              <w:left w:type="dxa" w:w="120"/>
              <w:bottom w:type="dxa" w:w="80"/>
              <w:right w:type="dxa" w:w="120"/>
            </w:tcMar>
          </w:tcPr>
          <w:p>
            <w:r>
              <w:rPr>
                <w:sz w:val="18"/>
                <w:szCs w:val="18"/>
              </w:rPr>
              <w:t xml:space="preserve">config.js</w:t>
            </w:r>
          </w:p>
        </w:tc>
        <w:tc>
          <w:tcPr>
            <w:tcW w:type="dxa" w:w="3626"/>
            <w:shd w:fill="F7FAF8" w:color="auto" w:val="clear"/>
            <w:tcMar>
              <w:top w:type="dxa" w:w="80"/>
              <w:left w:type="dxa" w:w="120"/>
              <w:bottom w:type="dxa" w:w="80"/>
              <w:right w:type="dxa" w:w="120"/>
            </w:tcMar>
          </w:tcPr>
          <w:p>
            <w:r>
              <w:rPr>
                <w:sz w:val="18"/>
                <w:szCs w:val="18"/>
              </w:rPr>
              <w:t xml:space="preserve">Validity bounds for an accepted reading</w:t>
            </w:r>
          </w:p>
        </w:tc>
      </w:tr>
      <w:tr>
        <w:tc>
          <w:tcPr>
            <w:tcW w:type="dxa" w:w="2500"/>
            <w:tcMar>
              <w:top w:type="dxa" w:w="80"/>
              <w:left w:type="dxa" w:w="120"/>
              <w:bottom w:type="dxa" w:w="80"/>
              <w:right w:type="dxa" w:w="120"/>
            </w:tcMar>
          </w:tcPr>
          <w:p>
            <w:r>
              <w:rPr>
                <w:sz w:val="18"/>
                <w:szCs w:val="18"/>
              </w:rPr>
              <w:t xml:space="preserve">PRICE_PER_KG</w:t>
            </w:r>
          </w:p>
        </w:tc>
        <w:tc>
          <w:tcPr>
            <w:tcW w:type="dxa" w:w="1600"/>
            <w:tcMar>
              <w:top w:type="dxa" w:w="80"/>
              <w:left w:type="dxa" w:w="120"/>
              <w:bottom w:type="dxa" w:w="80"/>
              <w:right w:type="dxa" w:w="120"/>
            </w:tcMar>
          </w:tcPr>
          <w:p>
            <w:r>
              <w:rPr>
                <w:sz w:val="18"/>
                <w:szCs w:val="18"/>
              </w:rPr>
              <w:t xml:space="preserve">₹75</w:t>
            </w:r>
          </w:p>
        </w:tc>
        <w:tc>
          <w:tcPr>
            <w:tcW w:type="dxa" w:w="1300"/>
            <w:tcMar>
              <w:top w:type="dxa" w:w="80"/>
              <w:left w:type="dxa" w:w="120"/>
              <w:bottom w:type="dxa" w:w="80"/>
              <w:right w:type="dxa" w:w="120"/>
            </w:tcMar>
          </w:tcPr>
          <w:p>
            <w:r>
              <w:rPr>
                <w:sz w:val="18"/>
                <w:szCs w:val="18"/>
              </w:rPr>
              <w:t xml:space="preserve">config.js</w:t>
            </w:r>
          </w:p>
        </w:tc>
        <w:tc>
          <w:tcPr>
            <w:tcW w:type="dxa" w:w="3626"/>
            <w:tcMar>
              <w:top w:type="dxa" w:w="80"/>
              <w:left w:type="dxa" w:w="120"/>
              <w:bottom w:type="dxa" w:w="80"/>
              <w:right w:type="dxa" w:w="120"/>
            </w:tcMar>
          </w:tcPr>
          <w:p>
            <w:r>
              <w:rPr>
                <w:sz w:val="18"/>
                <w:szCs w:val="18"/>
              </w:rPr>
              <w:t xml:space="preserve">Monetary value of 1 kg of food</w:t>
            </w:r>
          </w:p>
        </w:tc>
      </w:tr>
      <w:tr>
        <w:tc>
          <w:tcPr>
            <w:tcW w:type="dxa" w:w="2500"/>
            <w:shd w:fill="F7FAF8" w:color="auto" w:val="clear"/>
            <w:tcMar>
              <w:top w:type="dxa" w:w="80"/>
              <w:left w:type="dxa" w:w="120"/>
              <w:bottom w:type="dxa" w:w="80"/>
              <w:right w:type="dxa" w:w="120"/>
            </w:tcMar>
          </w:tcPr>
          <w:p>
            <w:r>
              <w:rPr>
                <w:sz w:val="18"/>
                <w:szCs w:val="18"/>
              </w:rPr>
              <w:t xml:space="preserve">CO2_PER_KG</w:t>
            </w:r>
          </w:p>
        </w:tc>
        <w:tc>
          <w:tcPr>
            <w:tcW w:type="dxa" w:w="1600"/>
            <w:shd w:fill="F7FAF8" w:color="auto" w:val="clear"/>
            <w:tcMar>
              <w:top w:type="dxa" w:w="80"/>
              <w:left w:type="dxa" w:w="120"/>
              <w:bottom w:type="dxa" w:w="80"/>
              <w:right w:type="dxa" w:w="120"/>
            </w:tcMar>
          </w:tcPr>
          <w:p>
            <w:r>
              <w:rPr>
                <w:sz w:val="18"/>
                <w:szCs w:val="18"/>
              </w:rPr>
              <w:t xml:space="preserve">2.5 kg CO₂e</w:t>
            </w:r>
          </w:p>
        </w:tc>
        <w:tc>
          <w:tcPr>
            <w:tcW w:type="dxa" w:w="1300"/>
            <w:shd w:fill="F7FAF8" w:color="auto" w:val="clear"/>
            <w:tcMar>
              <w:top w:type="dxa" w:w="80"/>
              <w:left w:type="dxa" w:w="120"/>
              <w:bottom w:type="dxa" w:w="80"/>
              <w:right w:type="dxa" w:w="120"/>
            </w:tcMar>
          </w:tcPr>
          <w:p>
            <w:r>
              <w:rPr>
                <w:sz w:val="18"/>
                <w:szCs w:val="18"/>
              </w:rPr>
              <w:t xml:space="preserve">config.js</w:t>
            </w:r>
          </w:p>
        </w:tc>
        <w:tc>
          <w:tcPr>
            <w:tcW w:type="dxa" w:w="3626"/>
            <w:shd w:fill="F7FAF8" w:color="auto" w:val="clear"/>
            <w:tcMar>
              <w:top w:type="dxa" w:w="80"/>
              <w:left w:type="dxa" w:w="120"/>
              <w:bottom w:type="dxa" w:w="80"/>
              <w:right w:type="dxa" w:w="120"/>
            </w:tcMar>
          </w:tcPr>
          <w:p>
            <w:r>
              <w:rPr>
                <w:sz w:val="18"/>
                <w:szCs w:val="18"/>
              </w:rPr>
              <w:t xml:space="preserve">Emissions per kg of wasted food</w:t>
            </w:r>
          </w:p>
        </w:tc>
      </w:tr>
      <w:tr>
        <w:tc>
          <w:tcPr>
            <w:tcW w:type="dxa" w:w="2500"/>
            <w:tcMar>
              <w:top w:type="dxa" w:w="80"/>
              <w:left w:type="dxa" w:w="120"/>
              <w:bottom w:type="dxa" w:w="80"/>
              <w:right w:type="dxa" w:w="120"/>
            </w:tcMar>
          </w:tcPr>
          <w:p>
            <w:r>
              <w:rPr>
                <w:sz w:val="18"/>
                <w:szCs w:val="18"/>
              </w:rPr>
              <w:t xml:space="preserve">KG_PER_MEAL</w:t>
            </w:r>
          </w:p>
        </w:tc>
        <w:tc>
          <w:tcPr>
            <w:tcW w:type="dxa" w:w="1600"/>
            <w:tcMar>
              <w:top w:type="dxa" w:w="80"/>
              <w:left w:type="dxa" w:w="120"/>
              <w:bottom w:type="dxa" w:w="80"/>
              <w:right w:type="dxa" w:w="120"/>
            </w:tcMar>
          </w:tcPr>
          <w:p>
            <w:r>
              <w:rPr>
                <w:sz w:val="18"/>
                <w:szCs w:val="18"/>
              </w:rPr>
              <w:t xml:space="preserve">0.4 kg</w:t>
            </w:r>
          </w:p>
        </w:tc>
        <w:tc>
          <w:tcPr>
            <w:tcW w:type="dxa" w:w="1300"/>
            <w:tcMar>
              <w:top w:type="dxa" w:w="80"/>
              <w:left w:type="dxa" w:w="120"/>
              <w:bottom w:type="dxa" w:w="80"/>
              <w:right w:type="dxa" w:w="120"/>
            </w:tcMar>
          </w:tcPr>
          <w:p>
            <w:r>
              <w:rPr>
                <w:sz w:val="18"/>
                <w:szCs w:val="18"/>
              </w:rPr>
              <w:t xml:space="preserve">config.js</w:t>
            </w:r>
          </w:p>
        </w:tc>
        <w:tc>
          <w:tcPr>
            <w:tcW w:type="dxa" w:w="3626"/>
            <w:tcMar>
              <w:top w:type="dxa" w:w="80"/>
              <w:left w:type="dxa" w:w="120"/>
              <w:bottom w:type="dxa" w:w="80"/>
              <w:right w:type="dxa" w:w="120"/>
            </w:tcMar>
          </w:tcPr>
          <w:p>
            <w:r>
              <w:rPr>
                <w:sz w:val="18"/>
                <w:szCs w:val="18"/>
              </w:rPr>
              <w:t xml:space="preserve">Average mass of one meal</w:t>
            </w:r>
          </w:p>
        </w:tc>
      </w:tr>
      <w:tr>
        <w:tc>
          <w:tcPr>
            <w:tcW w:type="dxa" w:w="2500"/>
            <w:shd w:fill="F7FAF8" w:color="auto" w:val="clear"/>
            <w:tcMar>
              <w:top w:type="dxa" w:w="80"/>
              <w:left w:type="dxa" w:w="120"/>
              <w:bottom w:type="dxa" w:w="80"/>
              <w:right w:type="dxa" w:w="120"/>
            </w:tcMar>
          </w:tcPr>
          <w:p>
            <w:r>
              <w:rPr>
                <w:sz w:val="18"/>
                <w:szCs w:val="18"/>
              </w:rPr>
              <w:t xml:space="preserve">HOSTEL_POPULATION</w:t>
            </w:r>
          </w:p>
        </w:tc>
        <w:tc>
          <w:tcPr>
            <w:tcW w:type="dxa" w:w="1600"/>
            <w:shd w:fill="F7FAF8" w:color="auto" w:val="clear"/>
            <w:tcMar>
              <w:top w:type="dxa" w:w="80"/>
              <w:left w:type="dxa" w:w="120"/>
              <w:bottom w:type="dxa" w:w="80"/>
              <w:right w:type="dxa" w:w="120"/>
            </w:tcMar>
          </w:tcPr>
          <w:p>
            <w:r>
              <w:rPr>
                <w:sz w:val="18"/>
                <w:szCs w:val="18"/>
              </w:rPr>
              <w:t xml:space="preserve">450</w:t>
            </w:r>
          </w:p>
        </w:tc>
        <w:tc>
          <w:tcPr>
            <w:tcW w:type="dxa" w:w="1300"/>
            <w:shd w:fill="F7FAF8" w:color="auto" w:val="clear"/>
            <w:tcMar>
              <w:top w:type="dxa" w:w="80"/>
              <w:left w:type="dxa" w:w="120"/>
              <w:bottom w:type="dxa" w:w="80"/>
              <w:right w:type="dxa" w:w="120"/>
            </w:tcMar>
          </w:tcPr>
          <w:p>
            <w:r>
              <w:rPr>
                <w:sz w:val="18"/>
                <w:szCs w:val="18"/>
              </w:rPr>
              <w:t xml:space="preserve">config.js</w:t>
            </w:r>
          </w:p>
        </w:tc>
        <w:tc>
          <w:tcPr>
            <w:tcW w:type="dxa" w:w="3626"/>
            <w:shd w:fill="F7FAF8" w:color="auto" w:val="clear"/>
            <w:tcMar>
              <w:top w:type="dxa" w:w="80"/>
              <w:left w:type="dxa" w:w="120"/>
              <w:bottom w:type="dxa" w:w="80"/>
              <w:right w:type="dxa" w:w="120"/>
            </w:tcMar>
          </w:tcPr>
          <w:p>
            <w:r>
              <w:rPr>
                <w:sz w:val="18"/>
                <w:szCs w:val="18"/>
              </w:rPr>
              <w:t xml:space="preserve">Residents per hostel, for per-capita figures</w:t>
            </w:r>
          </w:p>
        </w:tc>
      </w:tr>
      <w:tr>
        <w:tc>
          <w:tcPr>
            <w:tcW w:type="dxa" w:w="2500"/>
            <w:tcMar>
              <w:top w:type="dxa" w:w="80"/>
              <w:left w:type="dxa" w:w="120"/>
              <w:bottom w:type="dxa" w:w="80"/>
              <w:right w:type="dxa" w:w="120"/>
            </w:tcMar>
          </w:tcPr>
          <w:p>
            <w:r>
              <w:rPr>
                <w:sz w:val="18"/>
                <w:szCs w:val="18"/>
              </w:rPr>
              <w:t xml:space="preserve">REFRESH_SECONDS</w:t>
            </w:r>
          </w:p>
        </w:tc>
        <w:tc>
          <w:tcPr>
            <w:tcW w:type="dxa" w:w="1600"/>
            <w:tcMar>
              <w:top w:type="dxa" w:w="80"/>
              <w:left w:type="dxa" w:w="120"/>
              <w:bottom w:type="dxa" w:w="80"/>
              <w:right w:type="dxa" w:w="120"/>
            </w:tcMar>
          </w:tcPr>
          <w:p>
            <w:r>
              <w:rPr>
                <w:sz w:val="18"/>
                <w:szCs w:val="18"/>
              </w:rPr>
              <w:t xml:space="preserve">20 s</w:t>
            </w:r>
          </w:p>
        </w:tc>
        <w:tc>
          <w:tcPr>
            <w:tcW w:type="dxa" w:w="1300"/>
            <w:tcMar>
              <w:top w:type="dxa" w:w="80"/>
              <w:left w:type="dxa" w:w="120"/>
              <w:bottom w:type="dxa" w:w="80"/>
              <w:right w:type="dxa" w:w="120"/>
            </w:tcMar>
          </w:tcPr>
          <w:p>
            <w:r>
              <w:rPr>
                <w:sz w:val="18"/>
                <w:szCs w:val="18"/>
              </w:rPr>
              <w:t xml:space="preserve">config.js</w:t>
            </w:r>
          </w:p>
        </w:tc>
        <w:tc>
          <w:tcPr>
            <w:tcW w:type="dxa" w:w="3626"/>
            <w:tcMar>
              <w:top w:type="dxa" w:w="80"/>
              <w:left w:type="dxa" w:w="120"/>
              <w:bottom w:type="dxa" w:w="80"/>
              <w:right w:type="dxa" w:w="120"/>
            </w:tcMar>
          </w:tcPr>
          <w:p>
            <w:r>
              <w:rPr>
                <w:sz w:val="18"/>
                <w:szCs w:val="18"/>
              </w:rPr>
              <w:t xml:space="preserve">Dashboard polling interval</w:t>
            </w:r>
          </w:p>
        </w:tc>
      </w:tr>
      <w:tr>
        <w:tc>
          <w:tcPr>
            <w:tcW w:type="dxa" w:w="2500"/>
            <w:shd w:fill="F7FAF8" w:color="auto" w:val="clear"/>
            <w:tcMar>
              <w:top w:type="dxa" w:w="80"/>
              <w:left w:type="dxa" w:w="120"/>
              <w:bottom w:type="dxa" w:w="80"/>
              <w:right w:type="dxa" w:w="120"/>
            </w:tcMar>
          </w:tcPr>
          <w:p>
            <w:r>
              <w:rPr>
                <w:sz w:val="18"/>
                <w:szCs w:val="18"/>
              </w:rPr>
              <w:t xml:space="preserve">DEVICE_ONLINE_MINUTES</w:t>
            </w:r>
          </w:p>
        </w:tc>
        <w:tc>
          <w:tcPr>
            <w:tcW w:type="dxa" w:w="1600"/>
            <w:shd w:fill="F7FAF8" w:color="auto" w:val="clear"/>
            <w:tcMar>
              <w:top w:type="dxa" w:w="80"/>
              <w:left w:type="dxa" w:w="120"/>
              <w:bottom w:type="dxa" w:w="80"/>
              <w:right w:type="dxa" w:w="120"/>
            </w:tcMar>
          </w:tcPr>
          <w:p>
            <w:r>
              <w:rPr>
                <w:sz w:val="18"/>
                <w:szCs w:val="18"/>
              </w:rPr>
              <w:t xml:space="preserve">10 min</w:t>
            </w:r>
          </w:p>
        </w:tc>
        <w:tc>
          <w:tcPr>
            <w:tcW w:type="dxa" w:w="1300"/>
            <w:shd w:fill="F7FAF8" w:color="auto" w:val="clear"/>
            <w:tcMar>
              <w:top w:type="dxa" w:w="80"/>
              <w:left w:type="dxa" w:w="120"/>
              <w:bottom w:type="dxa" w:w="80"/>
              <w:right w:type="dxa" w:w="120"/>
            </w:tcMar>
          </w:tcPr>
          <w:p>
            <w:r>
              <w:rPr>
                <w:sz w:val="18"/>
                <w:szCs w:val="18"/>
              </w:rPr>
              <w:t xml:space="preserve">config.js</w:t>
            </w:r>
          </w:p>
        </w:tc>
        <w:tc>
          <w:tcPr>
            <w:tcW w:type="dxa" w:w="3626"/>
            <w:shd w:fill="F7FAF8" w:color="auto" w:val="clear"/>
            <w:tcMar>
              <w:top w:type="dxa" w:w="80"/>
              <w:left w:type="dxa" w:w="120"/>
              <w:bottom w:type="dxa" w:w="80"/>
              <w:right w:type="dxa" w:w="120"/>
            </w:tcMar>
          </w:tcPr>
          <w:p>
            <w:r>
              <w:rPr>
                <w:sz w:val="18"/>
                <w:szCs w:val="18"/>
              </w:rPr>
              <w:t xml:space="preserve">Recency window defining an online device</w:t>
            </w:r>
          </w:p>
        </w:tc>
      </w:tr>
      <w:tr>
        <w:tc>
          <w:tcPr>
            <w:tcW w:type="dxa" w:w="2500"/>
            <w:tcMar>
              <w:top w:type="dxa" w:w="80"/>
              <w:left w:type="dxa" w:w="120"/>
              <w:bottom w:type="dxa" w:w="80"/>
              <w:right w:type="dxa" w:w="120"/>
            </w:tcMar>
          </w:tcPr>
          <w:p>
            <w:r>
              <w:rPr>
                <w:sz w:val="18"/>
                <w:szCs w:val="18"/>
              </w:rPr>
              <w:t xml:space="preserve">DEMO_FILL</w:t>
            </w:r>
          </w:p>
        </w:tc>
        <w:tc>
          <w:tcPr>
            <w:tcW w:type="dxa" w:w="1600"/>
            <w:tcMar>
              <w:top w:type="dxa" w:w="80"/>
              <w:left w:type="dxa" w:w="120"/>
              <w:bottom w:type="dxa" w:w="80"/>
              <w:right w:type="dxa" w:w="120"/>
            </w:tcMar>
          </w:tcPr>
          <w:p>
            <w:r>
              <w:rPr>
                <w:sz w:val="18"/>
                <w:szCs w:val="18"/>
              </w:rPr>
              <w:t xml:space="preserve">false</w:t>
            </w:r>
          </w:p>
        </w:tc>
        <w:tc>
          <w:tcPr>
            <w:tcW w:type="dxa" w:w="1300"/>
            <w:tcMar>
              <w:top w:type="dxa" w:w="80"/>
              <w:left w:type="dxa" w:w="120"/>
              <w:bottom w:type="dxa" w:w="80"/>
              <w:right w:type="dxa" w:w="120"/>
            </w:tcMar>
          </w:tcPr>
          <w:p>
            <w:r>
              <w:rPr>
                <w:sz w:val="18"/>
                <w:szCs w:val="18"/>
              </w:rPr>
              <w:t xml:space="preserve">config.js</w:t>
            </w:r>
          </w:p>
        </w:tc>
        <w:tc>
          <w:tcPr>
            <w:tcW w:type="dxa" w:w="3626"/>
            <w:tcMar>
              <w:top w:type="dxa" w:w="80"/>
              <w:left w:type="dxa" w:w="120"/>
              <w:bottom w:type="dxa" w:w="80"/>
              <w:right w:type="dxa" w:w="120"/>
            </w:tcMar>
          </w:tcPr>
          <w:p>
            <w:r>
              <w:rPr>
                <w:sz w:val="18"/>
                <w:szCs w:val="18"/>
              </w:rPr>
              <w:t xml:space="preserve">Simulated data disabled — real readings only</w:t>
            </w:r>
          </w:p>
        </w:tc>
      </w:tr>
    </w:tbl>
    <w:p>
      <w:pPr>
        <w:spacing w:after="200"/>
      </w:pPr>
    </w:p>
    <w:p>
      <w:pPr>
        <w:pStyle w:val="Heading1"/>
        <w:spacing w:after="160" w:before="320"/>
      </w:pPr>
      <w:r>
        <w:t xml:space="preserve">Appendix C — References</w:t>
      </w:r>
    </w:p>
    <w:p>
      <w:pPr>
        <w:pStyle w:val="ListParagraph"/>
        <w:numPr>
          <w:ilvl w:val="0"/>
          <w:numId w:val="2"/>
        </w:numPr>
        <w:spacing w:after="80" w:line="280"/>
      </w:pPr>
      <w:r>
        <w:rPr>
          <w:color w:val="101828"/>
          <w:sz w:val="21"/>
          <w:szCs w:val="21"/>
        </w:rPr>
        <w:t xml:space="preserve">United Nations Environment Programme (UNEP), Food Waste Index Report — household food waste in India.</w:t>
      </w:r>
    </w:p>
    <w:p>
      <w:pPr>
        <w:pStyle w:val="ListParagraph"/>
        <w:numPr>
          <w:ilvl w:val="0"/>
          <w:numId w:val="2"/>
        </w:numPr>
        <w:spacing w:after="80" w:line="280"/>
      </w:pPr>
      <w:r>
        <w:rPr>
          <w:color w:val="101828"/>
          <w:sz w:val="21"/>
          <w:szCs w:val="21"/>
        </w:rPr>
        <w:t xml:space="preserve">National Resources Defense Council (NRDC) — food loss and waste in the United States and Asia.</w:t>
      </w:r>
    </w:p>
    <w:p>
      <w:pPr>
        <w:pStyle w:val="ListParagraph"/>
        <w:numPr>
          <w:ilvl w:val="0"/>
          <w:numId w:val="2"/>
        </w:numPr>
        <w:spacing w:after="80" w:line="280"/>
      </w:pPr>
      <w:r>
        <w:rPr>
          <w:color w:val="101828"/>
          <w:sz w:val="21"/>
          <w:szCs w:val="21"/>
        </w:rPr>
        <w:t xml:space="preserve">Times of Agriculture, “Food Wastage in India: From Farm to Bin” — economic loss estimates.</w:t>
      </w:r>
    </w:p>
    <w:p>
      <w:pPr>
        <w:pStyle w:val="ListParagraph"/>
        <w:numPr>
          <w:ilvl w:val="0"/>
          <w:numId w:val="2"/>
        </w:numPr>
        <w:spacing w:after="80" w:line="280"/>
      </w:pPr>
      <w:r>
        <w:rPr>
          <w:color w:val="101828"/>
          <w:sz w:val="21"/>
          <w:szCs w:val="21"/>
        </w:rPr>
        <w:t xml:space="preserve">The Guardian — financial returns from business investment in food-waste reduction.</w:t>
      </w:r>
    </w:p>
    <w:p>
      <w:pPr>
        <w:pStyle w:val="ListParagraph"/>
        <w:numPr>
          <w:ilvl w:val="0"/>
          <w:numId w:val="2"/>
        </w:numPr>
        <w:spacing w:after="80" w:line="280"/>
      </w:pPr>
      <w:r>
        <w:rPr>
          <w:color w:val="101828"/>
          <w:sz w:val="21"/>
          <w:szCs w:val="21"/>
        </w:rPr>
        <w:t xml:space="preserve">MathWorks ThingSpeak REST API documentation — channel read, update and clear operations.</w:t>
      </w:r>
    </w:p>
    <w:p>
      <w:pPr>
        <w:pStyle w:val="ListParagraph"/>
        <w:numPr>
          <w:ilvl w:val="0"/>
          <w:numId w:val="2"/>
        </w:numPr>
        <w:spacing w:after="80" w:line="280"/>
      </w:pPr>
      <w:r>
        <w:rPr>
          <w:color w:val="101828"/>
          <w:sz w:val="21"/>
          <w:szCs w:val="21"/>
        </w:rPr>
        <w:t xml:space="preserve">B. Necula, HX711 Arduino Library (bogde/HX711).</w:t>
      </w:r>
    </w:p>
    <w:p>
      <w:pPr>
        <w:pStyle w:val="ListParagraph"/>
        <w:numPr>
          <w:ilvl w:val="0"/>
          <w:numId w:val="2"/>
        </w:numPr>
        <w:spacing w:after="80" w:line="280"/>
      </w:pPr>
      <w:r>
        <w:rPr>
          <w:color w:val="101828"/>
          <w:sz w:val="21"/>
          <w:szCs w:val="21"/>
        </w:rPr>
        <w:t xml:space="preserve">Espressif Systems, ESP32 Arduino Core documentation.</w:t>
      </w:r>
    </w:p>
    <w:p>
      <w:pPr>
        <w:spacing w:after="240"/>
      </w:pPr>
    </w:p>
    <w:p>
      <w:pPr>
        <w:pBdr>
          <w:top w:val="single" w:color="16A34A" w:sz="6"/>
        </w:pBdr>
        <w:spacing w:before="240"/>
        <w:jc w:val="center"/>
      </w:pPr>
      <w:r>
        <w:rPr>
          <w:i/>
          <w:iCs/>
          <w:color w:val="667085"/>
          <w:sz w:val="19"/>
          <w:szCs w:val="19"/>
        </w:rPr>
        <w:t xml:space="preserve">WasteWise — an initiative supported by IIT Guwahati TIH</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WasteWise — Detailed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E3DC" w:sz="4" w:space="6"/>
      </w:pBdr>
      <w:spacing w:after="160" w:before="320"/>
    </w:pPr>
    <w:rPr>
      <w:rFonts w:ascii="Calibri" w:cs="Calibri" w:eastAsia="Calibri" w:hAnsi="Calibri"/>
      <w:b/>
      <w:bCs/>
      <w:color w:val="16A34A"/>
      <w:sz w:val="30"/>
      <w:szCs w:val="30"/>
    </w:rPr>
  </w:style>
  <w:style w:type="paragraph" w:styleId="Heading2">
    <w:name w:val="Heading 2"/>
    <w:basedOn w:val="Normal"/>
    <w:next w:val="Normal"/>
    <w:qFormat/>
    <w:pPr>
      <w:spacing w:after="100" w:before="240"/>
    </w:pPr>
    <w:rPr>
      <w:rFonts w:ascii="Calibri" w:cs="Calibri" w:eastAsia="Calibri" w:hAnsi="Calibri"/>
      <w:b/>
      <w:bCs/>
      <w:color w:val="1018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WasteWise — Detailed Project Report</dc:title>
  <dc:creator>WasteWise Project Team</dc:creator>
  <dc:description>IoT-Based Real-Time Food Waste Monitoring &amp; Analytics System — IIT Guwahati TIH</dc:description>
  <cp:lastModifiedBy>Un-named</cp:lastModifiedBy>
  <cp:revision>1</cp:revision>
  <dcterms:created xsi:type="dcterms:W3CDTF">2026-07-14T19:13:27.209Z</dcterms:created>
  <dcterms:modified xsi:type="dcterms:W3CDTF">2026-07-14T19:13:27.220Z</dcterms:modified>
</cp:coreProperties>
</file>

<file path=docProps/custom.xml><?xml version="1.0" encoding="utf-8"?>
<Properties xmlns="http://schemas.openxmlformats.org/officeDocument/2006/custom-properties" xmlns:vt="http://schemas.openxmlformats.org/officeDocument/2006/docPropsVTypes"/>
</file>