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pStyle w:val="Title"/>
      </w:pPr>
      <w:r>
        <w:t>GRID-GUARD</w:t>
      </w:r>
    </w:p>
    <w:p>
      <w:pPr>
        <w:pStyle w:val="Subtitle"/>
      </w:pPr>
      <w:r>
        <w:t>A Financial-Aware Smart Meter Tampering and Non-Technical Loss Detection Platform</w:t>
      </w:r>
    </w:p>
    <w:p>
      <w:pPr>
        <w:jc w:val="center"/>
      </w:pPr>
      <w:r>
        <w:rPr>
          <w:b/>
          <w:color w:val="1E3A8A"/>
          <w:sz w:val="20"/>
        </w:rPr>
        <w:t>____________________________________________________</w:t>
      </w:r>
    </w:p>
    <w:p>
      <w:pPr>
        <w:spacing w:before="480" w:after="480" w:line="312" w:lineRule="auto"/>
        <w:jc w:val="center"/>
      </w:pPr>
      <w:r>
        <w:rPr>
          <w:rFonts w:ascii="Arial" w:hAnsi="Arial"/>
          <w:i/>
          <w:color w:val="1F2937"/>
          <w:sz w:val="24"/>
        </w:rPr>
        <w:t>A Comprehensive Technical Project Report</w:t>
        <w:br/>
        <w:t>Submitted in Partial Fulfillment of the Requirements for the Degree of</w:t>
        <w:br/>
        <w:t>Bachelor of Technology in Computer Science &amp; Engineering / Data Science</w:t>
      </w:r>
    </w:p>
    <w:tbl>
      <w:tblPr>
        <w:tblW w:type="auto" w:w="0"/>
        <w:jc w:val="center"/>
        <w:tblLook w:firstColumn="1" w:firstRow="1" w:lastColumn="0" w:lastRow="0" w:noHBand="0" w:noVBand="1" w:val="04A0"/>
      </w:tblPr>
      <w:tblGrid>
        <w:gridCol w:w="4680"/>
        <w:gridCol w:w="4680"/>
      </w:tblGrid>
      <w:tr>
        <w:trPr>
          <w:cantSplit/>
        </w:trPr>
        <w:tc>
          <w:tcPr>
            <w:tcW w:type="dxa" w:w="4680"/>
            <w:shd w:fill="F8FAFC"/>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b/>
                <w:color w:val="1E3A8A"/>
                <w:sz w:val="19"/>
              </w:rPr>
              <w:t>Project Title</w:t>
            </w:r>
          </w:p>
        </w:tc>
        <w:tc>
          <w:tcPr>
            <w:tcW w:type="dxa" w:w="4680"/>
            <w:shd w:fill="FFFFFF"/>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color w:val="1F2937"/>
                <w:sz w:val="19"/>
              </w:rPr>
              <w:t>Grid-Guard: Financial-Aware Electricity Theft &amp; NTL Detection</w:t>
            </w:r>
          </w:p>
        </w:tc>
      </w:tr>
      <w:tr>
        <w:trPr>
          <w:cantSplit/>
        </w:trPr>
        <w:tc>
          <w:tcPr>
            <w:tcW w:type="dxa" w:w="4680"/>
            <w:shd w:fill="F8FAFC"/>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b/>
                <w:color w:val="1E3A8A"/>
                <w:sz w:val="19"/>
              </w:rPr>
              <w:t>Primary Dataset</w:t>
            </w:r>
          </w:p>
        </w:tc>
        <w:tc>
          <w:tcPr>
            <w:tcW w:type="dxa" w:w="4680"/>
            <w:shd w:fill="FFFFFF"/>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color w:val="1F2937"/>
                <w:sz w:val="19"/>
              </w:rPr>
              <w:t>State Grid Corporation of China (SGCC) AMI Benchmark (42,372 Meters)</w:t>
            </w:r>
          </w:p>
        </w:tc>
      </w:tr>
      <w:tr>
        <w:trPr>
          <w:cantSplit/>
        </w:trPr>
        <w:tc>
          <w:tcPr>
            <w:tcW w:type="dxa" w:w="4680"/>
            <w:shd w:fill="F8FAFC"/>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b/>
                <w:color w:val="1E3A8A"/>
                <w:sz w:val="19"/>
              </w:rPr>
              <w:t>Implementation Scope</w:t>
            </w:r>
          </w:p>
        </w:tc>
        <w:tc>
          <w:tcPr>
            <w:tcW w:type="dxa" w:w="4680"/>
            <w:shd w:fill="FFFFFF"/>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color w:val="1F2937"/>
                <w:sz w:val="19"/>
              </w:rPr>
              <w:t>Complete 10-Phase Production Architecture (ML, API, Dashboard)</w:t>
            </w:r>
          </w:p>
        </w:tc>
      </w:tr>
      <w:tr>
        <w:trPr>
          <w:cantSplit/>
        </w:trPr>
        <w:tc>
          <w:tcPr>
            <w:tcW w:type="dxa" w:w="4680"/>
            <w:shd w:fill="F8FAFC"/>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b/>
                <w:color w:val="1E3A8A"/>
                <w:sz w:val="19"/>
              </w:rPr>
              <w:t>Evaluation Focus</w:t>
            </w:r>
          </w:p>
        </w:tc>
        <w:tc>
          <w:tcPr>
            <w:tcW w:type="dxa" w:w="4680"/>
            <w:shd w:fill="FFFFFF"/>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color w:val="1F2937"/>
                <w:sz w:val="19"/>
              </w:rPr>
              <w:t>Cost-Sensitive Boosting, Expected Net Value (ENV) &amp; Tree-SHAP</w:t>
            </w:r>
          </w:p>
        </w:tc>
      </w:tr>
      <w:tr>
        <w:trPr>
          <w:cantSplit/>
        </w:trPr>
        <w:tc>
          <w:tcPr>
            <w:tcW w:type="dxa" w:w="4680"/>
            <w:shd w:fill="F8FAFC"/>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b/>
                <w:color w:val="1E3A8A"/>
                <w:sz w:val="19"/>
              </w:rPr>
              <w:t>Academic Year</w:t>
            </w:r>
          </w:p>
        </w:tc>
        <w:tc>
          <w:tcPr>
            <w:tcW w:type="dxa" w:w="4680"/>
            <w:shd w:fill="FFFFFF"/>
            <w:tcMar>
              <w:top w:w="70" w:type="dxa"/>
              <w:bottom w:w="70" w:type="dxa"/>
              <w:left w:w="120" w:type="dxa"/>
              <w:right w:w="120" w:type="dxa"/>
            </w:tcMar>
            <w:tcBorders>
              <w:top w:val="single" w:sz="4" w:space="0" w:color="E5E7EB"/>
              <w:left w:val="none"/>
              <w:bottom w:val="single" w:sz="4" w:space="0" w:color="E5E7EB"/>
              <w:right w:val="none"/>
            </w:tcBorders>
          </w:tcPr>
          <w:p>
            <w:pPr>
              <w:spacing w:after="0"/>
            </w:pPr>
            <w:r>
              <w:rPr>
                <w:rFonts w:ascii="Arial" w:hAnsi="Arial"/>
                <w:color w:val="1F2937"/>
                <w:sz w:val="19"/>
              </w:rPr>
              <w:t>2025 – 2026</w:t>
            </w:r>
          </w:p>
        </w:tc>
      </w:tr>
    </w:tbl>
    <w:p>
      <w:r>
        <w:br w:type="page"/>
      </w:r>
    </w:p>
    <w:p>
      <w:pPr>
        <w:spacing w:before="80" w:after="160"/>
      </w:pPr>
      <w:r>
        <w:rPr>
          <w:color w:val="E5E7EB"/>
          <w:sz w:val="16"/>
        </w:rPr>
        <w:t>_________________________________________________________________________________</w:t>
      </w:r>
    </w:p>
    <w:p>
      <w:pPr>
        <w:pStyle w:val="Heading1"/>
      </w:pPr>
      <w:r>
        <w:t>Abstract</w:t>
      </w:r>
    </w:p>
    <w:p>
      <w:pPr/>
      <w:r>
        <w:rPr>
          <w:rFonts w:ascii="Arial" w:hAnsi="Arial"/>
          <w:i w:val="0"/>
          <w:color w:val="1F2937"/>
          <w:sz w:val="21"/>
        </w:rPr>
        <w:t>Electricity distribution networks worldwide suffer massive economic losses attributable to Non-Technical Losses (NTL), predominantly comprising physical electricity theft, meter tampering, illegal line tapping, and billing anomalies. Traditional anomaly detection approaches applied to Advanced Metering Infrastructure (AMI) smart-meter consumption data treat theft identification as a conventional symmetric binary classification problem. In such frameworks, models are trained to maximize statistical metrics such as Accuracy, Area Under the Receiver Operating Characteristic (ROC-AUC), or the F1-score. However, in real-world electrical utility operations, classification errors possess severe economic asymmetry. A False Positive (FP)—flagging an honest consumer—triggers an expensive on-site crew dispatch with a fixed operational cost ($C_{\text{FP}} \approx \$100$). Conversely, a False Negative (FN)—overlooking an ongoing tampering event—allows continuous unmetered energy leakage ($C_{\text{FN}} = \text{Deficit} \times \text{Tariff} \times \text{Horizon}$), which can accumulate to hundreds of thousands of dollars on heavy commercial or industrial connections while amounting to less than ten dollars on rural lifeline consumers. A purely statistical classifier that triggers dozens of unmerited field inspections on low-consumption meters often costs a distribution utility substantially more than it recovers.</w:t>
      </w:r>
    </w:p>
    <w:p>
      <w:pPr/>
      <w:r>
        <w:rPr>
          <w:rFonts w:ascii="Arial" w:hAnsi="Arial"/>
          <w:i w:val="0"/>
          <w:color w:val="1F2937"/>
          <w:sz w:val="21"/>
        </w:rPr>
        <w:t xml:space="preserve">This academic report presents </w:t>
      </w:r>
      <w:r>
        <w:rPr>
          <w:rFonts w:ascii="Arial" w:hAnsi="Arial"/>
          <w:b/>
          <w:i w:val="0"/>
          <w:color w:val="1F2937"/>
          <w:sz w:val="21"/>
        </w:rPr>
        <w:t>Grid-Guard</w:t>
      </w:r>
      <w:r>
        <w:rPr>
          <w:rFonts w:ascii="Arial" w:hAnsi="Arial"/>
          <w:i w:val="0"/>
          <w:color w:val="1F2937"/>
          <w:sz w:val="21"/>
        </w:rPr>
        <w:t xml:space="preserve">, a comprehensive, financial-aware smart meter tampering and NTL detection platform developed to resolve this fundamental operational asymmetry. Grid-Guard transitions the core utility decision from </w:t>
      </w:r>
      <w:r>
        <w:rPr>
          <w:rFonts w:ascii="Arial" w:hAnsi="Arial"/>
          <w:i/>
          <w:color w:val="1F2937"/>
          <w:sz w:val="21"/>
        </w:rPr>
        <w:t>"Is this meter anomalous?"</w:t>
      </w:r>
      <w:r>
        <w:rPr>
          <w:rFonts w:ascii="Arial" w:hAnsi="Arial"/>
          <w:i w:val="0"/>
          <w:color w:val="1F2937"/>
          <w:sz w:val="21"/>
        </w:rPr>
        <w:t xml:space="preserve"> to </w:t>
      </w:r>
      <w:r>
        <w:rPr>
          <w:rFonts w:ascii="Arial" w:hAnsi="Arial"/>
          <w:i/>
          <w:color w:val="1F2937"/>
          <w:sz w:val="21"/>
        </w:rPr>
        <w:t>"Given the probability of tampering, estimated recoverable revenue, and crew dispatch cost, is physical field inspection economically justified?"</w:t>
      </w:r>
      <w:r>
        <w:rPr>
          <w:rFonts w:ascii="Arial" w:hAnsi="Arial"/>
          <w:i w:val="0"/>
          <w:color w:val="1F2937"/>
          <w:sz w:val="21"/>
        </w:rPr>
        <w:t xml:space="preserve"> The platform is built upon four architectural pillars: (1) a causal temporal feature engineering pipeline extracting 60 rolling statistics, baseline deficit ratios, variability metrics, and heuristic electrical signatures from daily AMI time series; (2) a financially weighted cost-sensitive LightGBM gradient boosted decision tree where sample log-loss is scaled proportionally to potential revenue leakage; (3) a dynamic Expected Net Value (ENV) decision engine that calculates consumer-specific breakeven probability thresholds ($\tau_{\text{env}} = C_{\text{dispatch}} / R$) and prioritizes field work orders by net economic recovery; and (4) an explainability subsystem utilizing exact Tree-SHAP attributions and domain heuristics to generate non-accusatory, audit-ready field work order tickets.</w:t>
      </w:r>
    </w:p>
    <w:p>
      <w:pPr/>
      <w:r>
        <w:rPr>
          <w:rFonts w:ascii="Arial" w:hAnsi="Arial"/>
          <w:i w:val="0"/>
          <w:color w:val="1F2937"/>
          <w:sz w:val="21"/>
        </w:rPr>
        <w:t xml:space="preserve">Grid-Guard was rigorously evaluated on the canonical State Grid Corporation of China (SGCC) AMI benchmark dataset comprising 42,372 monitored smart meters spanning 1,035 consecutive days with extreme natural class imbalance (8.53% positive tampering prevalence). On a strictly time-aware validation partition of 254,232 daily consumer snapshots, Grid-Guard's cost-sensitive champion model achieved a Precision@100 of 0.88 (compared to 0.78 for an unweighted baseline) and reduced total operational loss from $\$731,250.53$ to $\$356,943.38$—a remarkable </w:t>
      </w:r>
      <w:r>
        <w:rPr>
          <w:rFonts w:ascii="Arial" w:hAnsi="Arial"/>
          <w:b/>
          <w:i w:val="0"/>
          <w:color w:val="1F2937"/>
          <w:sz w:val="21"/>
        </w:rPr>
        <w:t>51.2% financial loss reduction</w:t>
      </w:r>
      <w:r>
        <w:rPr>
          <w:rFonts w:ascii="Arial" w:hAnsi="Arial"/>
          <w:i w:val="0"/>
          <w:color w:val="1F2937"/>
          <w:sz w:val="21"/>
        </w:rPr>
        <w:t>—yielding an estimated net recovery of $\$1,004,102.50$. In a simulated fleet inspection prioritization of 42,372 candidate meters, Grid-Guard's dynamic ENV policy recommended 801 economically justified dispatches (1.89% of fleet), delivering $\$355,330.47$ in expected gross recovery against $\$80,100.00$ in crew dispatch costs, realizing $\mathbf{+\$275,230.47}$ in net financial return and achieving the lowest realized operational loss ($\span class="highlight"&gt;\$64,842.91&lt;/span&gt;) across all evaluated policies. The entire system is productionized via an asynchronous FastAPI backend serving sub-30ms P95 inference with in-memory model lifespan pinning, and an interactive Streamlit operational dashboard with synthetic demo workflows, filterable queue dispatch, and containerized deployment manifests.</w:t>
      </w:r>
    </w:p>
    <w:p>
      <w:pPr>
        <w:spacing w:before="80" w:after="160"/>
      </w:pPr>
      <w:r>
        <w:rPr>
          <w:color w:val="E5E7EB"/>
          <w:sz w:val="16"/>
        </w:rPr>
        <w:t>_________________________________________________________________________________</w:t>
      </w:r>
    </w:p>
    <w:p>
      <w:r>
        <w:br w:type="page"/>
      </w:r>
    </w:p>
    <w:p>
      <w:pPr>
        <w:pStyle w:val="Heading1"/>
      </w:pPr>
      <w:r>
        <w:t>Acknowledgement</w:t>
      </w:r>
    </w:p>
    <w:p>
      <w:pPr/>
      <w:r>
        <w:rPr>
          <w:rFonts w:ascii="Arial" w:hAnsi="Arial"/>
          <w:i w:val="0"/>
          <w:color w:val="1F2937"/>
          <w:sz w:val="21"/>
        </w:rPr>
        <w:t>The development and formal realization of the Grid-Guard platform represents the culmination of intensive research and engineering in the domains of electrical power systems, machine learning, financial decision theory, and production software architecture.</w:t>
      </w:r>
    </w:p>
    <w:p>
      <w:pPr/>
      <w:r>
        <w:rPr>
          <w:rFonts w:ascii="Arial" w:hAnsi="Arial"/>
          <w:i w:val="0"/>
          <w:color w:val="1F2937"/>
          <w:sz w:val="21"/>
        </w:rPr>
        <w:t>We express our sincere gratitude to our academic project supervisors, faculty advisors, and institutional mentors whose rigorous guidance, methodological critiques, and constant encouragement steered this investigation from conceptual formulation through empirical validation. Their insistence on statistical rigor, avoidance of data leakage, and grounding in real-world utility economics formed the intellectual bedrock of this project.</w:t>
      </w:r>
    </w:p>
    <w:p>
      <w:pPr/>
      <w:r>
        <w:rPr>
          <w:rFonts w:ascii="Arial" w:hAnsi="Arial"/>
          <w:i w:val="0"/>
          <w:color w:val="1F2937"/>
          <w:sz w:val="21"/>
        </w:rPr>
        <w:t>We extend our deep appreciation to the Department of Computer Science and Engineering and the Electrical Power Systems laboratories for providing the computational infrastructure, development environments, and research facilities necessary to execute high-volume time-series processing, large-scale gradient boosting experiments, and Tree-SHAP attributions.</w:t>
      </w:r>
    </w:p>
    <w:p>
      <w:pPr/>
      <w:r>
        <w:rPr>
          <w:rFonts w:ascii="Arial" w:hAnsi="Arial"/>
          <w:i w:val="0"/>
          <w:color w:val="1F2937"/>
          <w:sz w:val="21"/>
        </w:rPr>
        <w:t>We also gratefully acknowledge the State Grid Corporation of China (SGCC) for releasing the open-access smart-meter AMI dataset that made this empirical investigation possible, as well as the broader open-source software engineering community behind Python, Polars, LightGBM, SHAP, FastAPI, and Streamlit. Finally, we thank our peers, technical reviewers, and families for their patience, feedback, and unwavering support throughout this endeavor.</w:t>
      </w:r>
    </w:p>
    <w:p>
      <w:pPr>
        <w:spacing w:before="80" w:after="160"/>
      </w:pPr>
      <w:r>
        <w:rPr>
          <w:color w:val="E5E7EB"/>
          <w:sz w:val="16"/>
        </w:rPr>
        <w:t>_________________________________________________________________________________</w:t>
      </w:r>
    </w:p>
    <w:p>
      <w:r>
        <w:br w:type="page"/>
      </w:r>
    </w:p>
    <w:p>
      <w:pPr>
        <w:pStyle w:val="Heading1"/>
      </w:pPr>
      <w:r>
        <w:t>Declaration</w:t>
      </w:r>
    </w:p>
    <w:p>
      <w:pPr/>
      <w:r>
        <w:rPr>
          <w:rFonts w:ascii="Arial" w:hAnsi="Arial"/>
          <w:i w:val="0"/>
          <w:color w:val="1F2937"/>
          <w:sz w:val="21"/>
        </w:rPr>
        <w:t xml:space="preserve">We hereby declare that this academic project report titled </w:t>
      </w:r>
      <w:r>
        <w:rPr>
          <w:rFonts w:ascii="Arial" w:hAnsi="Arial"/>
          <w:b/>
          <w:i w:val="0"/>
          <w:color w:val="1F2937"/>
          <w:sz w:val="21"/>
        </w:rPr>
        <w:t>"GRID-GUARD: A Financial-Aware Smart Meter Tampering and Non-Technical Loss Detection Platform"</w:t>
      </w:r>
      <w:r>
        <w:rPr>
          <w:rFonts w:ascii="Arial" w:hAnsi="Arial"/>
          <w:i w:val="0"/>
          <w:color w:val="1F2937"/>
          <w:sz w:val="21"/>
        </w:rPr>
        <w:t xml:space="preserve"> is a genuine record of original research and engineering work carried out by us.</w:t>
      </w:r>
    </w:p>
    <w:p>
      <w:pPr/>
      <w:r>
        <w:rPr>
          <w:rFonts w:ascii="Arial" w:hAnsi="Arial"/>
          <w:i w:val="0"/>
          <w:color w:val="1F2937"/>
          <w:sz w:val="21"/>
        </w:rPr>
        <w:t>We confirm that:</w:t>
      </w:r>
    </w:p>
    <w:p>
      <w:pPr>
        <w:spacing w:before="40" w:after="40" w:line="288" w:lineRule="auto"/>
        <w:ind w:left="432" w:hanging="288"/>
      </w:pPr>
      <w:r>
        <w:rPr>
          <w:b/>
          <w:color w:val="1E3A8A"/>
        </w:rPr>
        <w:t xml:space="preserve">1. </w:t>
      </w:r>
      <w:r>
        <w:rPr>
          <w:rFonts w:ascii="Arial" w:hAnsi="Arial"/>
          <w:i w:val="0"/>
          <w:color w:val="1F2937"/>
          <w:sz w:val="21"/>
        </w:rPr>
        <w:t>The work presented in this report is entirely our own, except where explicit citations and references are made to published literature, open-source software libraries, or established datasets.</w:t>
      </w:r>
    </w:p>
    <w:p>
      <w:pPr>
        <w:spacing w:before="40" w:after="40" w:line="288" w:lineRule="auto"/>
        <w:ind w:left="432" w:hanging="288"/>
      </w:pPr>
      <w:r>
        <w:rPr>
          <w:b/>
          <w:color w:val="1E3A8A"/>
        </w:rPr>
        <w:t xml:space="preserve">2. </w:t>
      </w:r>
      <w:r>
        <w:rPr>
          <w:rFonts w:ascii="Arial" w:hAnsi="Arial"/>
          <w:i w:val="0"/>
          <w:color w:val="1F2937"/>
          <w:sz w:val="21"/>
        </w:rPr>
        <w:t xml:space="preserve">The empirical results, performance metrics, financial evaluations, and architectural designs documented herein correspond directly to the codebase and reproducible experimental artifacts implemented in the repository </w:t>
      </w:r>
      <w:r>
        <w:rPr>
          <w:rFonts w:ascii="Consolas" w:hAnsi="Consolas"/>
          <w:i w:val="0"/>
          <w:color w:val="B91C1C"/>
          <w:sz w:val="19"/>
        </w:rPr>
        <w:t>grid-guard</w:t>
      </w:r>
      <w:r>
        <w:rPr>
          <w:rFonts w:ascii="Arial" w:hAnsi="Arial"/>
          <w:i w:val="0"/>
          <w:color w:val="1F2937"/>
          <w:sz w:val="21"/>
        </w:rPr>
        <w:t>.</w:t>
      </w:r>
    </w:p>
    <w:p>
      <w:pPr>
        <w:spacing w:before="40" w:after="40" w:line="288" w:lineRule="auto"/>
        <w:ind w:left="432" w:hanging="288"/>
      </w:pPr>
      <w:r>
        <w:rPr>
          <w:b/>
          <w:color w:val="1E3A8A"/>
        </w:rPr>
        <w:t xml:space="preserve">3. </w:t>
      </w:r>
      <w:r>
        <w:rPr>
          <w:rFonts w:ascii="Arial" w:hAnsi="Arial"/>
          <w:i w:val="0"/>
          <w:color w:val="1F2937"/>
          <w:sz w:val="21"/>
        </w:rPr>
        <w:t>No fabricated data, synthetic metrics, or unauthorized external materials have been introduced into the technical analysis.</w:t>
      </w:r>
    </w:p>
    <w:p>
      <w:pPr>
        <w:spacing w:before="40" w:after="40" w:line="288" w:lineRule="auto"/>
        <w:ind w:left="432" w:hanging="288"/>
      </w:pPr>
      <w:r>
        <w:rPr>
          <w:b/>
          <w:color w:val="1E3A8A"/>
        </w:rPr>
        <w:t xml:space="preserve">4. </w:t>
      </w:r>
      <w:r>
        <w:rPr>
          <w:rFonts w:ascii="Arial" w:hAnsi="Arial"/>
          <w:i w:val="0"/>
          <w:color w:val="1F2937"/>
          <w:sz w:val="21"/>
        </w:rPr>
        <w:t>This report has not been submitted in part or full for the award of any other degree, diploma, fellowship, or professional qualification at any other institution or university.</w:t>
      </w:r>
    </w:p>
    <w:p>
      <w:pPr/>
      <w:r>
        <w:rPr>
          <w:rFonts w:ascii="Arial" w:hAnsi="Arial"/>
          <w:b/>
          <w:i w:val="0"/>
          <w:color w:val="1F2937"/>
          <w:sz w:val="21"/>
        </w:rPr>
        <w:t>Date:</w:t>
      </w:r>
      <w:r>
        <w:rPr>
          <w:rFonts w:ascii="Arial" w:hAnsi="Arial"/>
          <w:i w:val="0"/>
          <w:color w:val="1F2937"/>
          <w:sz w:val="21"/>
        </w:rPr>
        <w:t xml:space="preserve"> October 2026</w:t>
      </w:r>
    </w:p>
    <w:p>
      <w:pPr/>
      <w:r>
        <w:rPr>
          <w:rFonts w:ascii="Arial" w:hAnsi="Arial"/>
          <w:b/>
          <w:i w:val="0"/>
          <w:color w:val="1F2937"/>
          <w:sz w:val="21"/>
        </w:rPr>
        <w:t>Place:</w:t>
      </w:r>
      <w:r>
        <w:rPr>
          <w:rFonts w:ascii="Arial" w:hAnsi="Arial"/>
          <w:i w:val="0"/>
          <w:color w:val="1F2937"/>
          <w:sz w:val="21"/>
        </w:rPr>
        <w:t xml:space="preserve"> Academic Institution Laboratory</w:t>
      </w:r>
    </w:p>
    <w:p>
      <w:pPr>
        <w:spacing w:before="80" w:after="160"/>
      </w:pPr>
      <w:r>
        <w:rPr>
          <w:color w:val="E5E7EB"/>
          <w:sz w:val="16"/>
        </w:rPr>
        <w:t>_________________________________________________________________________________</w:t>
      </w:r>
    </w:p>
    <w:p>
      <w:r>
        <w:br w:type="page"/>
      </w:r>
    </w:p>
    <w:p>
      <w:pPr>
        <w:pStyle w:val="Heading1"/>
      </w:pPr>
      <w:r>
        <w:t>Table of contents</w:t>
      </w:r>
    </w:p>
    <w:p>
      <w:pPr>
        <w:spacing w:before="20" w:after="40" w:line="288" w:lineRule="auto"/>
        <w:ind w:left="360" w:hanging="216"/>
      </w:pPr>
      <w:r>
        <w:rPr>
          <w:b/>
          <w:color w:val="2563EB"/>
        </w:rPr>
        <w:t xml:space="preserve">• </w:t>
      </w:r>
      <w:r>
        <w:rPr>
          <w:rFonts w:ascii="Arial" w:hAnsi="Arial"/>
          <w:b/>
          <w:i w:val="0"/>
          <w:color w:val="1F2937"/>
          <w:sz w:val="21"/>
        </w:rPr>
        <w:t>Abstract</w:t>
      </w:r>
    </w:p>
    <w:p>
      <w:pPr>
        <w:spacing w:before="20" w:after="40" w:line="288" w:lineRule="auto"/>
        <w:ind w:left="360" w:hanging="216"/>
      </w:pPr>
      <w:r>
        <w:rPr>
          <w:b/>
          <w:color w:val="2563EB"/>
        </w:rPr>
        <w:t xml:space="preserve">• </w:t>
      </w:r>
      <w:r>
        <w:rPr>
          <w:rFonts w:ascii="Arial" w:hAnsi="Arial"/>
          <w:b/>
          <w:i w:val="0"/>
          <w:color w:val="1F2937"/>
          <w:sz w:val="21"/>
        </w:rPr>
        <w:t>Acknowledgement</w:t>
      </w:r>
    </w:p>
    <w:p>
      <w:pPr>
        <w:spacing w:before="20" w:after="40" w:line="288" w:lineRule="auto"/>
        <w:ind w:left="360" w:hanging="216"/>
      </w:pPr>
      <w:r>
        <w:rPr>
          <w:b/>
          <w:color w:val="2563EB"/>
        </w:rPr>
        <w:t xml:space="preserve">• </w:t>
      </w:r>
      <w:r>
        <w:rPr>
          <w:rFonts w:ascii="Arial" w:hAnsi="Arial"/>
          <w:b/>
          <w:i w:val="0"/>
          <w:color w:val="1F2937"/>
          <w:sz w:val="21"/>
        </w:rPr>
        <w:t>Declaration</w:t>
      </w:r>
    </w:p>
    <w:p>
      <w:pPr>
        <w:spacing w:before="20" w:after="40" w:line="288" w:lineRule="auto"/>
        <w:ind w:left="360" w:hanging="216"/>
      </w:pPr>
      <w:r>
        <w:rPr>
          <w:b/>
          <w:color w:val="2563EB"/>
        </w:rPr>
        <w:t xml:space="preserve">• </w:t>
      </w:r>
      <w:r>
        <w:rPr>
          <w:rFonts w:ascii="Arial" w:hAnsi="Arial"/>
          <w:b/>
          <w:i w:val="0"/>
          <w:color w:val="1F2937"/>
          <w:sz w:val="21"/>
        </w:rPr>
        <w:t>Table of contents</w:t>
      </w:r>
    </w:p>
    <w:p>
      <w:pPr>
        <w:spacing w:before="20" w:after="40" w:line="288" w:lineRule="auto"/>
        <w:ind w:left="360" w:hanging="216"/>
      </w:pPr>
      <w:r>
        <w:rPr>
          <w:b/>
          <w:color w:val="2563EB"/>
        </w:rPr>
        <w:t xml:space="preserve">• </w:t>
      </w:r>
      <w:r>
        <w:rPr>
          <w:rFonts w:ascii="Arial" w:hAnsi="Arial"/>
          <w:b/>
          <w:i w:val="0"/>
          <w:color w:val="1F2937"/>
          <w:sz w:val="21"/>
        </w:rPr>
        <w:t>1. INTRODUCTION</w:t>
      </w:r>
    </w:p>
    <w:p>
      <w:pPr>
        <w:spacing w:before="20" w:after="40" w:line="288" w:lineRule="auto"/>
        <w:ind w:left="360" w:hanging="216"/>
      </w:pPr>
      <w:r>
        <w:rPr>
          <w:b/>
          <w:color w:val="2563EB"/>
        </w:rPr>
        <w:t xml:space="preserve">• </w:t>
      </w:r>
      <w:r>
        <w:rPr>
          <w:rFonts w:ascii="Arial" w:hAnsi="Arial"/>
          <w:i w:val="0"/>
          <w:color w:val="1F2937"/>
          <w:sz w:val="21"/>
        </w:rPr>
        <w:t>1.1 Electric Power Distribution Networks and Non-Technical Losses</w:t>
      </w:r>
    </w:p>
    <w:p>
      <w:pPr>
        <w:spacing w:before="20" w:after="40" w:line="288" w:lineRule="auto"/>
        <w:ind w:left="360" w:hanging="216"/>
      </w:pPr>
      <w:r>
        <w:rPr>
          <w:b/>
          <w:color w:val="2563EB"/>
        </w:rPr>
        <w:t xml:space="preserve">• </w:t>
      </w:r>
      <w:r>
        <w:rPr>
          <w:rFonts w:ascii="Arial" w:hAnsi="Arial"/>
          <w:i w:val="0"/>
          <w:color w:val="1F2937"/>
          <w:sz w:val="21"/>
        </w:rPr>
        <w:t>1.2 The Advanced Metering Infrastructure (AMI) Revolution</w:t>
      </w:r>
    </w:p>
    <w:p>
      <w:pPr>
        <w:spacing w:before="20" w:after="40" w:line="288" w:lineRule="auto"/>
        <w:ind w:left="360" w:hanging="216"/>
      </w:pPr>
      <w:r>
        <w:rPr>
          <w:b/>
          <w:color w:val="2563EB"/>
        </w:rPr>
        <w:t xml:space="preserve">• </w:t>
      </w:r>
      <w:r>
        <w:rPr>
          <w:rFonts w:ascii="Arial" w:hAnsi="Arial"/>
          <w:i w:val="0"/>
          <w:color w:val="1F2937"/>
          <w:sz w:val="21"/>
        </w:rPr>
        <w:t>1.3 Mechanisms and Manifestations of Electricity Theft</w:t>
      </w:r>
    </w:p>
    <w:p>
      <w:pPr>
        <w:spacing w:before="20" w:after="40" w:line="288" w:lineRule="auto"/>
        <w:ind w:left="360" w:hanging="216"/>
      </w:pPr>
      <w:r>
        <w:rPr>
          <w:b/>
          <w:color w:val="2563EB"/>
        </w:rPr>
        <w:t xml:space="preserve">• </w:t>
      </w:r>
      <w:r>
        <w:rPr>
          <w:rFonts w:ascii="Arial" w:hAnsi="Arial"/>
          <w:i w:val="0"/>
          <w:color w:val="1F2937"/>
          <w:sz w:val="21"/>
        </w:rPr>
        <w:t>1.4 Conventional Anomaly Detection and Its Critical Pitfalls</w:t>
      </w:r>
    </w:p>
    <w:p>
      <w:pPr>
        <w:spacing w:before="20" w:after="40" w:line="288" w:lineRule="auto"/>
        <w:ind w:left="360" w:hanging="216"/>
      </w:pPr>
      <w:r>
        <w:rPr>
          <w:b/>
          <w:color w:val="2563EB"/>
        </w:rPr>
        <w:t xml:space="preserve">• </w:t>
      </w:r>
      <w:r>
        <w:rPr>
          <w:rFonts w:ascii="Arial" w:hAnsi="Arial"/>
          <w:i w:val="0"/>
          <w:color w:val="1F2937"/>
          <w:sz w:val="21"/>
        </w:rPr>
        <w:t>1.5 The Grid-Guard Operating Philosophy</w:t>
      </w:r>
    </w:p>
    <w:p>
      <w:pPr>
        <w:spacing w:before="20" w:after="40" w:line="288" w:lineRule="auto"/>
        <w:ind w:left="360" w:hanging="216"/>
      </w:pPr>
      <w:r>
        <w:rPr>
          <w:b/>
          <w:color w:val="2563EB"/>
        </w:rPr>
        <w:t xml:space="preserve">• </w:t>
      </w:r>
      <w:r>
        <w:rPr>
          <w:rFonts w:ascii="Arial" w:hAnsi="Arial"/>
          <w:i w:val="0"/>
          <w:color w:val="1F2937"/>
          <w:sz w:val="21"/>
        </w:rPr>
        <w:t>1.6 Formal Problem Definition</w:t>
      </w:r>
    </w:p>
    <w:p>
      <w:pPr>
        <w:spacing w:before="20" w:after="40" w:line="288" w:lineRule="auto"/>
        <w:ind w:left="360" w:hanging="216"/>
      </w:pPr>
      <w:r>
        <w:rPr>
          <w:b/>
          <w:color w:val="2563EB"/>
        </w:rPr>
        <w:t xml:space="preserve">• </w:t>
      </w:r>
      <w:r>
        <w:rPr>
          <w:rFonts w:ascii="Arial" w:hAnsi="Arial"/>
          <w:b/>
          <w:i w:val="0"/>
          <w:color w:val="1F2937"/>
          <w:sz w:val="21"/>
        </w:rPr>
        <w:t>2. SIGNIFICANCE</w:t>
      </w:r>
    </w:p>
    <w:p>
      <w:pPr>
        <w:spacing w:before="20" w:after="40" w:line="288" w:lineRule="auto"/>
        <w:ind w:left="360" w:hanging="216"/>
      </w:pPr>
      <w:r>
        <w:rPr>
          <w:b/>
          <w:color w:val="2563EB"/>
        </w:rPr>
        <w:t xml:space="preserve">• </w:t>
      </w:r>
      <w:r>
        <w:rPr>
          <w:rFonts w:ascii="Arial" w:hAnsi="Arial"/>
          <w:i w:val="0"/>
          <w:color w:val="1F2937"/>
          <w:sz w:val="21"/>
        </w:rPr>
        <w:t>2.1 The Multi-Billion Dollar Global Loss Landscape</w:t>
      </w:r>
    </w:p>
    <w:p>
      <w:pPr>
        <w:spacing w:before="20" w:after="40" w:line="288" w:lineRule="auto"/>
        <w:ind w:left="360" w:hanging="216"/>
      </w:pPr>
      <w:r>
        <w:rPr>
          <w:b/>
          <w:color w:val="2563EB"/>
        </w:rPr>
        <w:t xml:space="preserve">• </w:t>
      </w:r>
      <w:r>
        <w:rPr>
          <w:rFonts w:ascii="Arial" w:hAnsi="Arial"/>
          <w:i w:val="0"/>
          <w:color w:val="1F2937"/>
          <w:sz w:val="21"/>
        </w:rPr>
        <w:t>2.2 Scarcity and Economic Constraints of Field Inspection Workforces</w:t>
      </w:r>
    </w:p>
    <w:p>
      <w:pPr>
        <w:spacing w:before="20" w:after="40" w:line="288" w:lineRule="auto"/>
        <w:ind w:left="360" w:hanging="216"/>
      </w:pPr>
      <w:r>
        <w:rPr>
          <w:b/>
          <w:color w:val="2563EB"/>
        </w:rPr>
        <w:t xml:space="preserve">• </w:t>
      </w:r>
      <w:r>
        <w:rPr>
          <w:rFonts w:ascii="Arial" w:hAnsi="Arial"/>
          <w:i w:val="0"/>
          <w:color w:val="1F2937"/>
          <w:sz w:val="21"/>
        </w:rPr>
        <w:t>2.3 The Asymmetric Cost Matrix: False Positives vs. False Negatives</w:t>
      </w:r>
    </w:p>
    <w:p>
      <w:pPr>
        <w:spacing w:before="20" w:after="40" w:line="288" w:lineRule="auto"/>
        <w:ind w:left="360" w:hanging="216"/>
      </w:pPr>
      <w:r>
        <w:rPr>
          <w:b/>
          <w:color w:val="2563EB"/>
        </w:rPr>
        <w:t xml:space="preserve">• </w:t>
      </w:r>
      <w:r>
        <w:rPr>
          <w:rFonts w:ascii="Arial" w:hAnsi="Arial"/>
          <w:i w:val="0"/>
          <w:color w:val="1F2937"/>
          <w:sz w:val="21"/>
        </w:rPr>
        <w:t>2.4 The Burden of Extreme Natural Class Imbalance</w:t>
      </w:r>
    </w:p>
    <w:p>
      <w:pPr>
        <w:spacing w:before="20" w:after="40" w:line="288" w:lineRule="auto"/>
        <w:ind w:left="360" w:hanging="216"/>
      </w:pPr>
      <w:r>
        <w:rPr>
          <w:b/>
          <w:color w:val="2563EB"/>
        </w:rPr>
        <w:t xml:space="preserve">• </w:t>
      </w:r>
      <w:r>
        <w:rPr>
          <w:rFonts w:ascii="Arial" w:hAnsi="Arial"/>
          <w:i w:val="0"/>
          <w:color w:val="1F2937"/>
          <w:sz w:val="21"/>
        </w:rPr>
        <w:t>2.5 Explainability as a Legal, Ethical, and Operational Mandate</w:t>
      </w:r>
    </w:p>
    <w:p>
      <w:pPr>
        <w:spacing w:before="20" w:after="40" w:line="288" w:lineRule="auto"/>
        <w:ind w:left="360" w:hanging="216"/>
      </w:pPr>
      <w:r>
        <w:rPr>
          <w:b/>
          <w:color w:val="2563EB"/>
        </w:rPr>
        <w:t xml:space="preserve">• </w:t>
      </w:r>
      <w:r>
        <w:rPr>
          <w:rFonts w:ascii="Arial" w:hAnsi="Arial"/>
          <w:i w:val="0"/>
          <w:color w:val="1F2937"/>
          <w:sz w:val="21"/>
        </w:rPr>
        <w:t>2.6 Strategic Significance for Utility Grid Operations</w:t>
      </w:r>
    </w:p>
    <w:p>
      <w:pPr>
        <w:spacing w:before="20" w:after="40" w:line="288" w:lineRule="auto"/>
        <w:ind w:left="360" w:hanging="216"/>
      </w:pPr>
      <w:r>
        <w:rPr>
          <w:b/>
          <w:color w:val="2563EB"/>
        </w:rPr>
        <w:t xml:space="preserve">• </w:t>
      </w:r>
      <w:r>
        <w:rPr>
          <w:rFonts w:ascii="Arial" w:hAnsi="Arial"/>
          <w:b/>
          <w:i w:val="0"/>
          <w:color w:val="1F2937"/>
          <w:sz w:val="21"/>
        </w:rPr>
        <w:t>3. OBJECTIVES</w:t>
      </w:r>
    </w:p>
    <w:p>
      <w:pPr>
        <w:spacing w:before="20" w:after="40" w:line="288" w:lineRule="auto"/>
        <w:ind w:left="360" w:hanging="216"/>
      </w:pPr>
      <w:r>
        <w:rPr>
          <w:b/>
          <w:color w:val="2563EB"/>
        </w:rPr>
        <w:t xml:space="preserve">• </w:t>
      </w:r>
      <w:r>
        <w:rPr>
          <w:rFonts w:ascii="Arial" w:hAnsi="Arial"/>
          <w:i w:val="0"/>
          <w:color w:val="1F2937"/>
          <w:sz w:val="21"/>
        </w:rPr>
        <w:t>3.1 Primary Project Goal</w:t>
      </w:r>
    </w:p>
    <w:p>
      <w:pPr>
        <w:spacing w:before="20" w:after="40" w:line="288" w:lineRule="auto"/>
        <w:ind w:left="360" w:hanging="216"/>
      </w:pPr>
      <w:r>
        <w:rPr>
          <w:b/>
          <w:color w:val="2563EB"/>
        </w:rPr>
        <w:t xml:space="preserve">• </w:t>
      </w:r>
      <w:r>
        <w:rPr>
          <w:rFonts w:ascii="Arial" w:hAnsi="Arial"/>
          <w:i w:val="0"/>
          <w:color w:val="1F2937"/>
          <w:sz w:val="21"/>
        </w:rPr>
        <w:t>3.2 Technical and Machine Learning Objectives</w:t>
      </w:r>
    </w:p>
    <w:p>
      <w:pPr>
        <w:spacing w:before="20" w:after="40" w:line="288" w:lineRule="auto"/>
        <w:ind w:left="360" w:hanging="216"/>
      </w:pPr>
      <w:r>
        <w:rPr>
          <w:b/>
          <w:color w:val="2563EB"/>
        </w:rPr>
        <w:t xml:space="preserve">• </w:t>
      </w:r>
      <w:r>
        <w:rPr>
          <w:rFonts w:ascii="Arial" w:hAnsi="Arial"/>
          <w:i w:val="0"/>
          <w:color w:val="1F2937"/>
          <w:sz w:val="21"/>
        </w:rPr>
        <w:t>3.3 Financial and Operational Decisioning Objectives</w:t>
      </w:r>
    </w:p>
    <w:p>
      <w:pPr>
        <w:spacing w:before="20" w:after="40" w:line="288" w:lineRule="auto"/>
        <w:ind w:left="360" w:hanging="216"/>
      </w:pPr>
      <w:r>
        <w:rPr>
          <w:b/>
          <w:color w:val="2563EB"/>
        </w:rPr>
        <w:t xml:space="preserve">• </w:t>
      </w:r>
      <w:r>
        <w:rPr>
          <w:rFonts w:ascii="Arial" w:hAnsi="Arial"/>
          <w:i w:val="0"/>
          <w:color w:val="1F2937"/>
          <w:sz w:val="21"/>
        </w:rPr>
        <w:t>3.4 Production Engineering and System Objectives</w:t>
      </w:r>
    </w:p>
    <w:p>
      <w:pPr>
        <w:spacing w:before="20" w:after="40" w:line="288" w:lineRule="auto"/>
        <w:ind w:left="360" w:hanging="216"/>
      </w:pPr>
      <w:r>
        <w:rPr>
          <w:b/>
          <w:color w:val="2563EB"/>
        </w:rPr>
        <w:t xml:space="preserve">• </w:t>
      </w:r>
      <w:r>
        <w:rPr>
          <w:rFonts w:ascii="Arial" w:hAnsi="Arial"/>
          <w:i w:val="0"/>
          <w:color w:val="1F2937"/>
          <w:sz w:val="21"/>
        </w:rPr>
        <w:t>3.5 Empirical Evaluation and Benchmarking Objectives</w:t>
      </w:r>
    </w:p>
    <w:p>
      <w:pPr>
        <w:spacing w:before="20" w:after="40" w:line="288" w:lineRule="auto"/>
        <w:ind w:left="360" w:hanging="216"/>
      </w:pPr>
      <w:r>
        <w:rPr>
          <w:b/>
          <w:color w:val="2563EB"/>
        </w:rPr>
        <w:t xml:space="preserve">• </w:t>
      </w:r>
      <w:r>
        <w:rPr>
          <w:rFonts w:ascii="Arial" w:hAnsi="Arial"/>
          <w:b/>
          <w:i w:val="0"/>
          <w:color w:val="1F2937"/>
          <w:sz w:val="21"/>
        </w:rPr>
        <w:t>4. PURPOSE AND SCOPE</w:t>
      </w:r>
    </w:p>
    <w:p>
      <w:pPr>
        <w:spacing w:before="20" w:after="40" w:line="288" w:lineRule="auto"/>
        <w:ind w:left="360" w:hanging="216"/>
      </w:pPr>
      <w:r>
        <w:rPr>
          <w:b/>
          <w:color w:val="2563EB"/>
        </w:rPr>
        <w:t xml:space="preserve">• </w:t>
      </w:r>
      <w:r>
        <w:rPr>
          <w:rFonts w:ascii="Arial" w:hAnsi="Arial"/>
          <w:i w:val="0"/>
          <w:color w:val="1F2937"/>
          <w:sz w:val="21"/>
        </w:rPr>
        <w:t>4.1 Fundamental Purpose</w:t>
      </w:r>
    </w:p>
    <w:p>
      <w:pPr>
        <w:spacing w:before="20" w:after="40" w:line="288" w:lineRule="auto"/>
        <w:ind w:left="360" w:hanging="216"/>
      </w:pPr>
      <w:r>
        <w:rPr>
          <w:b/>
          <w:color w:val="2563EB"/>
        </w:rPr>
        <w:t xml:space="preserve">• </w:t>
      </w:r>
      <w:r>
        <w:rPr>
          <w:rFonts w:ascii="Arial" w:hAnsi="Arial"/>
          <w:i w:val="0"/>
          <w:color w:val="1F2937"/>
          <w:sz w:val="21"/>
        </w:rPr>
        <w:t>4.2 In-Scope Implementation Deliverables (Phases 1–10)</w:t>
      </w:r>
    </w:p>
    <w:p>
      <w:pPr>
        <w:spacing w:before="20" w:after="40" w:line="288" w:lineRule="auto"/>
        <w:ind w:left="360" w:hanging="216"/>
      </w:pPr>
      <w:r>
        <w:rPr>
          <w:b/>
          <w:color w:val="2563EB"/>
        </w:rPr>
        <w:t xml:space="preserve">• </w:t>
      </w:r>
      <w:r>
        <w:rPr>
          <w:rFonts w:ascii="Arial" w:hAnsi="Arial"/>
          <w:i w:val="0"/>
          <w:color w:val="1F2937"/>
          <w:sz w:val="21"/>
        </w:rPr>
        <w:t>4.3 Explicit Out-of-Scope Boundaries and Assumptions</w:t>
      </w:r>
    </w:p>
    <w:p>
      <w:pPr>
        <w:spacing w:before="20" w:after="40" w:line="288" w:lineRule="auto"/>
        <w:ind w:left="360" w:hanging="216"/>
      </w:pPr>
      <w:r>
        <w:rPr>
          <w:b/>
          <w:color w:val="2563EB"/>
        </w:rPr>
        <w:t xml:space="preserve">• </w:t>
      </w:r>
      <w:r>
        <w:rPr>
          <w:rFonts w:ascii="Arial" w:hAnsi="Arial"/>
          <w:b/>
          <w:i w:val="0"/>
          <w:color w:val="1F2937"/>
          <w:sz w:val="21"/>
        </w:rPr>
        <w:t>5. APPLICABILITY</w:t>
      </w:r>
    </w:p>
    <w:p>
      <w:pPr>
        <w:spacing w:before="20" w:after="40" w:line="288" w:lineRule="auto"/>
        <w:ind w:left="360" w:hanging="216"/>
      </w:pPr>
      <w:r>
        <w:rPr>
          <w:b/>
          <w:color w:val="2563EB"/>
        </w:rPr>
        <w:t xml:space="preserve">• </w:t>
      </w:r>
      <w:r>
        <w:rPr>
          <w:rFonts w:ascii="Arial" w:hAnsi="Arial"/>
          <w:i w:val="0"/>
          <w:color w:val="1F2937"/>
          <w:sz w:val="21"/>
        </w:rPr>
        <w:t>5.1 Power Distribution Companies (DISCOMs) &amp; Utilities</w:t>
      </w:r>
    </w:p>
    <w:p>
      <w:pPr>
        <w:spacing w:before="20" w:after="40" w:line="288" w:lineRule="auto"/>
        <w:ind w:left="360" w:hanging="216"/>
      </w:pPr>
      <w:r>
        <w:rPr>
          <w:b/>
          <w:color w:val="2563EB"/>
        </w:rPr>
        <w:t xml:space="preserve">• </w:t>
      </w:r>
      <w:r>
        <w:rPr>
          <w:rFonts w:ascii="Arial" w:hAnsi="Arial"/>
          <w:i w:val="0"/>
          <w:color w:val="1F2937"/>
          <w:sz w:val="21"/>
        </w:rPr>
        <w:t>5.2 Field Crew Workforce Management &amp; Dispatch Systems</w:t>
      </w:r>
    </w:p>
    <w:p>
      <w:pPr>
        <w:spacing w:before="20" w:after="40" w:line="288" w:lineRule="auto"/>
        <w:ind w:left="360" w:hanging="216"/>
      </w:pPr>
      <w:r>
        <w:rPr>
          <w:b/>
          <w:color w:val="2563EB"/>
        </w:rPr>
        <w:t xml:space="preserve">• </w:t>
      </w:r>
      <w:r>
        <w:rPr>
          <w:rFonts w:ascii="Arial" w:hAnsi="Arial"/>
          <w:i w:val="0"/>
          <w:color w:val="1F2937"/>
          <w:sz w:val="21"/>
        </w:rPr>
        <w:t>5.3 Revenue Protection &amp; Regulatory Tariff Compliance Auditing</w:t>
      </w:r>
    </w:p>
    <w:p>
      <w:pPr>
        <w:spacing w:before="20" w:after="40" w:line="288" w:lineRule="auto"/>
        <w:ind w:left="360" w:hanging="216"/>
      </w:pPr>
      <w:r>
        <w:rPr>
          <w:b/>
          <w:color w:val="2563EB"/>
        </w:rPr>
        <w:t xml:space="preserve">• </w:t>
      </w:r>
      <w:r>
        <w:rPr>
          <w:rFonts w:ascii="Arial" w:hAnsi="Arial"/>
          <w:i w:val="0"/>
          <w:color w:val="1F2937"/>
          <w:sz w:val="21"/>
        </w:rPr>
        <w:t>5.4 Smart Grid Data Science Research &amp; Pedagogy</w:t>
      </w:r>
    </w:p>
    <w:p>
      <w:pPr>
        <w:spacing w:before="20" w:after="40" w:line="288" w:lineRule="auto"/>
        <w:ind w:left="360" w:hanging="216"/>
      </w:pPr>
      <w:r>
        <w:rPr>
          <w:b/>
          <w:color w:val="2563EB"/>
        </w:rPr>
        <w:t xml:space="preserve">• </w:t>
      </w:r>
      <w:r>
        <w:rPr>
          <w:rFonts w:ascii="Arial" w:hAnsi="Arial"/>
          <w:i w:val="0"/>
          <w:color w:val="1F2937"/>
          <w:sz w:val="21"/>
        </w:rPr>
        <w:t>5.5 Operational Prerequisites for Real-World Integration</w:t>
      </w:r>
    </w:p>
    <w:p>
      <w:pPr>
        <w:spacing w:before="20" w:after="40" w:line="288" w:lineRule="auto"/>
        <w:ind w:left="360" w:hanging="216"/>
      </w:pPr>
      <w:r>
        <w:rPr>
          <w:b/>
          <w:color w:val="2563EB"/>
        </w:rPr>
        <w:t xml:space="preserve">• </w:t>
      </w:r>
      <w:r>
        <w:rPr>
          <w:rFonts w:ascii="Arial" w:hAnsi="Arial"/>
          <w:b/>
          <w:i w:val="0"/>
          <w:color w:val="1F2937"/>
          <w:sz w:val="21"/>
        </w:rPr>
        <w:t>6. ACHIEVEMENTS</w:t>
      </w:r>
    </w:p>
    <w:p>
      <w:pPr>
        <w:spacing w:before="20" w:after="40" w:line="288" w:lineRule="auto"/>
        <w:ind w:left="360" w:hanging="216"/>
      </w:pPr>
      <w:r>
        <w:rPr>
          <w:b/>
          <w:color w:val="2563EB"/>
        </w:rPr>
        <w:t xml:space="preserve">• </w:t>
      </w:r>
      <w:r>
        <w:rPr>
          <w:rFonts w:ascii="Arial" w:hAnsi="Arial"/>
          <w:i w:val="0"/>
          <w:color w:val="1F2937"/>
          <w:sz w:val="21"/>
        </w:rPr>
        <w:t>6.1 Comprehensive Summary of Phase 1 through Phase 10 Deliverables</w:t>
      </w:r>
    </w:p>
    <w:p>
      <w:pPr>
        <w:spacing w:before="20" w:after="40" w:line="288" w:lineRule="auto"/>
        <w:ind w:left="360" w:hanging="216"/>
      </w:pPr>
      <w:r>
        <w:rPr>
          <w:b/>
          <w:color w:val="2563EB"/>
        </w:rPr>
        <w:t xml:space="preserve">• </w:t>
      </w:r>
      <w:r>
        <w:rPr>
          <w:rFonts w:ascii="Arial" w:hAnsi="Arial"/>
          <w:i w:val="0"/>
          <w:color w:val="1F2937"/>
          <w:sz w:val="21"/>
        </w:rPr>
        <w:t>6.2 Key Quantitative and Empirical Benchmarks</w:t>
      </w:r>
    </w:p>
    <w:p>
      <w:pPr>
        <w:spacing w:before="20" w:after="40" w:line="288" w:lineRule="auto"/>
        <w:ind w:left="360" w:hanging="216"/>
      </w:pPr>
      <w:r>
        <w:rPr>
          <w:b/>
          <w:color w:val="2563EB"/>
        </w:rPr>
        <w:t xml:space="preserve">• </w:t>
      </w:r>
      <w:r>
        <w:rPr>
          <w:rFonts w:ascii="Arial" w:hAnsi="Arial"/>
          <w:b/>
          <w:i w:val="0"/>
          <w:color w:val="1F2937"/>
          <w:sz w:val="21"/>
        </w:rPr>
        <w:t>7. SYSTEM ANALYSIS</w:t>
      </w:r>
    </w:p>
    <w:p>
      <w:pPr>
        <w:spacing w:before="20" w:after="40" w:line="288" w:lineRule="auto"/>
        <w:ind w:left="360" w:hanging="216"/>
      </w:pPr>
      <w:r>
        <w:rPr>
          <w:b/>
          <w:color w:val="2563EB"/>
        </w:rPr>
        <w:t xml:space="preserve">• </w:t>
      </w:r>
      <w:r>
        <w:rPr>
          <w:rFonts w:ascii="Arial" w:hAnsi="Arial"/>
          <w:i w:val="0"/>
          <w:color w:val="1F2937"/>
          <w:sz w:val="21"/>
        </w:rPr>
        <w:t>7.1 Problem Domain Analysis &amp; Stakeholder Ecosystem</w:t>
      </w:r>
    </w:p>
    <w:p>
      <w:pPr>
        <w:spacing w:before="20" w:after="40" w:line="288" w:lineRule="auto"/>
        <w:ind w:left="360" w:hanging="216"/>
      </w:pPr>
      <w:r>
        <w:rPr>
          <w:b/>
          <w:color w:val="2563EB"/>
        </w:rPr>
        <w:t xml:space="preserve">• </w:t>
      </w:r>
      <w:r>
        <w:rPr>
          <w:rFonts w:ascii="Arial" w:hAnsi="Arial"/>
          <w:i w:val="0"/>
          <w:color w:val="1F2937"/>
          <w:sz w:val="21"/>
        </w:rPr>
        <w:t>7.2 Functional Requirements Analysis</w:t>
      </w:r>
    </w:p>
    <w:p>
      <w:pPr>
        <w:spacing w:before="20" w:after="40" w:line="288" w:lineRule="auto"/>
        <w:ind w:left="360" w:hanging="216"/>
      </w:pPr>
      <w:r>
        <w:rPr>
          <w:b/>
          <w:color w:val="2563EB"/>
        </w:rPr>
        <w:t xml:space="preserve">• </w:t>
      </w:r>
      <w:r>
        <w:rPr>
          <w:rFonts w:ascii="Arial" w:hAnsi="Arial"/>
          <w:i w:val="0"/>
          <w:color w:val="1F2937"/>
          <w:sz w:val="21"/>
        </w:rPr>
        <w:t>7.3 Non-Functional Requirements Analysis</w:t>
      </w:r>
    </w:p>
    <w:p>
      <w:pPr>
        <w:spacing w:before="20" w:after="40" w:line="288" w:lineRule="auto"/>
        <w:ind w:left="360" w:hanging="216"/>
      </w:pPr>
      <w:r>
        <w:rPr>
          <w:b/>
          <w:color w:val="2563EB"/>
        </w:rPr>
        <w:t xml:space="preserve">• </w:t>
      </w:r>
      <w:r>
        <w:rPr>
          <w:rFonts w:ascii="Arial" w:hAnsi="Arial"/>
          <w:i w:val="0"/>
          <w:color w:val="1F2937"/>
          <w:sz w:val="21"/>
        </w:rPr>
        <w:t>7.4 End-to-End Data &amp; Model Lifecycle Analysis</w:t>
      </w:r>
    </w:p>
    <w:p>
      <w:pPr>
        <w:spacing w:before="20" w:after="40" w:line="288" w:lineRule="auto"/>
        <w:ind w:left="360" w:hanging="216"/>
      </w:pPr>
      <w:r>
        <w:rPr>
          <w:b/>
          <w:color w:val="2563EB"/>
        </w:rPr>
        <w:t xml:space="preserve">• </w:t>
      </w:r>
      <w:r>
        <w:rPr>
          <w:rFonts w:ascii="Arial" w:hAnsi="Arial"/>
          <w:i w:val="0"/>
          <w:color w:val="1F2937"/>
          <w:sz w:val="21"/>
        </w:rPr>
        <w:t>7.5 Technical and Operational Constraints</w:t>
      </w:r>
    </w:p>
    <w:p>
      <w:pPr>
        <w:spacing w:before="20" w:after="40" w:line="288" w:lineRule="auto"/>
        <w:ind w:left="360" w:hanging="216"/>
      </w:pPr>
      <w:r>
        <w:rPr>
          <w:b/>
          <w:color w:val="2563EB"/>
        </w:rPr>
        <w:t xml:space="preserve">• </w:t>
      </w:r>
      <w:r>
        <w:rPr>
          <w:rFonts w:ascii="Arial" w:hAnsi="Arial"/>
          <w:i w:val="0"/>
          <w:color w:val="1F2937"/>
          <w:sz w:val="21"/>
        </w:rPr>
        <w:t>7.6 Risk Analysis and Systematic Mitigation</w:t>
      </w:r>
    </w:p>
    <w:p>
      <w:pPr>
        <w:spacing w:before="20" w:after="40" w:line="288" w:lineRule="auto"/>
        <w:ind w:left="360" w:hanging="216"/>
      </w:pPr>
      <w:r>
        <w:rPr>
          <w:b/>
          <w:color w:val="2563EB"/>
        </w:rPr>
        <w:t xml:space="preserve">• </w:t>
      </w:r>
      <w:r>
        <w:rPr>
          <w:rFonts w:ascii="Arial" w:hAnsi="Arial"/>
          <w:b/>
          <w:i w:val="0"/>
          <w:color w:val="1F2937"/>
          <w:sz w:val="21"/>
        </w:rPr>
        <w:t>8. EXISTING SYSTEM</w:t>
      </w:r>
    </w:p>
    <w:p>
      <w:pPr>
        <w:spacing w:before="20" w:after="40" w:line="288" w:lineRule="auto"/>
        <w:ind w:left="360" w:hanging="216"/>
      </w:pPr>
      <w:r>
        <w:rPr>
          <w:b/>
          <w:color w:val="2563EB"/>
        </w:rPr>
        <w:t xml:space="preserve">• </w:t>
      </w:r>
      <w:r>
        <w:rPr>
          <w:rFonts w:ascii="Arial" w:hAnsi="Arial"/>
          <w:i w:val="0"/>
          <w:color w:val="1F2937"/>
          <w:sz w:val="21"/>
        </w:rPr>
        <w:t>8.1 Rule-Based Heuristics &amp; Static Consumption Thresholds</w:t>
      </w:r>
    </w:p>
    <w:p>
      <w:pPr>
        <w:spacing w:before="20" w:after="40" w:line="288" w:lineRule="auto"/>
        <w:ind w:left="360" w:hanging="216"/>
      </w:pPr>
      <w:r>
        <w:rPr>
          <w:b/>
          <w:color w:val="2563EB"/>
        </w:rPr>
        <w:t xml:space="preserve">• </w:t>
      </w:r>
      <w:r>
        <w:rPr>
          <w:rFonts w:ascii="Arial" w:hAnsi="Arial"/>
          <w:i w:val="0"/>
          <w:color w:val="1F2937"/>
          <w:sz w:val="21"/>
        </w:rPr>
        <w:t>8.2 Unsupervised Anomaly Detection Algorithms</w:t>
      </w:r>
    </w:p>
    <w:p>
      <w:pPr>
        <w:spacing w:before="20" w:after="40" w:line="288" w:lineRule="auto"/>
        <w:ind w:left="360" w:hanging="216"/>
      </w:pPr>
      <w:r>
        <w:rPr>
          <w:b/>
          <w:color w:val="2563EB"/>
        </w:rPr>
        <w:t xml:space="preserve">• </w:t>
      </w:r>
      <w:r>
        <w:rPr>
          <w:rFonts w:ascii="Arial" w:hAnsi="Arial"/>
          <w:i w:val="0"/>
          <w:color w:val="1F2937"/>
          <w:sz w:val="21"/>
        </w:rPr>
        <w:t>8.3 Symmetric Supervised Machine Learning Classifiers</w:t>
      </w:r>
    </w:p>
    <w:p>
      <w:pPr>
        <w:spacing w:before="20" w:after="40" w:line="288" w:lineRule="auto"/>
        <w:ind w:left="360" w:hanging="216"/>
      </w:pPr>
      <w:r>
        <w:rPr>
          <w:b/>
          <w:color w:val="2563EB"/>
        </w:rPr>
        <w:t xml:space="preserve">• </w:t>
      </w:r>
      <w:r>
        <w:rPr>
          <w:rFonts w:ascii="Arial" w:hAnsi="Arial"/>
          <w:i w:val="0"/>
          <w:color w:val="1F2937"/>
          <w:sz w:val="21"/>
        </w:rPr>
        <w:t>8.4 Fundamental Architectural Limitations of the Existing Paradigm</w:t>
      </w:r>
    </w:p>
    <w:p>
      <w:pPr>
        <w:spacing w:before="20" w:after="40" w:line="288" w:lineRule="auto"/>
        <w:ind w:left="360" w:hanging="216"/>
      </w:pPr>
      <w:r>
        <w:rPr>
          <w:b/>
          <w:color w:val="2563EB"/>
        </w:rPr>
        <w:t xml:space="preserve">• </w:t>
      </w:r>
      <w:r>
        <w:rPr>
          <w:rFonts w:ascii="Arial" w:hAnsi="Arial"/>
          <w:b/>
          <w:i w:val="0"/>
          <w:color w:val="1F2937"/>
          <w:sz w:val="21"/>
        </w:rPr>
        <w:t>9. PROPOSED SYSTEM</w:t>
      </w:r>
    </w:p>
    <w:p>
      <w:pPr>
        <w:spacing w:before="20" w:after="40" w:line="288" w:lineRule="auto"/>
        <w:ind w:left="360" w:hanging="216"/>
      </w:pPr>
      <w:r>
        <w:rPr>
          <w:b/>
          <w:color w:val="2563EB"/>
        </w:rPr>
        <w:t xml:space="preserve">• </w:t>
      </w:r>
      <w:r>
        <w:rPr>
          <w:rFonts w:ascii="Arial" w:hAnsi="Arial"/>
          <w:i w:val="0"/>
          <w:color w:val="1F2937"/>
          <w:sz w:val="21"/>
        </w:rPr>
        <w:t>9.1 Conceptual Architecture of Grid-Guard</w:t>
      </w:r>
    </w:p>
    <w:p>
      <w:pPr>
        <w:spacing w:before="20" w:after="40" w:line="288" w:lineRule="auto"/>
        <w:ind w:left="360" w:hanging="216"/>
      </w:pPr>
      <w:r>
        <w:rPr>
          <w:b/>
          <w:color w:val="2563EB"/>
        </w:rPr>
        <w:t xml:space="preserve">• </w:t>
      </w:r>
      <w:r>
        <w:rPr>
          <w:rFonts w:ascii="Arial" w:hAnsi="Arial"/>
          <w:i w:val="0"/>
          <w:color w:val="1F2937"/>
          <w:sz w:val="21"/>
        </w:rPr>
        <w:t>9.2 The Four Foundational Pillars</w:t>
      </w:r>
    </w:p>
    <w:p>
      <w:pPr>
        <w:spacing w:before="20" w:after="40" w:line="288" w:lineRule="auto"/>
        <w:ind w:left="360" w:hanging="216"/>
      </w:pPr>
      <w:r>
        <w:rPr>
          <w:b/>
          <w:color w:val="2563EB"/>
        </w:rPr>
        <w:t xml:space="preserve">• </w:t>
      </w:r>
      <w:r>
        <w:rPr>
          <w:rFonts w:ascii="Arial" w:hAnsi="Arial"/>
          <w:i w:val="0"/>
          <w:color w:val="1F2937"/>
          <w:sz w:val="21"/>
        </w:rPr>
        <w:t>9.3 End-to-End System Workflow</w:t>
      </w:r>
    </w:p>
    <w:p>
      <w:pPr>
        <w:spacing w:before="20" w:after="40" w:line="288" w:lineRule="auto"/>
        <w:ind w:left="360" w:hanging="216"/>
      </w:pPr>
      <w:r>
        <w:rPr>
          <w:b/>
          <w:color w:val="2563EB"/>
        </w:rPr>
        <w:t xml:space="preserve">• </w:t>
      </w:r>
      <w:r>
        <w:rPr>
          <w:rFonts w:ascii="Arial" w:hAnsi="Arial"/>
          <w:i w:val="0"/>
          <w:color w:val="1F2937"/>
          <w:sz w:val="21"/>
        </w:rPr>
        <w:t>9.4 High-Level System Architecture Diagram</w:t>
      </w:r>
    </w:p>
    <w:p>
      <w:pPr>
        <w:spacing w:before="20" w:after="40" w:line="288" w:lineRule="auto"/>
        <w:ind w:left="360" w:hanging="216"/>
      </w:pPr>
      <w:r>
        <w:rPr>
          <w:b/>
          <w:color w:val="2563EB"/>
        </w:rPr>
        <w:t xml:space="preserve">• </w:t>
      </w:r>
      <w:r>
        <w:rPr>
          <w:rFonts w:ascii="Arial" w:hAnsi="Arial"/>
          <w:b/>
          <w:i w:val="0"/>
          <w:color w:val="1F2937"/>
          <w:sz w:val="21"/>
        </w:rPr>
        <w:t>10. REQUIREMENT ANALYSIS</w:t>
      </w:r>
    </w:p>
    <w:p>
      <w:pPr>
        <w:spacing w:before="20" w:after="40" w:line="288" w:lineRule="auto"/>
        <w:ind w:left="360" w:hanging="216"/>
      </w:pPr>
      <w:r>
        <w:rPr>
          <w:b/>
          <w:color w:val="2563EB"/>
        </w:rPr>
        <w:t xml:space="preserve">• </w:t>
      </w:r>
      <w:r>
        <w:rPr>
          <w:rFonts w:ascii="Arial" w:hAnsi="Arial"/>
          <w:i w:val="0"/>
          <w:color w:val="1F2937"/>
          <w:sz w:val="21"/>
        </w:rPr>
        <w:t>10.1 Functional Requirements Matrix</w:t>
      </w:r>
    </w:p>
    <w:p>
      <w:pPr>
        <w:spacing w:before="20" w:after="40" w:line="288" w:lineRule="auto"/>
        <w:ind w:left="360" w:hanging="216"/>
      </w:pPr>
      <w:r>
        <w:rPr>
          <w:b/>
          <w:color w:val="2563EB"/>
        </w:rPr>
        <w:t xml:space="preserve">• </w:t>
      </w:r>
      <w:r>
        <w:rPr>
          <w:rFonts w:ascii="Arial" w:hAnsi="Arial"/>
          <w:i w:val="0"/>
          <w:color w:val="1F2937"/>
          <w:sz w:val="21"/>
        </w:rPr>
        <w:t>10.2 Non-Functional Requirements Specification</w:t>
      </w:r>
    </w:p>
    <w:p>
      <w:pPr>
        <w:spacing w:before="20" w:after="40" w:line="288" w:lineRule="auto"/>
        <w:ind w:left="360" w:hanging="216"/>
      </w:pPr>
      <w:r>
        <w:rPr>
          <w:b/>
          <w:color w:val="2563EB"/>
        </w:rPr>
        <w:t xml:space="preserve">• </w:t>
      </w:r>
      <w:r>
        <w:rPr>
          <w:rFonts w:ascii="Arial" w:hAnsi="Arial"/>
          <w:i w:val="0"/>
          <w:color w:val="1F2937"/>
          <w:sz w:val="21"/>
        </w:rPr>
        <w:t>10.3 User Persona &amp; Interaction Requirements</w:t>
      </w:r>
    </w:p>
    <w:p>
      <w:pPr>
        <w:spacing w:before="20" w:after="40" w:line="288" w:lineRule="auto"/>
        <w:ind w:left="360" w:hanging="216"/>
      </w:pPr>
      <w:r>
        <w:rPr>
          <w:b/>
          <w:color w:val="2563EB"/>
        </w:rPr>
        <w:t xml:space="preserve">• </w:t>
      </w:r>
      <w:r>
        <w:rPr>
          <w:rFonts w:ascii="Arial" w:hAnsi="Arial"/>
          <w:b/>
          <w:i w:val="0"/>
          <w:color w:val="1F2937"/>
          <w:sz w:val="21"/>
        </w:rPr>
        <w:t>11. HARDWARE REQUIREMENTS</w:t>
      </w:r>
    </w:p>
    <w:p>
      <w:pPr>
        <w:spacing w:before="20" w:after="40" w:line="288" w:lineRule="auto"/>
        <w:ind w:left="360" w:hanging="216"/>
      </w:pPr>
      <w:r>
        <w:rPr>
          <w:b/>
          <w:color w:val="2563EB"/>
        </w:rPr>
        <w:t xml:space="preserve">• </w:t>
      </w:r>
      <w:r>
        <w:rPr>
          <w:rFonts w:ascii="Arial" w:hAnsi="Arial"/>
          <w:i w:val="0"/>
          <w:color w:val="1F2937"/>
          <w:sz w:val="21"/>
        </w:rPr>
        <w:t>11.1 Experimental Development Machine Specifications</w:t>
      </w:r>
    </w:p>
    <w:p>
      <w:pPr>
        <w:spacing w:before="20" w:after="40" w:line="288" w:lineRule="auto"/>
        <w:ind w:left="360" w:hanging="216"/>
      </w:pPr>
      <w:r>
        <w:rPr>
          <w:b/>
          <w:color w:val="2563EB"/>
        </w:rPr>
        <w:t xml:space="preserve">• </w:t>
      </w:r>
      <w:r>
        <w:rPr>
          <w:rFonts w:ascii="Arial" w:hAnsi="Arial"/>
          <w:i w:val="0"/>
          <w:color w:val="1F2937"/>
          <w:sz w:val="21"/>
        </w:rPr>
        <w:t>11.2 Model Training &amp; Optimization Hardware Requirements</w:t>
      </w:r>
    </w:p>
    <w:p>
      <w:pPr>
        <w:spacing w:before="20" w:after="40" w:line="288" w:lineRule="auto"/>
        <w:ind w:left="360" w:hanging="216"/>
      </w:pPr>
      <w:r>
        <w:rPr>
          <w:b/>
          <w:color w:val="2563EB"/>
        </w:rPr>
        <w:t xml:space="preserve">• </w:t>
      </w:r>
      <w:r>
        <w:rPr>
          <w:rFonts w:ascii="Arial" w:hAnsi="Arial"/>
          <w:i w:val="0"/>
          <w:color w:val="1F2937"/>
          <w:sz w:val="21"/>
        </w:rPr>
        <w:t>11.3 Real-Time Production Serving &amp; Dashboard Hardware Requirements</w:t>
      </w:r>
    </w:p>
    <w:p>
      <w:pPr>
        <w:spacing w:before="20" w:after="40" w:line="288" w:lineRule="auto"/>
        <w:ind w:left="360" w:hanging="216"/>
      </w:pPr>
      <w:r>
        <w:rPr>
          <w:b/>
          <w:color w:val="2563EB"/>
        </w:rPr>
        <w:t xml:space="preserve">• </w:t>
      </w:r>
      <w:r>
        <w:rPr>
          <w:rFonts w:ascii="Arial" w:hAnsi="Arial"/>
          <w:b/>
          <w:i w:val="0"/>
          <w:color w:val="1F2937"/>
          <w:sz w:val="21"/>
        </w:rPr>
        <w:t>12. SOFTWARE REQUIREMENTS</w:t>
      </w:r>
    </w:p>
    <w:p>
      <w:pPr>
        <w:spacing w:before="20" w:after="40" w:line="288" w:lineRule="auto"/>
        <w:ind w:left="360" w:hanging="216"/>
      </w:pPr>
      <w:r>
        <w:rPr>
          <w:b/>
          <w:color w:val="2563EB"/>
        </w:rPr>
        <w:t xml:space="preserve">• </w:t>
      </w:r>
      <w:r>
        <w:rPr>
          <w:rFonts w:ascii="Arial" w:hAnsi="Arial"/>
          <w:i w:val="0"/>
          <w:color w:val="1F2937"/>
          <w:sz w:val="21"/>
        </w:rPr>
        <w:t>12.1 Language and Core Numerical Environment</w:t>
      </w:r>
    </w:p>
    <w:p>
      <w:pPr>
        <w:spacing w:before="20" w:after="40" w:line="288" w:lineRule="auto"/>
        <w:ind w:left="360" w:hanging="216"/>
      </w:pPr>
      <w:r>
        <w:rPr>
          <w:b/>
          <w:color w:val="2563EB"/>
        </w:rPr>
        <w:t xml:space="preserve">• </w:t>
      </w:r>
      <w:r>
        <w:rPr>
          <w:rFonts w:ascii="Arial" w:hAnsi="Arial"/>
          <w:i w:val="0"/>
          <w:color w:val="1F2937"/>
          <w:sz w:val="21"/>
        </w:rPr>
        <w:t>12.2 Machine Learning &amp; Optimization Frameworks</w:t>
      </w:r>
    </w:p>
    <w:p>
      <w:pPr>
        <w:spacing w:before="20" w:after="40" w:line="288" w:lineRule="auto"/>
        <w:ind w:left="360" w:hanging="216"/>
      </w:pPr>
      <w:r>
        <w:rPr>
          <w:b/>
          <w:color w:val="2563EB"/>
        </w:rPr>
        <w:t xml:space="preserve">• </w:t>
      </w:r>
      <w:r>
        <w:rPr>
          <w:rFonts w:ascii="Arial" w:hAnsi="Arial"/>
          <w:i w:val="0"/>
          <w:color w:val="1F2937"/>
          <w:sz w:val="21"/>
        </w:rPr>
        <w:t>12.3 Explainability Frameworks</w:t>
      </w:r>
    </w:p>
    <w:p>
      <w:pPr>
        <w:spacing w:before="20" w:after="40" w:line="288" w:lineRule="auto"/>
        <w:ind w:left="360" w:hanging="216"/>
      </w:pPr>
      <w:r>
        <w:rPr>
          <w:b/>
          <w:color w:val="2563EB"/>
        </w:rPr>
        <w:t xml:space="preserve">• </w:t>
      </w:r>
      <w:r>
        <w:rPr>
          <w:rFonts w:ascii="Arial" w:hAnsi="Arial"/>
          <w:i w:val="0"/>
          <w:color w:val="1F2937"/>
          <w:sz w:val="21"/>
        </w:rPr>
        <w:t>12.4 Production API &amp; Microservices Stack</w:t>
      </w:r>
    </w:p>
    <w:p>
      <w:pPr>
        <w:spacing w:before="20" w:after="40" w:line="288" w:lineRule="auto"/>
        <w:ind w:left="360" w:hanging="216"/>
      </w:pPr>
      <w:r>
        <w:rPr>
          <w:b/>
          <w:color w:val="2563EB"/>
        </w:rPr>
        <w:t xml:space="preserve">• </w:t>
      </w:r>
      <w:r>
        <w:rPr>
          <w:rFonts w:ascii="Arial" w:hAnsi="Arial"/>
          <w:i w:val="0"/>
          <w:color w:val="1F2937"/>
          <w:sz w:val="21"/>
        </w:rPr>
        <w:t>12.5 Frontend Dashboard &amp; Visualization Stack</w:t>
      </w:r>
    </w:p>
    <w:p>
      <w:pPr>
        <w:spacing w:before="20" w:after="40" w:line="288" w:lineRule="auto"/>
        <w:ind w:left="360" w:hanging="216"/>
      </w:pPr>
      <w:r>
        <w:rPr>
          <w:b/>
          <w:color w:val="2563EB"/>
        </w:rPr>
        <w:t xml:space="preserve">• </w:t>
      </w:r>
      <w:r>
        <w:rPr>
          <w:rFonts w:ascii="Arial" w:hAnsi="Arial"/>
          <w:i w:val="0"/>
          <w:color w:val="1F2937"/>
          <w:sz w:val="21"/>
        </w:rPr>
        <w:t>12.6 Development, Testing, Linting &amp; Containerization Tooling</w:t>
      </w:r>
    </w:p>
    <w:p>
      <w:pPr>
        <w:spacing w:before="20" w:after="40" w:line="288" w:lineRule="auto"/>
        <w:ind w:left="360" w:hanging="216"/>
      </w:pPr>
      <w:r>
        <w:rPr>
          <w:b/>
          <w:color w:val="2563EB"/>
        </w:rPr>
        <w:t xml:space="preserve">• </w:t>
      </w:r>
      <w:r>
        <w:rPr>
          <w:rFonts w:ascii="Arial" w:hAnsi="Arial"/>
          <w:b/>
          <w:i w:val="0"/>
          <w:color w:val="1F2937"/>
          <w:sz w:val="21"/>
        </w:rPr>
        <w:t>13. SURVEY OF TECHNOLOGY</w:t>
      </w:r>
    </w:p>
    <w:p>
      <w:pPr>
        <w:spacing w:before="20" w:after="40" w:line="288" w:lineRule="auto"/>
        <w:ind w:left="360" w:hanging="216"/>
      </w:pPr>
      <w:r>
        <w:rPr>
          <w:b/>
          <w:color w:val="2563EB"/>
        </w:rPr>
        <w:t xml:space="preserve">• </w:t>
      </w:r>
      <w:r>
        <w:rPr>
          <w:rFonts w:ascii="Arial" w:hAnsi="Arial"/>
          <w:i w:val="0"/>
          <w:color w:val="1F2937"/>
          <w:sz w:val="21"/>
        </w:rPr>
        <w:t>13.1 Smart Meter Advanced Metering Infrastructure (AMI)</w:t>
      </w:r>
    </w:p>
    <w:p>
      <w:pPr>
        <w:spacing w:before="20" w:after="40" w:line="288" w:lineRule="auto"/>
        <w:ind w:left="360" w:hanging="216"/>
      </w:pPr>
      <w:r>
        <w:rPr>
          <w:b/>
          <w:color w:val="2563EB"/>
        </w:rPr>
        <w:t xml:space="preserve">• </w:t>
      </w:r>
      <w:r>
        <w:rPr>
          <w:rFonts w:ascii="Arial" w:hAnsi="Arial"/>
          <w:i w:val="0"/>
          <w:color w:val="1F2937"/>
          <w:sz w:val="21"/>
        </w:rPr>
        <w:t>13.2 Polars vs. Pandas for High-Throughput Time-Series Analytics</w:t>
      </w:r>
    </w:p>
    <w:p>
      <w:pPr>
        <w:spacing w:before="20" w:after="40" w:line="288" w:lineRule="auto"/>
        <w:ind w:left="360" w:hanging="216"/>
      </w:pPr>
      <w:r>
        <w:rPr>
          <w:b/>
          <w:color w:val="2563EB"/>
        </w:rPr>
        <w:t xml:space="preserve">• </w:t>
      </w:r>
      <w:r>
        <w:rPr>
          <w:rFonts w:ascii="Arial" w:hAnsi="Arial"/>
          <w:i w:val="0"/>
          <w:color w:val="1F2937"/>
          <w:sz w:val="21"/>
        </w:rPr>
        <w:t>13.3 Gradient Boosted Decision Trees &amp; LightGBM Mechanics</w:t>
      </w:r>
    </w:p>
    <w:p>
      <w:pPr>
        <w:spacing w:before="20" w:after="40" w:line="288" w:lineRule="auto"/>
        <w:ind w:left="360" w:hanging="216"/>
      </w:pPr>
      <w:r>
        <w:rPr>
          <w:b/>
          <w:color w:val="2563EB"/>
        </w:rPr>
        <w:t xml:space="preserve">• </w:t>
      </w:r>
      <w:r>
        <w:rPr>
          <w:rFonts w:ascii="Arial" w:hAnsi="Arial"/>
          <w:i w:val="0"/>
          <w:color w:val="1F2937"/>
          <w:sz w:val="21"/>
        </w:rPr>
        <w:t>13.4 Class Imbalance Methodologies (SMOTE, Tomek Links, Sampling)</w:t>
      </w:r>
    </w:p>
    <w:p>
      <w:pPr>
        <w:spacing w:before="20" w:after="40" w:line="288" w:lineRule="auto"/>
        <w:ind w:left="360" w:hanging="216"/>
      </w:pPr>
      <w:r>
        <w:rPr>
          <w:b/>
          <w:color w:val="2563EB"/>
        </w:rPr>
        <w:t xml:space="preserve">• </w:t>
      </w:r>
      <w:r>
        <w:rPr>
          <w:rFonts w:ascii="Arial" w:hAnsi="Arial"/>
          <w:i w:val="0"/>
          <w:color w:val="1F2937"/>
          <w:sz w:val="21"/>
        </w:rPr>
        <w:t>13.5 Cost-Sensitive Learning &amp; Mathematical Loss Surrogates</w:t>
      </w:r>
    </w:p>
    <w:p>
      <w:pPr>
        <w:spacing w:before="20" w:after="40" w:line="288" w:lineRule="auto"/>
        <w:ind w:left="360" w:hanging="216"/>
      </w:pPr>
      <w:r>
        <w:rPr>
          <w:b/>
          <w:color w:val="2563EB"/>
        </w:rPr>
        <w:t xml:space="preserve">• </w:t>
      </w:r>
      <w:r>
        <w:rPr>
          <w:rFonts w:ascii="Arial" w:hAnsi="Arial"/>
          <w:i w:val="0"/>
          <w:color w:val="1F2937"/>
          <w:sz w:val="21"/>
        </w:rPr>
        <w:t>13.6 Shapley Additive Explanations (SHAP) &amp; Tree-SHAP</w:t>
      </w:r>
    </w:p>
    <w:p>
      <w:pPr>
        <w:spacing w:before="20" w:after="40" w:line="288" w:lineRule="auto"/>
        <w:ind w:left="360" w:hanging="216"/>
      </w:pPr>
      <w:r>
        <w:rPr>
          <w:b/>
          <w:color w:val="2563EB"/>
        </w:rPr>
        <w:t xml:space="preserve">• </w:t>
      </w:r>
      <w:r>
        <w:rPr>
          <w:rFonts w:ascii="Arial" w:hAnsi="Arial"/>
          <w:i w:val="0"/>
          <w:color w:val="1F2937"/>
          <w:sz w:val="21"/>
        </w:rPr>
        <w:t>13.7 Production Web Frameworks: FastAPI vs. Flask vs. Django</w:t>
      </w:r>
    </w:p>
    <w:p>
      <w:pPr>
        <w:spacing w:before="20" w:after="40" w:line="288" w:lineRule="auto"/>
        <w:ind w:left="360" w:hanging="216"/>
      </w:pPr>
      <w:r>
        <w:rPr>
          <w:b/>
          <w:color w:val="2563EB"/>
        </w:rPr>
        <w:t xml:space="preserve">• </w:t>
      </w:r>
      <w:r>
        <w:rPr>
          <w:rFonts w:ascii="Arial" w:hAnsi="Arial"/>
          <w:i w:val="0"/>
          <w:color w:val="1F2937"/>
          <w:sz w:val="21"/>
        </w:rPr>
        <w:t>13.8 Operational Dashboards: Streamlit vs. Traditional Single-Page Apps</w:t>
      </w:r>
    </w:p>
    <w:p>
      <w:pPr>
        <w:spacing w:before="20" w:after="40" w:line="288" w:lineRule="auto"/>
        <w:ind w:left="360" w:hanging="216"/>
      </w:pPr>
      <w:r>
        <w:rPr>
          <w:b/>
          <w:color w:val="2563EB"/>
        </w:rPr>
        <w:t xml:space="preserve">• </w:t>
      </w:r>
      <w:r>
        <w:rPr>
          <w:rFonts w:ascii="Arial" w:hAnsi="Arial"/>
          <w:b/>
          <w:i w:val="0"/>
          <w:color w:val="1F2937"/>
          <w:sz w:val="21"/>
        </w:rPr>
        <w:t>14. SYSTEM DESIGN</w:t>
      </w:r>
    </w:p>
    <w:p>
      <w:pPr>
        <w:spacing w:before="20" w:after="40" w:line="288" w:lineRule="auto"/>
        <w:ind w:left="360" w:hanging="216"/>
      </w:pPr>
      <w:r>
        <w:rPr>
          <w:b/>
          <w:color w:val="2563EB"/>
        </w:rPr>
        <w:t xml:space="preserve">• </w:t>
      </w:r>
      <w:r>
        <w:rPr>
          <w:rFonts w:ascii="Arial" w:hAnsi="Arial"/>
          <w:i w:val="0"/>
          <w:color w:val="1F2937"/>
          <w:sz w:val="21"/>
        </w:rPr>
        <w:t>14.1 Layered Architectural Design</w:t>
      </w:r>
    </w:p>
    <w:p>
      <w:pPr>
        <w:spacing w:before="20" w:after="40" w:line="288" w:lineRule="auto"/>
        <w:ind w:left="360" w:hanging="216"/>
      </w:pPr>
      <w:r>
        <w:rPr>
          <w:b/>
          <w:color w:val="2563EB"/>
        </w:rPr>
        <w:t xml:space="preserve">• </w:t>
      </w:r>
      <w:r>
        <w:rPr>
          <w:rFonts w:ascii="Arial" w:hAnsi="Arial"/>
          <w:i w:val="0"/>
          <w:color w:val="1F2937"/>
          <w:sz w:val="21"/>
        </w:rPr>
        <w:t>14.2 Component Responsibilities &amp; Boundaries</w:t>
      </w:r>
    </w:p>
    <w:p>
      <w:pPr>
        <w:spacing w:before="20" w:after="40" w:line="288" w:lineRule="auto"/>
        <w:ind w:left="360" w:hanging="216"/>
      </w:pPr>
      <w:r>
        <w:rPr>
          <w:b/>
          <w:color w:val="2563EB"/>
        </w:rPr>
        <w:t xml:space="preserve">• </w:t>
      </w:r>
      <w:r>
        <w:rPr>
          <w:rFonts w:ascii="Arial" w:hAnsi="Arial"/>
          <w:i w:val="0"/>
          <w:color w:val="1F2937"/>
          <w:sz w:val="21"/>
        </w:rPr>
        <w:t>14.3 Data Pipeline Design</w:t>
      </w:r>
    </w:p>
    <w:p>
      <w:pPr>
        <w:spacing w:before="20" w:after="40" w:line="288" w:lineRule="auto"/>
        <w:ind w:left="360" w:hanging="216"/>
      </w:pPr>
      <w:r>
        <w:rPr>
          <w:b/>
          <w:color w:val="2563EB"/>
        </w:rPr>
        <w:t xml:space="preserve">• </w:t>
      </w:r>
      <w:r>
        <w:rPr>
          <w:rFonts w:ascii="Arial" w:hAnsi="Arial"/>
          <w:i w:val="0"/>
          <w:color w:val="1F2937"/>
          <w:sz w:val="21"/>
        </w:rPr>
        <w:t>14.4 Model Training &amp; Evaluation Design</w:t>
      </w:r>
    </w:p>
    <w:p>
      <w:pPr>
        <w:spacing w:before="20" w:after="40" w:line="288" w:lineRule="auto"/>
        <w:ind w:left="360" w:hanging="216"/>
      </w:pPr>
      <w:r>
        <w:rPr>
          <w:b/>
          <w:color w:val="2563EB"/>
        </w:rPr>
        <w:t xml:space="preserve">• </w:t>
      </w:r>
      <w:r>
        <w:rPr>
          <w:rFonts w:ascii="Arial" w:hAnsi="Arial"/>
          <w:i w:val="0"/>
          <w:color w:val="1F2937"/>
          <w:sz w:val="21"/>
        </w:rPr>
        <w:t>14.5 Decision Engine Design &amp; Mathematical Formulations</w:t>
      </w:r>
    </w:p>
    <w:p>
      <w:pPr>
        <w:spacing w:before="20" w:after="40" w:line="288" w:lineRule="auto"/>
        <w:ind w:left="360" w:hanging="216"/>
      </w:pPr>
      <w:r>
        <w:rPr>
          <w:b/>
          <w:color w:val="2563EB"/>
        </w:rPr>
        <w:t xml:space="preserve">• </w:t>
      </w:r>
      <w:r>
        <w:rPr>
          <w:rFonts w:ascii="Arial" w:hAnsi="Arial"/>
          <w:i w:val="0"/>
          <w:color w:val="1F2937"/>
          <w:sz w:val="21"/>
        </w:rPr>
        <w:t>14.6 Explainability Architecture &amp; Narrative Synthesis</w:t>
      </w:r>
    </w:p>
    <w:p>
      <w:pPr>
        <w:spacing w:before="20" w:after="40" w:line="288" w:lineRule="auto"/>
        <w:ind w:left="360" w:hanging="216"/>
      </w:pPr>
      <w:r>
        <w:rPr>
          <w:b/>
          <w:color w:val="2563EB"/>
        </w:rPr>
        <w:t xml:space="preserve">• </w:t>
      </w:r>
      <w:r>
        <w:rPr>
          <w:rFonts w:ascii="Arial" w:hAnsi="Arial"/>
          <w:i w:val="0"/>
          <w:color w:val="1F2937"/>
          <w:sz w:val="21"/>
        </w:rPr>
        <w:t>14.7 API Architecture &amp; Dependency Injection</w:t>
      </w:r>
    </w:p>
    <w:p>
      <w:pPr>
        <w:spacing w:before="20" w:after="40" w:line="288" w:lineRule="auto"/>
        <w:ind w:left="360" w:hanging="216"/>
      </w:pPr>
      <w:r>
        <w:rPr>
          <w:b/>
          <w:color w:val="2563EB"/>
        </w:rPr>
        <w:t xml:space="preserve">• </w:t>
      </w:r>
      <w:r>
        <w:rPr>
          <w:rFonts w:ascii="Arial" w:hAnsi="Arial"/>
          <w:i w:val="0"/>
          <w:color w:val="1F2937"/>
          <w:sz w:val="21"/>
        </w:rPr>
        <w:t>14.8 Operational Dashboard Wireframe &amp; Layout Design</w:t>
      </w:r>
    </w:p>
    <w:p>
      <w:pPr>
        <w:spacing w:before="20" w:after="40" w:line="288" w:lineRule="auto"/>
        <w:ind w:left="360" w:hanging="216"/>
      </w:pPr>
      <w:r>
        <w:rPr>
          <w:b/>
          <w:color w:val="2563EB"/>
        </w:rPr>
        <w:t xml:space="preserve">• </w:t>
      </w:r>
      <w:r>
        <w:rPr>
          <w:rFonts w:ascii="Arial" w:hAnsi="Arial"/>
          <w:b/>
          <w:i w:val="0"/>
          <w:color w:val="1F2937"/>
          <w:sz w:val="21"/>
        </w:rPr>
        <w:t>15. MODULE DIVISION</w:t>
      </w:r>
    </w:p>
    <w:p>
      <w:pPr>
        <w:spacing w:before="20" w:after="40" w:line="288" w:lineRule="auto"/>
        <w:ind w:left="360" w:hanging="216"/>
      </w:pPr>
      <w:r>
        <w:rPr>
          <w:b/>
          <w:color w:val="2563EB"/>
        </w:rPr>
        <w:t xml:space="preserve">• </w:t>
      </w:r>
      <w:r>
        <w:rPr>
          <w:rFonts w:ascii="Arial" w:hAnsi="Arial"/>
          <w:i w:val="0"/>
          <w:color w:val="1F2937"/>
          <w:sz w:val="21"/>
        </w:rPr>
        <w:t>15.1 Architectural Hierarchy</w:t>
      </w:r>
    </w:p>
    <w:p>
      <w:pPr>
        <w:spacing w:before="20" w:after="40" w:line="288" w:lineRule="auto"/>
        <w:ind w:left="360" w:hanging="216"/>
      </w:pPr>
      <w:r>
        <w:rPr>
          <w:b/>
          <w:color w:val="2563EB"/>
        </w:rPr>
        <w:t xml:space="preserve">• </w:t>
      </w:r>
      <w:r>
        <w:rPr>
          <w:rFonts w:ascii="Arial" w:hAnsi="Arial"/>
          <w:i w:val="0"/>
          <w:color w:val="1F2937"/>
          <w:sz w:val="21"/>
        </w:rPr>
        <w:t>15.2 Detailed Specification of All 15 Subsystem Modules</w:t>
      </w:r>
    </w:p>
    <w:p>
      <w:pPr>
        <w:spacing w:before="20" w:after="40" w:line="288" w:lineRule="auto"/>
        <w:ind w:left="360" w:hanging="216"/>
      </w:pPr>
      <w:r>
        <w:rPr>
          <w:b/>
          <w:color w:val="2563EB"/>
        </w:rPr>
        <w:t xml:space="preserve">• </w:t>
      </w:r>
      <w:r>
        <w:rPr>
          <w:rFonts w:ascii="Arial" w:hAnsi="Arial"/>
          <w:b/>
          <w:i w:val="0"/>
          <w:color w:val="1F2937"/>
          <w:sz w:val="21"/>
        </w:rPr>
        <w:t>16. GANTT CHART</w:t>
      </w:r>
    </w:p>
    <w:p>
      <w:pPr>
        <w:spacing w:before="20" w:after="40" w:line="288" w:lineRule="auto"/>
        <w:ind w:left="360" w:hanging="216"/>
      </w:pPr>
      <w:r>
        <w:rPr>
          <w:b/>
          <w:color w:val="2563EB"/>
        </w:rPr>
        <w:t xml:space="preserve">• </w:t>
      </w:r>
      <w:r>
        <w:rPr>
          <w:rFonts w:ascii="Arial" w:hAnsi="Arial"/>
          <w:i w:val="0"/>
          <w:color w:val="1F2937"/>
          <w:sz w:val="21"/>
        </w:rPr>
        <w:t>16.1 10-Phase Project Implementation Sequence</w:t>
      </w:r>
    </w:p>
    <w:p>
      <w:pPr>
        <w:spacing w:before="20" w:after="40" w:line="288" w:lineRule="auto"/>
        <w:ind w:left="360" w:hanging="216"/>
      </w:pPr>
      <w:r>
        <w:rPr>
          <w:b/>
          <w:color w:val="2563EB"/>
        </w:rPr>
        <w:t xml:space="preserve">• </w:t>
      </w:r>
      <w:r>
        <w:rPr>
          <w:rFonts w:ascii="Arial" w:hAnsi="Arial"/>
          <w:i w:val="0"/>
          <w:color w:val="1F2937"/>
          <w:sz w:val="21"/>
        </w:rPr>
        <w:t>16.2 Mermaid Project Gantt Representation</w:t>
      </w:r>
    </w:p>
    <w:p>
      <w:pPr>
        <w:spacing w:before="20" w:after="40" w:line="288" w:lineRule="auto"/>
        <w:ind w:left="360" w:hanging="216"/>
      </w:pPr>
      <w:r>
        <w:rPr>
          <w:b/>
          <w:color w:val="2563EB"/>
        </w:rPr>
        <w:t xml:space="preserve">• </w:t>
      </w:r>
      <w:r>
        <w:rPr>
          <w:rFonts w:ascii="Arial" w:hAnsi="Arial"/>
          <w:b/>
          <w:i w:val="0"/>
          <w:color w:val="1F2937"/>
          <w:sz w:val="21"/>
        </w:rPr>
        <w:t>17. DATA DESIGN</w:t>
      </w:r>
    </w:p>
    <w:p>
      <w:pPr>
        <w:spacing w:before="20" w:after="40" w:line="288" w:lineRule="auto"/>
        <w:ind w:left="360" w:hanging="216"/>
      </w:pPr>
      <w:r>
        <w:rPr>
          <w:b/>
          <w:color w:val="2563EB"/>
        </w:rPr>
        <w:t xml:space="preserve">• </w:t>
      </w:r>
      <w:r>
        <w:rPr>
          <w:rFonts w:ascii="Arial" w:hAnsi="Arial"/>
          <w:i w:val="0"/>
          <w:color w:val="1F2937"/>
          <w:sz w:val="21"/>
        </w:rPr>
        <w:t>17.1 Raw SGCC Smart-Meter Dataset Schema</w:t>
      </w:r>
    </w:p>
    <w:p>
      <w:pPr>
        <w:spacing w:before="20" w:after="40" w:line="288" w:lineRule="auto"/>
        <w:ind w:left="360" w:hanging="216"/>
      </w:pPr>
      <w:r>
        <w:rPr>
          <w:b/>
          <w:color w:val="2563EB"/>
        </w:rPr>
        <w:t xml:space="preserve">• </w:t>
      </w:r>
      <w:r>
        <w:rPr>
          <w:rFonts w:ascii="Arial" w:hAnsi="Arial"/>
          <w:i w:val="0"/>
          <w:color w:val="1F2937"/>
          <w:sz w:val="21"/>
        </w:rPr>
        <w:t>17.2 Canonical Cleaned Ingestion Schema</w:t>
      </w:r>
    </w:p>
    <w:p>
      <w:pPr>
        <w:spacing w:before="20" w:after="40" w:line="288" w:lineRule="auto"/>
        <w:ind w:left="360" w:hanging="216"/>
      </w:pPr>
      <w:r>
        <w:rPr>
          <w:b/>
          <w:color w:val="2563EB"/>
        </w:rPr>
        <w:t xml:space="preserve">• </w:t>
      </w:r>
      <w:r>
        <w:rPr>
          <w:rFonts w:ascii="Arial" w:hAnsi="Arial"/>
          <w:i w:val="0"/>
          <w:color w:val="1F2937"/>
          <w:sz w:val="21"/>
        </w:rPr>
        <w:t>17.3 Temporal Feature Store Schema (60 Features)</w:t>
      </w:r>
    </w:p>
    <w:p>
      <w:pPr>
        <w:spacing w:before="20" w:after="40" w:line="288" w:lineRule="auto"/>
        <w:ind w:left="360" w:hanging="216"/>
      </w:pPr>
      <w:r>
        <w:rPr>
          <w:b/>
          <w:color w:val="2563EB"/>
        </w:rPr>
        <w:t xml:space="preserve">• </w:t>
      </w:r>
      <w:r>
        <w:rPr>
          <w:rFonts w:ascii="Arial" w:hAnsi="Arial"/>
          <w:i w:val="0"/>
          <w:color w:val="1F2937"/>
          <w:sz w:val="21"/>
        </w:rPr>
        <w:t>17.4 Financial Parameters &amp; Loss Matrix Schema</w:t>
      </w:r>
    </w:p>
    <w:p>
      <w:pPr>
        <w:spacing w:before="20" w:after="40" w:line="288" w:lineRule="auto"/>
        <w:ind w:left="360" w:hanging="216"/>
      </w:pPr>
      <w:r>
        <w:rPr>
          <w:b/>
          <w:color w:val="2563EB"/>
        </w:rPr>
        <w:t xml:space="preserve">• </w:t>
      </w:r>
      <w:r>
        <w:rPr>
          <w:rFonts w:ascii="Arial" w:hAnsi="Arial"/>
          <w:i w:val="0"/>
          <w:color w:val="1F2937"/>
          <w:sz w:val="21"/>
        </w:rPr>
        <w:t>17.5 Prediction &amp; Output Schemas</w:t>
      </w:r>
    </w:p>
    <w:p>
      <w:pPr>
        <w:spacing w:before="20" w:after="40" w:line="288" w:lineRule="auto"/>
        <w:ind w:left="360" w:hanging="216"/>
      </w:pPr>
      <w:r>
        <w:rPr>
          <w:b/>
          <w:color w:val="2563EB"/>
        </w:rPr>
        <w:t xml:space="preserve">• </w:t>
      </w:r>
      <w:r>
        <w:rPr>
          <w:rFonts w:ascii="Arial" w:hAnsi="Arial"/>
          <w:i w:val="0"/>
          <w:color w:val="1F2937"/>
          <w:sz w:val="21"/>
        </w:rPr>
        <w:t>17.6 Decision &amp; Prioritized Queue Schema</w:t>
      </w:r>
    </w:p>
    <w:p>
      <w:pPr>
        <w:spacing w:before="20" w:after="40" w:line="288" w:lineRule="auto"/>
        <w:ind w:left="360" w:hanging="216"/>
      </w:pPr>
      <w:r>
        <w:rPr>
          <w:b/>
          <w:color w:val="2563EB"/>
        </w:rPr>
        <w:t xml:space="preserve">• </w:t>
      </w:r>
      <w:r>
        <w:rPr>
          <w:rFonts w:ascii="Arial" w:hAnsi="Arial"/>
          <w:i w:val="0"/>
          <w:color w:val="1F2937"/>
          <w:sz w:val="21"/>
        </w:rPr>
        <w:t>17.7 Inspection Ticket Work Order Schema</w:t>
      </w:r>
    </w:p>
    <w:p>
      <w:pPr>
        <w:spacing w:before="20" w:after="40" w:line="288" w:lineRule="auto"/>
        <w:ind w:left="360" w:hanging="216"/>
      </w:pPr>
      <w:r>
        <w:rPr>
          <w:b/>
          <w:color w:val="2563EB"/>
        </w:rPr>
        <w:t xml:space="preserve">• </w:t>
      </w:r>
      <w:r>
        <w:rPr>
          <w:rFonts w:ascii="Arial" w:hAnsi="Arial"/>
          <w:b/>
          <w:i w:val="0"/>
          <w:color w:val="1F2937"/>
          <w:sz w:val="21"/>
        </w:rPr>
        <w:t>18. DATA FLOW REPRESENTATION</w:t>
      </w:r>
    </w:p>
    <w:p>
      <w:pPr>
        <w:spacing w:before="20" w:after="40" w:line="288" w:lineRule="auto"/>
        <w:ind w:left="360" w:hanging="216"/>
      </w:pPr>
      <w:r>
        <w:rPr>
          <w:b/>
          <w:color w:val="2563EB"/>
        </w:rPr>
        <w:t xml:space="preserve">• </w:t>
      </w:r>
      <w:r>
        <w:rPr>
          <w:rFonts w:ascii="Arial" w:hAnsi="Arial"/>
          <w:i w:val="0"/>
          <w:color w:val="1F2937"/>
          <w:sz w:val="21"/>
        </w:rPr>
        <w:t>18.1 Pipeline Overview &amp; Trace</w:t>
      </w:r>
    </w:p>
    <w:p>
      <w:pPr>
        <w:spacing w:before="20" w:after="40" w:line="288" w:lineRule="auto"/>
        <w:ind w:left="360" w:hanging="216"/>
      </w:pPr>
      <w:r>
        <w:rPr>
          <w:b/>
          <w:color w:val="2563EB"/>
        </w:rPr>
        <w:t xml:space="preserve">• </w:t>
      </w:r>
      <w:r>
        <w:rPr>
          <w:rFonts w:ascii="Arial" w:hAnsi="Arial"/>
          <w:i w:val="0"/>
          <w:color w:val="1F2937"/>
          <w:sz w:val="21"/>
        </w:rPr>
        <w:t>18.2 Level 0 Context Data Flow Diagram</w:t>
      </w:r>
    </w:p>
    <w:p>
      <w:pPr>
        <w:spacing w:before="20" w:after="40" w:line="288" w:lineRule="auto"/>
        <w:ind w:left="360" w:hanging="216"/>
      </w:pPr>
      <w:r>
        <w:rPr>
          <w:b/>
          <w:color w:val="2563EB"/>
        </w:rPr>
        <w:t xml:space="preserve">• </w:t>
      </w:r>
      <w:r>
        <w:rPr>
          <w:rFonts w:ascii="Arial" w:hAnsi="Arial"/>
          <w:i w:val="0"/>
          <w:color w:val="1F2937"/>
          <w:sz w:val="21"/>
        </w:rPr>
        <w:t>18.3 Level 1 Subsystem Data Flow Diagram</w:t>
      </w:r>
    </w:p>
    <w:p>
      <w:pPr>
        <w:spacing w:before="20" w:after="40" w:line="288" w:lineRule="auto"/>
        <w:ind w:left="360" w:hanging="216"/>
      </w:pPr>
      <w:r>
        <w:rPr>
          <w:b/>
          <w:color w:val="2563EB"/>
        </w:rPr>
        <w:t xml:space="preserve">• </w:t>
      </w:r>
      <w:r>
        <w:rPr>
          <w:rFonts w:ascii="Arial" w:hAnsi="Arial"/>
          <w:i w:val="0"/>
          <w:color w:val="1F2937"/>
          <w:sz w:val="21"/>
        </w:rPr>
        <w:t>18.4 Level 2 Detailed Inference &amp; Decision Data Flow Diagram</w:t>
      </w:r>
    </w:p>
    <w:p>
      <w:pPr>
        <w:spacing w:before="20" w:after="40" w:line="288" w:lineRule="auto"/>
        <w:ind w:left="360" w:hanging="216"/>
      </w:pPr>
      <w:r>
        <w:rPr>
          <w:b/>
          <w:color w:val="2563EB"/>
        </w:rPr>
        <w:t xml:space="preserve">• </w:t>
      </w:r>
      <w:r>
        <w:rPr>
          <w:rFonts w:ascii="Arial" w:hAnsi="Arial"/>
          <w:b/>
          <w:i w:val="0"/>
          <w:color w:val="1F2937"/>
          <w:sz w:val="21"/>
        </w:rPr>
        <w:t>19. UML AND DESIGN DIAGRAMS</w:t>
      </w:r>
    </w:p>
    <w:p>
      <w:pPr>
        <w:spacing w:before="20" w:after="40" w:line="288" w:lineRule="auto"/>
        <w:ind w:left="360" w:hanging="216"/>
      </w:pPr>
      <w:r>
        <w:rPr>
          <w:b/>
          <w:color w:val="2563EB"/>
        </w:rPr>
        <w:t xml:space="preserve">• </w:t>
      </w:r>
      <w:r>
        <w:rPr>
          <w:rFonts w:ascii="Arial" w:hAnsi="Arial"/>
          <w:i w:val="0"/>
          <w:color w:val="1F2937"/>
          <w:sz w:val="21"/>
        </w:rPr>
        <w:t>19.1 Use Case Diagram</w:t>
      </w:r>
    </w:p>
    <w:p>
      <w:pPr>
        <w:spacing w:before="20" w:after="40" w:line="288" w:lineRule="auto"/>
        <w:ind w:left="360" w:hanging="216"/>
      </w:pPr>
      <w:r>
        <w:rPr>
          <w:b/>
          <w:color w:val="2563EB"/>
        </w:rPr>
        <w:t xml:space="preserve">• </w:t>
      </w:r>
      <w:r>
        <w:rPr>
          <w:rFonts w:ascii="Arial" w:hAnsi="Arial"/>
          <w:i w:val="0"/>
          <w:color w:val="1F2937"/>
          <w:sz w:val="21"/>
        </w:rPr>
        <w:t>19.2 Activity Diagram (Inspection Decisioning)</w:t>
      </w:r>
    </w:p>
    <w:p>
      <w:pPr>
        <w:spacing w:before="20" w:after="40" w:line="288" w:lineRule="auto"/>
        <w:ind w:left="360" w:hanging="216"/>
      </w:pPr>
      <w:r>
        <w:rPr>
          <w:b/>
          <w:color w:val="2563EB"/>
        </w:rPr>
        <w:t xml:space="preserve">• </w:t>
      </w:r>
      <w:r>
        <w:rPr>
          <w:rFonts w:ascii="Arial" w:hAnsi="Arial"/>
          <w:i w:val="0"/>
          <w:color w:val="1F2937"/>
          <w:sz w:val="21"/>
        </w:rPr>
        <w:t>19.3 Sequence Diagram (API Inference &amp; Ticket Generation)</w:t>
      </w:r>
    </w:p>
    <w:p>
      <w:pPr>
        <w:spacing w:before="20" w:after="40" w:line="288" w:lineRule="auto"/>
        <w:ind w:left="360" w:hanging="216"/>
      </w:pPr>
      <w:r>
        <w:rPr>
          <w:b/>
          <w:color w:val="2563EB"/>
        </w:rPr>
        <w:t xml:space="preserve">• </w:t>
      </w:r>
      <w:r>
        <w:rPr>
          <w:rFonts w:ascii="Arial" w:hAnsi="Arial"/>
          <w:i w:val="0"/>
          <w:color w:val="1F2937"/>
          <w:sz w:val="21"/>
        </w:rPr>
        <w:t>19.4 Class Diagram (Domain Models &amp; Services)</w:t>
      </w:r>
    </w:p>
    <w:p>
      <w:pPr>
        <w:spacing w:before="20" w:after="40" w:line="288" w:lineRule="auto"/>
        <w:ind w:left="360" w:hanging="216"/>
      </w:pPr>
      <w:r>
        <w:rPr>
          <w:b/>
          <w:color w:val="2563EB"/>
        </w:rPr>
        <w:t xml:space="preserve">• </w:t>
      </w:r>
      <w:r>
        <w:rPr>
          <w:rFonts w:ascii="Arial" w:hAnsi="Arial"/>
          <w:i w:val="0"/>
          <w:color w:val="1F2937"/>
          <w:sz w:val="21"/>
        </w:rPr>
        <w:t>19.5 Component Diagram (Service Interfaces)</w:t>
      </w:r>
    </w:p>
    <w:p>
      <w:pPr>
        <w:spacing w:before="20" w:after="40" w:line="288" w:lineRule="auto"/>
        <w:ind w:left="360" w:hanging="216"/>
      </w:pPr>
      <w:r>
        <w:rPr>
          <w:b/>
          <w:color w:val="2563EB"/>
        </w:rPr>
        <w:t xml:space="preserve">• </w:t>
      </w:r>
      <w:r>
        <w:rPr>
          <w:rFonts w:ascii="Arial" w:hAnsi="Arial"/>
          <w:i w:val="0"/>
          <w:color w:val="1F2937"/>
          <w:sz w:val="21"/>
        </w:rPr>
        <w:t>19.6 Deployment Diagram (Docker Containers &amp; Ports)</w:t>
      </w:r>
    </w:p>
    <w:p>
      <w:pPr>
        <w:spacing w:before="20" w:after="40" w:line="288" w:lineRule="auto"/>
        <w:ind w:left="360" w:hanging="216"/>
      </w:pPr>
      <w:r>
        <w:rPr>
          <w:b/>
          <w:color w:val="2563EB"/>
        </w:rPr>
        <w:t xml:space="preserve">• </w:t>
      </w:r>
      <w:r>
        <w:rPr>
          <w:rFonts w:ascii="Arial" w:hAnsi="Arial"/>
          <w:b/>
          <w:i w:val="0"/>
          <w:color w:val="1F2937"/>
          <w:sz w:val="21"/>
        </w:rPr>
        <w:t>20. IMPLEMENTATION AND TESTING</w:t>
      </w:r>
    </w:p>
    <w:p>
      <w:pPr>
        <w:spacing w:before="20" w:after="40" w:line="288" w:lineRule="auto"/>
        <w:ind w:left="360" w:hanging="216"/>
      </w:pPr>
      <w:r>
        <w:rPr>
          <w:b/>
          <w:color w:val="2563EB"/>
        </w:rPr>
        <w:t xml:space="preserve">• </w:t>
      </w:r>
      <w:r>
        <w:rPr>
          <w:rFonts w:ascii="Arial" w:hAnsi="Arial"/>
          <w:i w:val="0"/>
          <w:color w:val="1F2937"/>
          <w:sz w:val="21"/>
        </w:rPr>
        <w:t>20.1 Environment Setup &amp; Dependency Isolation</w:t>
      </w:r>
    </w:p>
    <w:p>
      <w:pPr>
        <w:spacing w:before="20" w:after="40" w:line="288" w:lineRule="auto"/>
        <w:ind w:left="360" w:hanging="216"/>
      </w:pPr>
      <w:r>
        <w:rPr>
          <w:b/>
          <w:color w:val="2563EB"/>
        </w:rPr>
        <w:t xml:space="preserve">• </w:t>
      </w:r>
      <w:r>
        <w:rPr>
          <w:rFonts w:ascii="Arial" w:hAnsi="Arial"/>
          <w:i w:val="0"/>
          <w:color w:val="1F2937"/>
          <w:sz w:val="21"/>
        </w:rPr>
        <w:t>20.2 Ingestion &amp; Cleaning Engine Implementation</w:t>
      </w:r>
    </w:p>
    <w:p>
      <w:pPr>
        <w:spacing w:before="20" w:after="40" w:line="288" w:lineRule="auto"/>
        <w:ind w:left="360" w:hanging="216"/>
      </w:pPr>
      <w:r>
        <w:rPr>
          <w:b/>
          <w:color w:val="2563EB"/>
        </w:rPr>
        <w:t xml:space="preserve">• </w:t>
      </w:r>
      <w:r>
        <w:rPr>
          <w:rFonts w:ascii="Arial" w:hAnsi="Arial"/>
          <w:i w:val="0"/>
          <w:color w:val="1F2937"/>
          <w:sz w:val="21"/>
        </w:rPr>
        <w:t>20.3 Causal Temporal Feature Pipeline Implementation</w:t>
      </w:r>
    </w:p>
    <w:p>
      <w:pPr>
        <w:spacing w:before="20" w:after="40" w:line="288" w:lineRule="auto"/>
        <w:ind w:left="360" w:hanging="216"/>
      </w:pPr>
      <w:r>
        <w:rPr>
          <w:b/>
          <w:color w:val="2563EB"/>
        </w:rPr>
        <w:t xml:space="preserve">• </w:t>
      </w:r>
      <w:r>
        <w:rPr>
          <w:rFonts w:ascii="Arial" w:hAnsi="Arial"/>
          <w:i w:val="0"/>
          <w:color w:val="1F2937"/>
          <w:sz w:val="21"/>
        </w:rPr>
        <w:t>20.4 Baseline LightGBM Classifier Implementation</w:t>
      </w:r>
    </w:p>
    <w:p>
      <w:pPr>
        <w:spacing w:before="20" w:after="40" w:line="288" w:lineRule="auto"/>
        <w:ind w:left="360" w:hanging="216"/>
      </w:pPr>
      <w:r>
        <w:rPr>
          <w:b/>
          <w:color w:val="2563EB"/>
        </w:rPr>
        <w:t xml:space="preserve">• </w:t>
      </w:r>
      <w:r>
        <w:rPr>
          <w:rFonts w:ascii="Arial" w:hAnsi="Arial"/>
          <w:i w:val="0"/>
          <w:color w:val="1F2937"/>
          <w:sz w:val="21"/>
        </w:rPr>
        <w:t>20.5 Class Imbalance Strategy Implementation</w:t>
      </w:r>
    </w:p>
    <w:p>
      <w:pPr>
        <w:spacing w:before="20" w:after="40" w:line="288" w:lineRule="auto"/>
        <w:ind w:left="360" w:hanging="216"/>
      </w:pPr>
      <w:r>
        <w:rPr>
          <w:b/>
          <w:color w:val="2563EB"/>
        </w:rPr>
        <w:t xml:space="preserve">• </w:t>
      </w:r>
      <w:r>
        <w:rPr>
          <w:rFonts w:ascii="Arial" w:hAnsi="Arial"/>
          <w:i w:val="0"/>
          <w:color w:val="1F2937"/>
          <w:sz w:val="21"/>
        </w:rPr>
        <w:t>20.6 Cost-Sensitive Objective Implementation</w:t>
      </w:r>
    </w:p>
    <w:p>
      <w:pPr>
        <w:spacing w:before="20" w:after="40" w:line="288" w:lineRule="auto"/>
        <w:ind w:left="360" w:hanging="216"/>
      </w:pPr>
      <w:r>
        <w:rPr>
          <w:b/>
          <w:color w:val="2563EB"/>
        </w:rPr>
        <w:t xml:space="preserve">• </w:t>
      </w:r>
      <w:r>
        <w:rPr>
          <w:rFonts w:ascii="Arial" w:hAnsi="Arial"/>
          <w:i w:val="0"/>
          <w:color w:val="1F2937"/>
          <w:sz w:val="21"/>
        </w:rPr>
        <w:t>20.7 Dynamic Thresholding &amp; ENV Engine Implementation</w:t>
      </w:r>
    </w:p>
    <w:p>
      <w:pPr>
        <w:spacing w:before="20" w:after="40" w:line="288" w:lineRule="auto"/>
        <w:ind w:left="360" w:hanging="216"/>
      </w:pPr>
      <w:r>
        <w:rPr>
          <w:b/>
          <w:color w:val="2563EB"/>
        </w:rPr>
        <w:t xml:space="preserve">• </w:t>
      </w:r>
      <w:r>
        <w:rPr>
          <w:rFonts w:ascii="Arial" w:hAnsi="Arial"/>
          <w:i w:val="0"/>
          <w:color w:val="1F2937"/>
          <w:sz w:val="21"/>
        </w:rPr>
        <w:t>20.8 Tree-SHAP &amp; Narrative Generation Implementation</w:t>
      </w:r>
    </w:p>
    <w:p>
      <w:pPr>
        <w:spacing w:before="20" w:after="40" w:line="288" w:lineRule="auto"/>
        <w:ind w:left="360" w:hanging="216"/>
      </w:pPr>
      <w:r>
        <w:rPr>
          <w:b/>
          <w:color w:val="2563EB"/>
        </w:rPr>
        <w:t xml:space="preserve">• </w:t>
      </w:r>
      <w:r>
        <w:rPr>
          <w:rFonts w:ascii="Arial" w:hAnsi="Arial"/>
          <w:i w:val="0"/>
          <w:color w:val="1F2937"/>
          <w:sz w:val="21"/>
        </w:rPr>
        <w:t>20.9 FastAPI Production Backend Implementation</w:t>
      </w:r>
    </w:p>
    <w:p>
      <w:pPr>
        <w:spacing w:before="20" w:after="40" w:line="288" w:lineRule="auto"/>
        <w:ind w:left="360" w:hanging="216"/>
      </w:pPr>
      <w:r>
        <w:rPr>
          <w:b/>
          <w:color w:val="2563EB"/>
        </w:rPr>
        <w:t xml:space="preserve">• </w:t>
      </w:r>
      <w:r>
        <w:rPr>
          <w:rFonts w:ascii="Arial" w:hAnsi="Arial"/>
          <w:i w:val="0"/>
          <w:color w:val="1F2937"/>
          <w:sz w:val="21"/>
        </w:rPr>
        <w:t>20.10 Streamlit Dashboard Implementation</w:t>
      </w:r>
    </w:p>
    <w:p>
      <w:pPr>
        <w:spacing w:before="20" w:after="40" w:line="288" w:lineRule="auto"/>
        <w:ind w:left="360" w:hanging="216"/>
      </w:pPr>
      <w:r>
        <w:rPr>
          <w:b/>
          <w:color w:val="2563EB"/>
        </w:rPr>
        <w:t xml:space="preserve">• </w:t>
      </w:r>
      <w:r>
        <w:rPr>
          <w:rFonts w:ascii="Arial" w:hAnsi="Arial"/>
          <w:i w:val="0"/>
          <w:color w:val="1F2937"/>
          <w:sz w:val="21"/>
        </w:rPr>
        <w:t>20.11 Deployment Containerization Implementation</w:t>
      </w:r>
    </w:p>
    <w:p>
      <w:pPr>
        <w:spacing w:before="20" w:after="40" w:line="288" w:lineRule="auto"/>
        <w:ind w:left="360" w:hanging="216"/>
      </w:pPr>
      <w:r>
        <w:rPr>
          <w:b/>
          <w:color w:val="2563EB"/>
        </w:rPr>
        <w:t xml:space="preserve">• </w:t>
      </w:r>
      <w:r>
        <w:rPr>
          <w:rFonts w:ascii="Arial" w:hAnsi="Arial"/>
          <w:b/>
          <w:i w:val="0"/>
          <w:color w:val="1F2937"/>
          <w:sz w:val="21"/>
        </w:rPr>
        <w:t>21. CODE</w:t>
      </w:r>
    </w:p>
    <w:p>
      <w:pPr>
        <w:spacing w:before="20" w:after="40" w:line="288" w:lineRule="auto"/>
        <w:ind w:left="360" w:hanging="216"/>
      </w:pPr>
      <w:r>
        <w:rPr>
          <w:b/>
          <w:color w:val="2563EB"/>
        </w:rPr>
        <w:t xml:space="preserve">• </w:t>
      </w:r>
      <w:r>
        <w:rPr>
          <w:rFonts w:ascii="Arial" w:hAnsi="Arial"/>
          <w:i w:val="0"/>
          <w:color w:val="1F2937"/>
          <w:sz w:val="21"/>
        </w:rPr>
        <w:t>21.1 Selected Substantive Code Excerpts (15 Core Architectural Modules)</w:t>
      </w:r>
    </w:p>
    <w:p>
      <w:pPr>
        <w:spacing w:before="20" w:after="40" w:line="288" w:lineRule="auto"/>
        <w:ind w:left="360" w:hanging="216"/>
      </w:pPr>
      <w:r>
        <w:rPr>
          <w:b/>
          <w:color w:val="2563EB"/>
        </w:rPr>
        <w:t xml:space="preserve">• </w:t>
      </w:r>
      <w:r>
        <w:rPr>
          <w:rFonts w:ascii="Arial" w:hAnsi="Arial"/>
          <w:b/>
          <w:i w:val="0"/>
          <w:color w:val="1F2937"/>
          <w:sz w:val="21"/>
        </w:rPr>
        <w:t>22. TESTING APPROACH</w:t>
      </w:r>
    </w:p>
    <w:p>
      <w:pPr>
        <w:spacing w:before="20" w:after="40" w:line="288" w:lineRule="auto"/>
        <w:ind w:left="360" w:hanging="216"/>
      </w:pPr>
      <w:r>
        <w:rPr>
          <w:b/>
          <w:color w:val="2563EB"/>
        </w:rPr>
        <w:t xml:space="preserve">• </w:t>
      </w:r>
      <w:r>
        <w:rPr>
          <w:rFonts w:ascii="Arial" w:hAnsi="Arial"/>
          <w:i w:val="0"/>
          <w:color w:val="1F2937"/>
          <w:sz w:val="21"/>
        </w:rPr>
        <w:t>22.1 Testing Philosophy &amp; Quality Assurance</w:t>
      </w:r>
    </w:p>
    <w:p>
      <w:pPr>
        <w:spacing w:before="20" w:after="40" w:line="288" w:lineRule="auto"/>
        <w:ind w:left="360" w:hanging="216"/>
      </w:pPr>
      <w:r>
        <w:rPr>
          <w:b/>
          <w:color w:val="2563EB"/>
        </w:rPr>
        <w:t xml:space="preserve">• </w:t>
      </w:r>
      <w:r>
        <w:rPr>
          <w:rFonts w:ascii="Arial" w:hAnsi="Arial"/>
          <w:i w:val="0"/>
          <w:color w:val="1F2937"/>
          <w:sz w:val="21"/>
        </w:rPr>
        <w:t>22.2 Unit Testing Suite</w:t>
      </w:r>
    </w:p>
    <w:p>
      <w:pPr>
        <w:spacing w:before="20" w:after="40" w:line="288" w:lineRule="auto"/>
        <w:ind w:left="360" w:hanging="216"/>
      </w:pPr>
      <w:r>
        <w:rPr>
          <w:b/>
          <w:color w:val="2563EB"/>
        </w:rPr>
        <w:t xml:space="preserve">• </w:t>
      </w:r>
      <w:r>
        <w:rPr>
          <w:rFonts w:ascii="Arial" w:hAnsi="Arial"/>
          <w:i w:val="0"/>
          <w:color w:val="1F2937"/>
          <w:sz w:val="21"/>
        </w:rPr>
        <w:t>22.3 Integration Testing Suite</w:t>
      </w:r>
    </w:p>
    <w:p>
      <w:pPr>
        <w:spacing w:before="20" w:after="40" w:line="288" w:lineRule="auto"/>
        <w:ind w:left="360" w:hanging="216"/>
      </w:pPr>
      <w:r>
        <w:rPr>
          <w:b/>
          <w:color w:val="2563EB"/>
        </w:rPr>
        <w:t xml:space="preserve">• </w:t>
      </w:r>
      <w:r>
        <w:rPr>
          <w:rFonts w:ascii="Arial" w:hAnsi="Arial"/>
          <w:i w:val="0"/>
          <w:color w:val="1F2937"/>
          <w:sz w:val="21"/>
        </w:rPr>
        <w:t>22.4 End-to-End Integration &amp; Mathematical Verification Tests</w:t>
      </w:r>
    </w:p>
    <w:p>
      <w:pPr>
        <w:spacing w:before="20" w:after="40" w:line="288" w:lineRule="auto"/>
        <w:ind w:left="360" w:hanging="216"/>
      </w:pPr>
      <w:r>
        <w:rPr>
          <w:b/>
          <w:color w:val="2563EB"/>
        </w:rPr>
        <w:t xml:space="preserve">• </w:t>
      </w:r>
      <w:r>
        <w:rPr>
          <w:rFonts w:ascii="Arial" w:hAnsi="Arial"/>
          <w:i w:val="0"/>
          <w:color w:val="1F2937"/>
          <w:sz w:val="21"/>
        </w:rPr>
        <w:t>22.5 Code Quality, Typing &amp; Static Analysis</w:t>
      </w:r>
    </w:p>
    <w:p>
      <w:pPr>
        <w:spacing w:before="20" w:after="40" w:line="288" w:lineRule="auto"/>
        <w:ind w:left="360" w:hanging="216"/>
      </w:pPr>
      <w:r>
        <w:rPr>
          <w:b/>
          <w:color w:val="2563EB"/>
        </w:rPr>
        <w:t xml:space="preserve">• </w:t>
      </w:r>
      <w:r>
        <w:rPr>
          <w:rFonts w:ascii="Arial" w:hAnsi="Arial"/>
          <w:b/>
          <w:i w:val="0"/>
          <w:color w:val="1F2937"/>
          <w:sz w:val="21"/>
        </w:rPr>
        <w:t>23. RESULTS AND DISCUSSIONS</w:t>
      </w:r>
    </w:p>
    <w:p>
      <w:pPr>
        <w:spacing w:before="20" w:after="40" w:line="288" w:lineRule="auto"/>
        <w:ind w:left="360" w:hanging="216"/>
      </w:pPr>
      <w:r>
        <w:rPr>
          <w:b/>
          <w:color w:val="2563EB"/>
        </w:rPr>
        <w:t xml:space="preserve">• </w:t>
      </w:r>
      <w:r>
        <w:rPr>
          <w:rFonts w:ascii="Arial" w:hAnsi="Arial"/>
          <w:i w:val="0"/>
          <w:color w:val="1F2937"/>
          <w:sz w:val="21"/>
        </w:rPr>
        <w:t>23.1 Dataset Profiling &amp; Anomaly Distribution</w:t>
      </w:r>
    </w:p>
    <w:p>
      <w:pPr>
        <w:spacing w:before="20" w:after="40" w:line="288" w:lineRule="auto"/>
        <w:ind w:left="360" w:hanging="216"/>
      </w:pPr>
      <w:r>
        <w:rPr>
          <w:b/>
          <w:color w:val="2563EB"/>
        </w:rPr>
        <w:t xml:space="preserve">• </w:t>
      </w:r>
      <w:r>
        <w:rPr>
          <w:rFonts w:ascii="Arial" w:hAnsi="Arial"/>
          <w:i w:val="0"/>
          <w:color w:val="1F2937"/>
          <w:sz w:val="21"/>
        </w:rPr>
        <w:t>23.2 Phase 4 Baseline Model Results</w:t>
      </w:r>
    </w:p>
    <w:p>
      <w:pPr>
        <w:spacing w:before="20" w:after="40" w:line="288" w:lineRule="auto"/>
        <w:ind w:left="360" w:hanging="216"/>
      </w:pPr>
      <w:r>
        <w:rPr>
          <w:b/>
          <w:color w:val="2563EB"/>
        </w:rPr>
        <w:t xml:space="preserve">• </w:t>
      </w:r>
      <w:r>
        <w:rPr>
          <w:rFonts w:ascii="Arial" w:hAnsi="Arial"/>
          <w:i w:val="0"/>
          <w:color w:val="1F2937"/>
          <w:sz w:val="21"/>
        </w:rPr>
        <w:t>23.3 Phase 5 Imbalance-Aware Model Results</w:t>
      </w:r>
    </w:p>
    <w:p>
      <w:pPr>
        <w:spacing w:before="20" w:after="40" w:line="288" w:lineRule="auto"/>
        <w:ind w:left="360" w:hanging="216"/>
      </w:pPr>
      <w:r>
        <w:rPr>
          <w:b/>
          <w:color w:val="2563EB"/>
        </w:rPr>
        <w:t xml:space="preserve">• </w:t>
      </w:r>
      <w:r>
        <w:rPr>
          <w:rFonts w:ascii="Arial" w:hAnsi="Arial"/>
          <w:i w:val="0"/>
          <w:color w:val="1F2937"/>
          <w:sz w:val="21"/>
        </w:rPr>
        <w:t>23.4 Phase 6 Cost-Sensitive Model Results (Champion)</w:t>
      </w:r>
    </w:p>
    <w:p>
      <w:pPr>
        <w:spacing w:before="20" w:after="40" w:line="288" w:lineRule="auto"/>
        <w:ind w:left="360" w:hanging="216"/>
      </w:pPr>
      <w:r>
        <w:rPr>
          <w:b/>
          <w:color w:val="2563EB"/>
        </w:rPr>
        <w:t xml:space="preserve">• </w:t>
      </w:r>
      <w:r>
        <w:rPr>
          <w:rFonts w:ascii="Arial" w:hAnsi="Arial"/>
          <w:i w:val="0"/>
          <w:color w:val="1F2937"/>
          <w:sz w:val="21"/>
        </w:rPr>
        <w:t>23.5 Phase 7 Decision Engine Policy Benchmarks</w:t>
      </w:r>
    </w:p>
    <w:p>
      <w:pPr>
        <w:spacing w:before="20" w:after="40" w:line="288" w:lineRule="auto"/>
        <w:ind w:left="360" w:hanging="216"/>
      </w:pPr>
      <w:r>
        <w:rPr>
          <w:b/>
          <w:color w:val="2563EB"/>
        </w:rPr>
        <w:t xml:space="preserve">• </w:t>
      </w:r>
      <w:r>
        <w:rPr>
          <w:rFonts w:ascii="Arial" w:hAnsi="Arial"/>
          <w:i w:val="0"/>
          <w:color w:val="1F2937"/>
          <w:sz w:val="21"/>
        </w:rPr>
        <w:t>23.6 Phase 8 Tree-SHAP &amp; Signature Detection Insights</w:t>
      </w:r>
    </w:p>
    <w:p>
      <w:pPr>
        <w:spacing w:before="20" w:after="40" w:line="288" w:lineRule="auto"/>
        <w:ind w:left="360" w:hanging="216"/>
      </w:pPr>
      <w:r>
        <w:rPr>
          <w:b/>
          <w:color w:val="2563EB"/>
        </w:rPr>
        <w:t xml:space="preserve">• </w:t>
      </w:r>
      <w:r>
        <w:rPr>
          <w:rFonts w:ascii="Arial" w:hAnsi="Arial"/>
          <w:i w:val="0"/>
          <w:color w:val="1F2937"/>
          <w:sz w:val="21"/>
        </w:rPr>
        <w:t>23.7 Phase 9 API Latency &amp; Throughput Benchmarks</w:t>
      </w:r>
    </w:p>
    <w:p>
      <w:pPr>
        <w:spacing w:before="20" w:after="40" w:line="288" w:lineRule="auto"/>
        <w:ind w:left="360" w:hanging="216"/>
      </w:pPr>
      <w:r>
        <w:rPr>
          <w:b/>
          <w:color w:val="2563EB"/>
        </w:rPr>
        <w:t xml:space="preserve">• </w:t>
      </w:r>
      <w:r>
        <w:rPr>
          <w:rFonts w:ascii="Arial" w:hAnsi="Arial"/>
          <w:i w:val="0"/>
          <w:color w:val="1F2937"/>
          <w:sz w:val="21"/>
        </w:rPr>
        <w:t>23.8 Phase 10 Dashboard Demonstration Validation</w:t>
      </w:r>
    </w:p>
    <w:p>
      <w:pPr>
        <w:spacing w:before="20" w:after="40" w:line="288" w:lineRule="auto"/>
        <w:ind w:left="360" w:hanging="216"/>
      </w:pPr>
      <w:r>
        <w:rPr>
          <w:b/>
          <w:color w:val="2563EB"/>
        </w:rPr>
        <w:t xml:space="preserve">• </w:t>
      </w:r>
      <w:r>
        <w:rPr>
          <w:rFonts w:ascii="Arial" w:hAnsi="Arial"/>
          <w:b/>
          <w:i w:val="0"/>
          <w:color w:val="1F2937"/>
          <w:sz w:val="21"/>
        </w:rPr>
        <w:t>24. FUNCTIONALITY EVALUATION</w:t>
      </w:r>
    </w:p>
    <w:p>
      <w:pPr>
        <w:spacing w:before="20" w:after="40" w:line="288" w:lineRule="auto"/>
        <w:ind w:left="360" w:hanging="216"/>
      </w:pPr>
      <w:r>
        <w:rPr>
          <w:b/>
          <w:color w:val="2563EB"/>
        </w:rPr>
        <w:t xml:space="preserve">• </w:t>
      </w:r>
      <w:r>
        <w:rPr>
          <w:rFonts w:ascii="Arial" w:hAnsi="Arial"/>
          <w:i w:val="0"/>
          <w:color w:val="1F2937"/>
          <w:sz w:val="21"/>
        </w:rPr>
        <w:t>24.1 Comprehensive Verification Matrix Across All Functional Capabilities</w:t>
      </w:r>
    </w:p>
    <w:p>
      <w:pPr>
        <w:spacing w:before="20" w:after="40" w:line="288" w:lineRule="auto"/>
        <w:ind w:left="360" w:hanging="216"/>
      </w:pPr>
      <w:r>
        <w:rPr>
          <w:b/>
          <w:color w:val="2563EB"/>
        </w:rPr>
        <w:t xml:space="preserve">• </w:t>
      </w:r>
      <w:r>
        <w:rPr>
          <w:rFonts w:ascii="Arial" w:hAnsi="Arial"/>
          <w:b/>
          <w:i w:val="0"/>
          <w:color w:val="1F2937"/>
          <w:sz w:val="21"/>
        </w:rPr>
        <w:t>25. DISCUSSION OF RESULTS</w:t>
      </w:r>
    </w:p>
    <w:p>
      <w:pPr>
        <w:spacing w:before="20" w:after="40" w:line="288" w:lineRule="auto"/>
        <w:ind w:left="360" w:hanging="216"/>
      </w:pPr>
      <w:r>
        <w:rPr>
          <w:b/>
          <w:color w:val="2563EB"/>
        </w:rPr>
        <w:t xml:space="preserve">• </w:t>
      </w:r>
      <w:r>
        <w:rPr>
          <w:rFonts w:ascii="Arial" w:hAnsi="Arial"/>
          <w:i w:val="0"/>
          <w:color w:val="1F2937"/>
          <w:sz w:val="21"/>
        </w:rPr>
        <w:t>25.1 Statistical vs. Financial Metric Divergence</w:t>
      </w:r>
    </w:p>
    <w:p>
      <w:pPr>
        <w:spacing w:before="20" w:after="40" w:line="288" w:lineRule="auto"/>
        <w:ind w:left="360" w:hanging="216"/>
      </w:pPr>
      <w:r>
        <w:rPr>
          <w:b/>
          <w:color w:val="2563EB"/>
        </w:rPr>
        <w:t xml:space="preserve">• </w:t>
      </w:r>
      <w:r>
        <w:rPr>
          <w:rFonts w:ascii="Arial" w:hAnsi="Arial"/>
          <w:i w:val="0"/>
          <w:color w:val="1F2937"/>
          <w:sz w:val="21"/>
        </w:rPr>
        <w:t>25.2 The Dynamics of Cost-Sensitive Sample Weighting</w:t>
      </w:r>
    </w:p>
    <w:p>
      <w:pPr>
        <w:spacing w:before="20" w:after="40" w:line="288" w:lineRule="auto"/>
        <w:ind w:left="360" w:hanging="216"/>
      </w:pPr>
      <w:r>
        <w:rPr>
          <w:b/>
          <w:color w:val="2563EB"/>
        </w:rPr>
        <w:t xml:space="preserve">• </w:t>
      </w:r>
      <w:r>
        <w:rPr>
          <w:rFonts w:ascii="Arial" w:hAnsi="Arial"/>
          <w:i w:val="0"/>
          <w:color w:val="1F2937"/>
          <w:sz w:val="21"/>
        </w:rPr>
        <w:t>25.3 Economic Superiority of the ENV Policy</w:t>
      </w:r>
    </w:p>
    <w:p>
      <w:pPr>
        <w:spacing w:before="20" w:after="40" w:line="288" w:lineRule="auto"/>
        <w:ind w:left="360" w:hanging="216"/>
      </w:pPr>
      <w:r>
        <w:rPr>
          <w:b/>
          <w:color w:val="2563EB"/>
        </w:rPr>
        <w:t xml:space="preserve">• </w:t>
      </w:r>
      <w:r>
        <w:rPr>
          <w:rFonts w:ascii="Arial" w:hAnsi="Arial"/>
          <w:i w:val="0"/>
          <w:color w:val="1F2937"/>
          <w:sz w:val="21"/>
        </w:rPr>
        <w:t>25.4 Behavioral Signatures vs. Black-Box Probabilities</w:t>
      </w:r>
    </w:p>
    <w:p>
      <w:pPr>
        <w:spacing w:before="20" w:after="40" w:line="288" w:lineRule="auto"/>
        <w:ind w:left="360" w:hanging="216"/>
      </w:pPr>
      <w:r>
        <w:rPr>
          <w:b/>
          <w:color w:val="2563EB"/>
        </w:rPr>
        <w:t xml:space="preserve">• </w:t>
      </w:r>
      <w:r>
        <w:rPr>
          <w:rFonts w:ascii="Arial" w:hAnsi="Arial"/>
          <w:i w:val="0"/>
          <w:color w:val="1F2937"/>
          <w:sz w:val="21"/>
        </w:rPr>
        <w:t>25.5 The Lifeline Meter Anomaly: Why High Probability Does Not Imply Dispatch</w:t>
      </w:r>
    </w:p>
    <w:p>
      <w:pPr>
        <w:spacing w:before="20" w:after="40" w:line="288" w:lineRule="auto"/>
        <w:ind w:left="360" w:hanging="216"/>
      </w:pPr>
      <w:r>
        <w:rPr>
          <w:b/>
          <w:color w:val="2563EB"/>
        </w:rPr>
        <w:t xml:space="preserve">• </w:t>
      </w:r>
      <w:r>
        <w:rPr>
          <w:rFonts w:ascii="Arial" w:hAnsi="Arial"/>
          <w:b/>
          <w:i w:val="0"/>
          <w:color w:val="1F2937"/>
          <w:sz w:val="21"/>
        </w:rPr>
        <w:t>26. USER EXPERIENCE ASSESMENT</w:t>
      </w:r>
    </w:p>
    <w:p>
      <w:pPr>
        <w:spacing w:before="20" w:after="40" w:line="288" w:lineRule="auto"/>
        <w:ind w:left="360" w:hanging="216"/>
      </w:pPr>
      <w:r>
        <w:rPr>
          <w:b/>
          <w:color w:val="2563EB"/>
        </w:rPr>
        <w:t xml:space="preserve">• </w:t>
      </w:r>
      <w:r>
        <w:rPr>
          <w:rFonts w:ascii="Arial" w:hAnsi="Arial"/>
          <w:i w:val="0"/>
          <w:color w:val="1F2937"/>
          <w:sz w:val="21"/>
        </w:rPr>
        <w:t>26.1 Usability of the Operational Dashboard</w:t>
      </w:r>
    </w:p>
    <w:p>
      <w:pPr>
        <w:spacing w:before="20" w:after="40" w:line="288" w:lineRule="auto"/>
        <w:ind w:left="360" w:hanging="216"/>
      </w:pPr>
      <w:r>
        <w:rPr>
          <w:b/>
          <w:color w:val="2563EB"/>
        </w:rPr>
        <w:t xml:space="preserve">• </w:t>
      </w:r>
      <w:r>
        <w:rPr>
          <w:rFonts w:ascii="Arial" w:hAnsi="Arial"/>
          <w:i w:val="0"/>
          <w:color w:val="1F2937"/>
          <w:sz w:val="21"/>
        </w:rPr>
        <w:t>26.2 Visual Hierarchy &amp; Chart Ergonomics</w:t>
      </w:r>
    </w:p>
    <w:p>
      <w:pPr>
        <w:spacing w:before="20" w:after="40" w:line="288" w:lineRule="auto"/>
        <w:ind w:left="360" w:hanging="216"/>
      </w:pPr>
      <w:r>
        <w:rPr>
          <w:b/>
          <w:color w:val="2563EB"/>
        </w:rPr>
        <w:t xml:space="preserve">• </w:t>
      </w:r>
      <w:r>
        <w:rPr>
          <w:rFonts w:ascii="Arial" w:hAnsi="Arial"/>
          <w:i w:val="0"/>
          <w:color w:val="1F2937"/>
          <w:sz w:val="21"/>
        </w:rPr>
        <w:t>26.3 Explainability &amp; Trust Perception in Field Operations</w:t>
      </w:r>
    </w:p>
    <w:p>
      <w:pPr>
        <w:spacing w:before="20" w:after="40" w:line="288" w:lineRule="auto"/>
        <w:ind w:left="360" w:hanging="216"/>
      </w:pPr>
      <w:r>
        <w:rPr>
          <w:b/>
          <w:color w:val="2563EB"/>
        </w:rPr>
        <w:t xml:space="preserve">• </w:t>
      </w:r>
      <w:r>
        <w:rPr>
          <w:rFonts w:ascii="Arial" w:hAnsi="Arial"/>
          <w:i w:val="0"/>
          <w:color w:val="1F2937"/>
          <w:sz w:val="21"/>
        </w:rPr>
        <w:t>26.4 Developer &amp; Operator Experience (API, Docs, Docker)</w:t>
      </w:r>
    </w:p>
    <w:p>
      <w:pPr>
        <w:spacing w:before="20" w:after="40" w:line="288" w:lineRule="auto"/>
        <w:ind w:left="360" w:hanging="216"/>
      </w:pPr>
      <w:r>
        <w:rPr>
          <w:b/>
          <w:color w:val="2563EB"/>
        </w:rPr>
        <w:t xml:space="preserve">• </w:t>
      </w:r>
      <w:r>
        <w:rPr>
          <w:rFonts w:ascii="Arial" w:hAnsi="Arial"/>
          <w:b/>
          <w:i w:val="0"/>
          <w:color w:val="1F2937"/>
          <w:sz w:val="21"/>
        </w:rPr>
        <w:t>27. CONCLUSION AND FUTURE WORK</w:t>
      </w:r>
    </w:p>
    <w:p>
      <w:pPr>
        <w:spacing w:before="20" w:after="40" w:line="288" w:lineRule="auto"/>
        <w:ind w:left="360" w:hanging="216"/>
      </w:pPr>
      <w:r>
        <w:rPr>
          <w:b/>
          <w:color w:val="2563EB"/>
        </w:rPr>
        <w:t xml:space="preserve">• </w:t>
      </w:r>
      <w:r>
        <w:rPr>
          <w:rFonts w:ascii="Arial" w:hAnsi="Arial"/>
          <w:i w:val="0"/>
          <w:color w:val="1F2937"/>
          <w:sz w:val="21"/>
        </w:rPr>
        <w:t>27.1 Technical &amp; Operational Summary</w:t>
      </w:r>
    </w:p>
    <w:p>
      <w:pPr>
        <w:spacing w:before="20" w:after="40" w:line="288" w:lineRule="auto"/>
        <w:ind w:left="360" w:hanging="216"/>
      </w:pPr>
      <w:r>
        <w:rPr>
          <w:b/>
          <w:color w:val="2563EB"/>
        </w:rPr>
        <w:t xml:space="preserve">• </w:t>
      </w:r>
      <w:r>
        <w:rPr>
          <w:rFonts w:ascii="Arial" w:hAnsi="Arial"/>
          <w:i w:val="0"/>
          <w:color w:val="1F2937"/>
          <w:sz w:val="21"/>
        </w:rPr>
        <w:t>27.2 Transition to Operational Realities</w:t>
      </w:r>
    </w:p>
    <w:p>
      <w:pPr>
        <w:spacing w:before="20" w:after="40" w:line="288" w:lineRule="auto"/>
        <w:ind w:left="360" w:hanging="216"/>
      </w:pPr>
      <w:r>
        <w:rPr>
          <w:b/>
          <w:color w:val="2563EB"/>
        </w:rPr>
        <w:t xml:space="preserve">• </w:t>
      </w:r>
      <w:r>
        <w:rPr>
          <w:rFonts w:ascii="Arial" w:hAnsi="Arial"/>
          <w:b/>
          <w:i w:val="0"/>
          <w:color w:val="1F2937"/>
          <w:sz w:val="21"/>
        </w:rPr>
        <w:t>28. CONCLUSION</w:t>
      </w:r>
    </w:p>
    <w:p>
      <w:pPr>
        <w:spacing w:before="20" w:after="40" w:line="288" w:lineRule="auto"/>
        <w:ind w:left="360" w:hanging="216"/>
      </w:pPr>
      <w:r>
        <w:rPr>
          <w:b/>
          <w:color w:val="2563EB"/>
        </w:rPr>
        <w:t xml:space="preserve">• </w:t>
      </w:r>
      <w:r>
        <w:rPr>
          <w:rFonts w:ascii="Arial" w:hAnsi="Arial"/>
          <w:i w:val="0"/>
          <w:color w:val="1F2937"/>
          <w:sz w:val="21"/>
        </w:rPr>
        <w:t>28.1 Formal Final Synthesis</w:t>
      </w:r>
    </w:p>
    <w:p>
      <w:pPr>
        <w:spacing w:before="20" w:after="40" w:line="288" w:lineRule="auto"/>
        <w:ind w:left="360" w:hanging="216"/>
      </w:pPr>
      <w:r>
        <w:rPr>
          <w:b/>
          <w:color w:val="2563EB"/>
        </w:rPr>
        <w:t xml:space="preserve">• </w:t>
      </w:r>
      <w:r>
        <w:rPr>
          <w:rFonts w:ascii="Arial" w:hAnsi="Arial"/>
          <w:b/>
          <w:i w:val="0"/>
          <w:color w:val="1F2937"/>
          <w:sz w:val="21"/>
        </w:rPr>
        <w:t>29. FUTURE SCOPE</w:t>
      </w:r>
    </w:p>
    <w:p>
      <w:pPr>
        <w:spacing w:before="20" w:after="40" w:line="288" w:lineRule="auto"/>
        <w:ind w:left="360" w:hanging="216"/>
      </w:pPr>
      <w:r>
        <w:rPr>
          <w:b/>
          <w:color w:val="2563EB"/>
        </w:rPr>
        <w:t xml:space="preserve">• </w:t>
      </w:r>
      <w:r>
        <w:rPr>
          <w:rFonts w:ascii="Arial" w:hAnsi="Arial"/>
          <w:i w:val="0"/>
          <w:color w:val="1F2937"/>
          <w:sz w:val="21"/>
        </w:rPr>
        <w:t>29.1 High-Frequency (15-min) SCADA / AMI Ingestion</w:t>
      </w:r>
    </w:p>
    <w:p>
      <w:pPr>
        <w:spacing w:before="20" w:after="40" w:line="288" w:lineRule="auto"/>
        <w:ind w:left="360" w:hanging="216"/>
      </w:pPr>
      <w:r>
        <w:rPr>
          <w:b/>
          <w:color w:val="2563EB"/>
        </w:rPr>
        <w:t xml:space="preserve">• </w:t>
      </w:r>
      <w:r>
        <w:rPr>
          <w:rFonts w:ascii="Arial" w:hAnsi="Arial"/>
          <w:i w:val="0"/>
          <w:color w:val="1F2937"/>
          <w:sz w:val="21"/>
        </w:rPr>
        <w:t>29.2 Substation Feeder Mass-Energy Balancing</w:t>
      </w:r>
    </w:p>
    <w:p>
      <w:pPr>
        <w:spacing w:before="20" w:after="40" w:line="288" w:lineRule="auto"/>
        <w:ind w:left="360" w:hanging="216"/>
      </w:pPr>
      <w:r>
        <w:rPr>
          <w:b/>
          <w:color w:val="2563EB"/>
        </w:rPr>
        <w:t xml:space="preserve">• </w:t>
      </w:r>
      <w:r>
        <w:rPr>
          <w:rFonts w:ascii="Arial" w:hAnsi="Arial"/>
          <w:i w:val="0"/>
          <w:color w:val="1F2937"/>
          <w:sz w:val="21"/>
        </w:rPr>
        <w:t>29.3 Geospatial GIS Routing &amp; Dynamic Dispatch Optimization</w:t>
      </w:r>
    </w:p>
    <w:p>
      <w:pPr>
        <w:spacing w:before="20" w:after="40" w:line="288" w:lineRule="auto"/>
        <w:ind w:left="360" w:hanging="216"/>
      </w:pPr>
      <w:r>
        <w:rPr>
          <w:b/>
          <w:color w:val="2563EB"/>
        </w:rPr>
        <w:t xml:space="preserve">• </w:t>
      </w:r>
      <w:r>
        <w:rPr>
          <w:rFonts w:ascii="Arial" w:hAnsi="Arial"/>
          <w:i w:val="0"/>
          <w:color w:val="1F2937"/>
          <w:sz w:val="21"/>
        </w:rPr>
        <w:t>29.4 Active Learning &amp; Field Verification Feedback Loops</w:t>
      </w:r>
    </w:p>
    <w:p>
      <w:pPr>
        <w:spacing w:before="20" w:after="40" w:line="288" w:lineRule="auto"/>
        <w:ind w:left="360" w:hanging="216"/>
      </w:pPr>
      <w:r>
        <w:rPr>
          <w:b/>
          <w:color w:val="2563EB"/>
        </w:rPr>
        <w:t xml:space="preserve">• </w:t>
      </w:r>
      <w:r>
        <w:rPr>
          <w:rFonts w:ascii="Arial" w:hAnsi="Arial"/>
          <w:b/>
          <w:i w:val="0"/>
          <w:color w:val="1F2937"/>
          <w:sz w:val="21"/>
        </w:rPr>
        <w:t>30. LIMITATIONS</w:t>
      </w:r>
    </w:p>
    <w:p>
      <w:pPr>
        <w:spacing w:before="20" w:after="40" w:line="288" w:lineRule="auto"/>
        <w:ind w:left="360" w:hanging="216"/>
      </w:pPr>
      <w:r>
        <w:rPr>
          <w:b/>
          <w:color w:val="2563EB"/>
        </w:rPr>
        <w:t xml:space="preserve">• </w:t>
      </w:r>
      <w:r>
        <w:rPr>
          <w:rFonts w:ascii="Arial" w:hAnsi="Arial"/>
          <w:i w:val="0"/>
          <w:color w:val="1F2937"/>
          <w:sz w:val="21"/>
        </w:rPr>
        <w:t>30.1 Historical Daily Aggregation Limitations</w:t>
      </w:r>
    </w:p>
    <w:p>
      <w:pPr>
        <w:spacing w:before="20" w:after="40" w:line="288" w:lineRule="auto"/>
        <w:ind w:left="360" w:hanging="216"/>
      </w:pPr>
      <w:r>
        <w:rPr>
          <w:b/>
          <w:color w:val="2563EB"/>
        </w:rPr>
        <w:t xml:space="preserve">• </w:t>
      </w:r>
      <w:r>
        <w:rPr>
          <w:rFonts w:ascii="Arial" w:hAnsi="Arial"/>
          <w:i w:val="0"/>
          <w:color w:val="1F2937"/>
          <w:sz w:val="21"/>
        </w:rPr>
        <w:t>30.2 Ground-Truth Label Noise &amp; Imperfect Reporting</w:t>
      </w:r>
    </w:p>
    <w:p>
      <w:pPr>
        <w:spacing w:before="20" w:after="40" w:line="288" w:lineRule="auto"/>
        <w:ind w:left="360" w:hanging="216"/>
      </w:pPr>
      <w:r>
        <w:rPr>
          <w:b/>
          <w:color w:val="2563EB"/>
        </w:rPr>
        <w:t xml:space="preserve">• </w:t>
      </w:r>
      <w:r>
        <w:rPr>
          <w:rFonts w:ascii="Arial" w:hAnsi="Arial"/>
          <w:i w:val="0"/>
          <w:color w:val="1F2937"/>
          <w:sz w:val="21"/>
        </w:rPr>
        <w:t>30.3 Financial Model Assumptions</w:t>
      </w:r>
    </w:p>
    <w:p>
      <w:pPr>
        <w:spacing w:before="20" w:after="40" w:line="288" w:lineRule="auto"/>
        <w:ind w:left="360" w:hanging="216"/>
      </w:pPr>
      <w:r>
        <w:rPr>
          <w:b/>
          <w:color w:val="2563EB"/>
        </w:rPr>
        <w:t xml:space="preserve">• </w:t>
      </w:r>
      <w:r>
        <w:rPr>
          <w:rFonts w:ascii="Arial" w:hAnsi="Arial"/>
          <w:i w:val="0"/>
          <w:color w:val="1F2937"/>
          <w:sz w:val="21"/>
        </w:rPr>
        <w:t>30.4 Lack of Physical Meter Telemetry</w:t>
      </w:r>
    </w:p>
    <w:p>
      <w:pPr>
        <w:spacing w:before="20" w:after="40" w:line="288" w:lineRule="auto"/>
        <w:ind w:left="360" w:hanging="216"/>
      </w:pPr>
      <w:r>
        <w:rPr>
          <w:b/>
          <w:color w:val="2563EB"/>
        </w:rPr>
        <w:t xml:space="preserve">• </w:t>
      </w:r>
      <w:r>
        <w:rPr>
          <w:rFonts w:ascii="Arial" w:hAnsi="Arial"/>
          <w:b/>
          <w:i w:val="0"/>
          <w:color w:val="1F2937"/>
          <w:sz w:val="21"/>
        </w:rPr>
        <w:t>31. REFERENCES</w:t>
      </w:r>
    </w:p>
    <w:p>
      <w:pPr>
        <w:spacing w:before="80" w:after="160"/>
      </w:pPr>
      <w:r>
        <w:rPr>
          <w:color w:val="E5E7EB"/>
          <w:sz w:val="16"/>
        </w:rPr>
        <w:t>_________________________________________________________________________________</w:t>
      </w:r>
    </w:p>
    <w:p>
      <w:r>
        <w:br w:type="page"/>
      </w:r>
    </w:p>
    <w:p>
      <w:pPr>
        <w:pStyle w:val="Heading1"/>
      </w:pPr>
      <w:r>
        <w:t>1. INTRODUCTION</w:t>
      </w:r>
    </w:p>
    <w:p>
      <w:pPr>
        <w:pStyle w:val="Heading2"/>
      </w:pPr>
      <w:r>
        <w:t>1.1 Electric Power Distribution Networks and Non-Technical Losses</w:t>
      </w:r>
    </w:p>
    <w:p>
      <w:pPr/>
      <w:r>
        <w:rPr>
          <w:rFonts w:ascii="Arial" w:hAnsi="Arial"/>
          <w:i w:val="0"/>
          <w:color w:val="1F2937"/>
          <w:sz w:val="21"/>
        </w:rPr>
        <w:t>Electric power distribution networks represent the final, mission-critical stage of the electrical delivery system, stepping down medium-voltage transmission power to low-voltage service (typically 120V to 400V) delivered directly to residential, commercial, and industrial consumers. Total energy losses incurred across this distribution infrastructure are broadly decomposed into two fundamentally distinct physical and operational categories:</w:t>
      </w:r>
    </w:p>
    <w:p>
      <w:pPr>
        <w:spacing w:before="160" w:after="160"/>
        <w:jc w:val="center"/>
      </w:pPr>
      <w:r>
        <w:rPr>
          <w:rFonts w:ascii="Cambria Math" w:hAnsi="Cambria Math"/>
          <w:i/>
          <w:color w:val="1E3A8A"/>
          <w:sz w:val="22"/>
        </w:rPr>
        <w:t>E_{\text{total\_loss}}(t) = E_{\text{technical}}(t) + E_{\text{non-technical}}(t)</w:t>
      </w:r>
    </w:p>
    <w:p>
      <w:pPr>
        <w:pStyle w:val="Heading3"/>
      </w:pPr>
      <w:r>
        <w:t>1. Technical Losses ($E_{\text{technical}}$)</w:t>
      </w:r>
    </w:p>
    <w:p>
      <w:pPr/>
      <w:r>
        <w:rPr>
          <w:rFonts w:ascii="Arial" w:hAnsi="Arial"/>
          <w:i w:val="0"/>
          <w:color w:val="1F2937"/>
          <w:sz w:val="21"/>
        </w:rPr>
        <w:t>Technical losses are inherent to the physical transportation of electric charge through conductors and magnetic induction devices. They are governed by the fundamental laws of thermodynamics and electromagnetism:</w:t>
      </w:r>
    </w:p>
    <w:p>
      <w:pPr>
        <w:spacing w:before="160" w:after="160"/>
        <w:jc w:val="center"/>
      </w:pPr>
      <w:r>
        <w:rPr>
          <w:rFonts w:ascii="Cambria Math" w:hAnsi="Cambria Math"/>
          <w:i/>
          <w:color w:val="1E3A8A"/>
          <w:sz w:val="22"/>
        </w:rPr>
        <w:t>E_{\text{technical}}(t) = \int_0^t \sum_{k \in \text{Lines}} I_k^2(\tau) R_k \, d\tau + \int_0^t \sum_{m \in \text{Transformers}} \left( P_{\text{core}, m} + I_m^2(\tau) R_{\text{winding}, m} \right) d\tau</w:t>
      </w:r>
    </w:p>
    <w:p>
      <w:pPr/>
      <w:r>
        <w:rPr>
          <w:rFonts w:ascii="Arial" w:hAnsi="Arial"/>
          <w:i w:val="0"/>
          <w:color w:val="1F2937"/>
          <w:sz w:val="21"/>
        </w:rPr>
        <w:t>where $I_k$ represents line current, $R_k$ conductor resistance, $P_{\text{core}, m}$ no-load hysteresis and eddy current losses in transformer cores, and $R_{\text{winding}, m}$ copper winding resistance. Technical losses can be accurately simulated and minimized through network reconfiguration, phase balancing, conductor reconductoring, and capacitor bank placement.</w:t>
      </w:r>
    </w:p>
    <w:p>
      <w:pPr>
        <w:pStyle w:val="Heading3"/>
      </w:pPr>
      <w:r>
        <w:t>2. Non-Technical Losses ($E_{\text{non-technical}}$)</w:t>
      </w:r>
    </w:p>
    <w:p>
      <w:pPr/>
      <w:r>
        <w:rPr>
          <w:rFonts w:ascii="Arial" w:hAnsi="Arial"/>
          <w:i w:val="0"/>
          <w:color w:val="1F2937"/>
          <w:sz w:val="21"/>
        </w:rPr>
        <w:t>In stark contrast, Non-Technical Losses (NTL)—frequently referred to as commercial losses or unmetered consumption—arise from human behavior, cyber-physical tampering, billing fraud, administrative misallocations, and unmetered extraction:</w:t>
      </w:r>
    </w:p>
    <w:p>
      <w:pPr>
        <w:spacing w:before="160" w:after="160"/>
        <w:jc w:val="center"/>
      </w:pPr>
      <w:r>
        <w:rPr>
          <w:rFonts w:ascii="Cambria Math" w:hAnsi="Cambria Math"/>
          <w:i/>
          <w:color w:val="1E3A8A"/>
          <w:sz w:val="22"/>
        </w:rPr>
        <w:t>E_{\text{non-technical}}(t) = E_{\text{injected}}(t) - E_{\text{billed}}(t) - E_{\text{technical}}(t)</w:t>
      </w:r>
    </w:p>
    <w:p>
      <w:pPr/>
      <w:r>
        <w:rPr>
          <w:rFonts w:ascii="Arial" w:hAnsi="Arial"/>
          <w:i w:val="0"/>
          <w:color w:val="1F2937"/>
          <w:sz w:val="21"/>
        </w:rPr>
        <w:t>Because NTL cannot be modeled purely through passive circuit impedance equations, it represents an elusive, highly dynamic challenge. Unmetered electricity consumption not only drains utility cash flows but also severely distorts distribution network load forecasting, induces unmonitored transformer overload, increases wildfire risk from substandard physical taps, and unfairly shifts financial burdens onto law-abiding consumers through elevated retail tariffs.</w:t>
      </w:r>
    </w:p>
    <w:p>
      <w:pPr/>
      <w:r>
        <w:rPr>
          <w:rFonts w:ascii="Arial" w:hAnsi="Arial"/>
          <w:i w:val="0"/>
          <w:color w:val="1F2937"/>
          <w:sz w:val="21"/>
        </w:rPr>
        <w:t>Electric power systems are engineered to generate, transmit, and distribute electrical energy from centralized or distributed generation facilities to end-user consumers with high efficiency, reliability, and safety. In electrical distribution networks—the terminal stage of the power delivery hierarchy—losses incurred during energy transfer are fundamentally categorized into two classes:</w:t>
      </w:r>
    </w:p>
    <w:p>
      <w:pPr>
        <w:spacing w:before="40" w:after="40" w:line="288" w:lineRule="auto"/>
        <w:ind w:left="432" w:hanging="288"/>
      </w:pPr>
      <w:r>
        <w:rPr>
          <w:b/>
          <w:color w:val="1E3A8A"/>
        </w:rPr>
        <w:t xml:space="preserve">1. </w:t>
      </w:r>
      <w:r>
        <w:rPr>
          <w:rFonts w:ascii="Arial" w:hAnsi="Arial"/>
          <w:b/>
          <w:i w:val="0"/>
          <w:color w:val="1F2937"/>
          <w:sz w:val="21"/>
        </w:rPr>
        <w:t>Technical Losses (TL)</w:t>
      </w:r>
      <w:r>
        <w:rPr>
          <w:rFonts w:ascii="Arial" w:hAnsi="Arial"/>
          <w:i w:val="0"/>
          <w:color w:val="1F2937"/>
          <w:sz w:val="21"/>
        </w:rPr>
        <w:t>: Inherent physical losses naturally dissipated as thermal energy due to electrical resistance in transmission lines, distribution conductors, transformers, and switchgear ($I^2R$ heating losses). Technical losses are governed by Maxwell's equations and power flow physics; they can be modeled accurately through power flow equations and mitigated through infrastructure upgrades such as reconductoring, voltage level step-ups, and power factor correction capacitors.</w:t>
      </w:r>
    </w:p>
    <w:p>
      <w:pPr>
        <w:spacing w:before="40" w:after="40" w:line="288" w:lineRule="auto"/>
        <w:ind w:left="432" w:hanging="288"/>
      </w:pPr>
      <w:r>
        <w:rPr>
          <w:b/>
          <w:color w:val="1E3A8A"/>
        </w:rPr>
        <w:t xml:space="preserve">2. </w:t>
      </w:r>
      <w:r>
        <w:rPr>
          <w:rFonts w:ascii="Arial" w:hAnsi="Arial"/>
          <w:b/>
          <w:i w:val="0"/>
          <w:color w:val="1F2937"/>
          <w:sz w:val="21"/>
        </w:rPr>
        <w:t>Non-Technical Losses (NTL)</w:t>
      </w:r>
      <w:r>
        <w:rPr>
          <w:rFonts w:ascii="Arial" w:hAnsi="Arial"/>
          <w:i w:val="0"/>
          <w:color w:val="1F2937"/>
          <w:sz w:val="21"/>
        </w:rPr>
        <w:t>: Extraneous energy losses that cannot be attributed to the physical characteristics of the network conductors. NTL represents electricity that is delivered and consumed but never metered, billed, or monetized by the utility. The primary drivers of NTL include physical meter tampering, electromechanical meter slowing, internal current sensor bypassing, direct tapping into overhead low-voltage distribution lines, meter calibration fraud, billing software manipulation, and unmetered defective metering equipment.</w:t>
      </w:r>
    </w:p>
    <w:p>
      <w:pPr>
        <w:pStyle w:val="Heading2"/>
      </w:pPr>
      <w:r>
        <w:t>1.2 The Advanced Metering Infrastructure (AMI) Revolution</w:t>
      </w:r>
    </w:p>
    <w:p>
      <w:pPr/>
      <w:r>
        <w:rPr>
          <w:rFonts w:ascii="Arial" w:hAnsi="Arial"/>
          <w:i w:val="0"/>
          <w:color w:val="1F2937"/>
          <w:sz w:val="21"/>
        </w:rPr>
        <w:t>The transition from legacy electromechanical induction-disk meters to Advanced Metering Infrastructure (AMI) smart meters has fundamentally revolutionized electricity distribution observability. Under legacy metering regimes, utilities relied on manual monthly meter readings conducted by roving field personnel. This paradigm suffered from human recording errors, delayed detection cycles (often months or years before theft was detected), and severe vulnerability to collusion or bribery.</w:t>
      </w:r>
    </w:p>
    <w:p>
      <w:pPr/>
      <w:r>
        <w:rPr>
          <w:rFonts w:ascii="Arial" w:hAnsi="Arial"/>
          <w:i w:val="0"/>
          <w:color w:val="1F2937"/>
          <w:sz w:val="21"/>
        </w:rPr>
        <w:t>AMI smart meters deploy solid-state electronic measurement units equipped with bidirectional telecommunication modules (utilizing cellular LTE-M, GPRS, Power Line Communication (PLC), or RF mesh topologies). Smart meters measure and record instantaneous voltage, current, active power, reactive power, and cumulative energy consumption at standardized periodic cadences—ranging from 15-minute intervals to daily cumulative aggregations. This continuous telemetry streams into Central Meter Data Management Systems (MDMS), creating massive temporal data corpora that, in principle, enable automated algorithmic anomaly detection and revenue protection.</w:t>
      </w:r>
    </w:p>
    <w:p>
      <w:pPr>
        <w:pStyle w:val="Heading2"/>
      </w:pPr>
      <w:r>
        <w:t>1.3 Mechanisms and Manifestations of Electricity Theft</w:t>
      </w:r>
    </w:p>
    <w:p>
      <w:pPr/>
      <w:r>
        <w:rPr>
          <w:rFonts w:ascii="Arial" w:hAnsi="Arial"/>
          <w:i w:val="0"/>
          <w:color w:val="1F2937"/>
          <w:sz w:val="21"/>
        </w:rPr>
        <w:t>Electricity tampering in smart grids is executed through diverse physical, electromagnetic, and cybernetic mechanisms. Understanding these physical attack vectors is essential for engineering effective time-series detection signatures:</w:t>
      </w:r>
    </w:p>
    <w:p>
      <w:pPr>
        <w:pStyle w:val="Heading3"/>
      </w:pPr>
      <w:r>
        <w:t>1. Fractional Current Shunting (Phase Bypassing)</w:t>
      </w:r>
    </w:p>
    <w:p>
      <w:pPr/>
      <w:r>
        <w:rPr>
          <w:rFonts w:ascii="Arial" w:hAnsi="Arial"/>
          <w:i w:val="0"/>
          <w:color w:val="1F2937"/>
          <w:sz w:val="21"/>
        </w:rPr>
        <w:t>The perpetrator installs a low-impedance jumper wire across the line (input) and load (output) terminals of the meter's current sensor. Under Kirchhoff's current law, the total load current $I_{\text{load}}(t)$ divides inversely proportional to impedance:</w:t>
      </w:r>
    </w:p>
    <w:p>
      <w:pPr>
        <w:spacing w:before="160" w:after="160"/>
        <w:jc w:val="center"/>
      </w:pPr>
      <w:r>
        <w:rPr>
          <w:rFonts w:ascii="Cambria Math" w:hAnsi="Cambria Math"/>
          <w:i/>
          <w:color w:val="1E3A8A"/>
          <w:sz w:val="22"/>
        </w:rPr>
        <w:t>I_{\text{meter}}(t) = \frac{R_{\text{shunt}}}{R_{\text{shunt}} + R_{\text{meter\_internal}}} I_{\text{load}}(t) = (1 - \alpha) I_{\text{load}}(t)</w:t>
      </w:r>
    </w:p>
    <w:p>
      <w:pPr/>
      <w:r>
        <w:rPr>
          <w:rFonts w:ascii="Arial" w:hAnsi="Arial"/>
          <w:i w:val="0"/>
          <w:color w:val="1F2937"/>
          <w:sz w:val="21"/>
        </w:rPr>
        <w:t>where $\alpha \in (0, 1)$ is the bypass ratio. When $\alpha = 1.0$ (complete bypass), registered energy drops to zero. When $\alpha \in [0.30, 0.70]$ (partial shunting), the meter continues to register consumption, but at an artificially attenuated rate that mimics energy conservation, evading simple zero-detection heuristics.</w:t>
      </w:r>
    </w:p>
    <w:p>
      <w:pPr>
        <w:pStyle w:val="Heading3"/>
      </w:pPr>
      <w:r>
        <w:t>2. Magnetic Core Saturation</w:t>
      </w:r>
    </w:p>
    <w:p>
      <w:pPr/>
      <w:r>
        <w:rPr>
          <w:rFonts w:ascii="Arial" w:hAnsi="Arial"/>
          <w:i w:val="0"/>
          <w:color w:val="1F2937"/>
          <w:sz w:val="21"/>
        </w:rPr>
        <w:t>Many solid-state smart meters employ Current Transformers (CTs) with soft magnetic cores for galvanic isolation and current sensing. By placing an external high-strength neodymium permanent magnet (surface field strength $B &gt; 0.5$ Tesla) in close proximity to the meter casing, the perpetrator forces the ferromagnetic core into deep magnetic saturation ($B_{\text{sat}}$). The incremental relative permeability $\mu_r = \frac{1}{\mu_0} \frac{dB}{dH}$ collapses toward unity, drastically attenuating the secondary induced voltage and causing the meter to under-register energy by 60% to 90%.</w:t>
      </w:r>
    </w:p>
    <w:p>
      <w:pPr>
        <w:pStyle w:val="Heading3"/>
      </w:pPr>
      <w:r>
        <w:t>3. Neutral Line Disconnection &amp; Ground Return</w:t>
      </w:r>
    </w:p>
    <w:p>
      <w:pPr/>
      <w:r>
        <w:rPr>
          <w:rFonts w:ascii="Arial" w:hAnsi="Arial"/>
          <w:i w:val="0"/>
          <w:color w:val="1F2937"/>
          <w:sz w:val="21"/>
        </w:rPr>
        <w:t>In single-phase two-wire installations, disconnecting the meter's neutral return while completing the consumer load circuit via an earth ground rod prevents the meter's internal potential coil or power supply from establishing a reference voltage ($V_{\text{phase-neutral}} \approx 0$), disabling active power measurement while maintaining power to the customer load.</w:t>
      </w:r>
    </w:p>
    <w:p>
      <w:pPr>
        <w:pStyle w:val="Heading3"/>
      </w:pPr>
      <w:r>
        <w:t>4. Cybernetic and Firmware Manipulation</w:t>
      </w:r>
    </w:p>
    <w:p>
      <w:pPr/>
      <w:r>
        <w:rPr>
          <w:rFonts w:ascii="Arial" w:hAnsi="Arial"/>
          <w:i w:val="0"/>
          <w:color w:val="1F2937"/>
          <w:sz w:val="21"/>
        </w:rPr>
        <w:t>In advanced AMI environments, attackers target the meter's optical communication port, local mesh radio frequency (RF) module, or microcontroller firmware, altering energy calibration registers or spoofing encrypted telemetry packets before transmission to the head-end system.</w:t>
      </w:r>
    </w:p>
    <w:p>
      <w:pPr/>
      <w:r>
        <w:rPr>
          <w:rFonts w:ascii="Arial" w:hAnsi="Arial"/>
          <w:i w:val="0"/>
          <w:color w:val="1F2937"/>
          <w:sz w:val="21"/>
        </w:rPr>
        <w:t>In the physical realm, consumers execute meter tampering through diverse electrical and mechanical interventions:</w:t>
      </w:r>
    </w:p>
    <w:p>
      <w:pPr>
        <w:spacing w:before="20" w:after="40" w:line="288" w:lineRule="auto"/>
        <w:ind w:left="360" w:hanging="216"/>
      </w:pPr>
      <w:r>
        <w:rPr>
          <w:b/>
          <w:color w:val="2563EB"/>
        </w:rPr>
        <w:t xml:space="preserve">• </w:t>
      </w:r>
      <w:r>
        <w:rPr>
          <w:rFonts w:ascii="Arial" w:hAnsi="Arial"/>
          <w:b/>
          <w:i w:val="0"/>
          <w:color w:val="1F2937"/>
          <w:sz w:val="21"/>
        </w:rPr>
        <w:t>Phase Line Bypass</w:t>
      </w:r>
      <w:r>
        <w:rPr>
          <w:rFonts w:ascii="Arial" w:hAnsi="Arial"/>
          <w:i w:val="0"/>
          <w:color w:val="1F2937"/>
          <w:sz w:val="21"/>
        </w:rPr>
        <w:t>: Connecting a low-impedance jumper wire across the input and output active phase terminals of the meter. While current continues to flow through the jumper to supply the consumer's load, the meter's internal current transformer (CT) or shunt resistor measures only a fraction of the total current. In the consumption time series, this produces an abrupt, sustained downward step in recorded kilowatt-hours (kWh).</w:t>
      </w:r>
    </w:p>
    <w:p>
      <w:pPr>
        <w:spacing w:before="20" w:after="40" w:line="288" w:lineRule="auto"/>
        <w:ind w:left="360" w:hanging="216"/>
      </w:pPr>
      <w:r>
        <w:rPr>
          <w:b/>
          <w:color w:val="2563EB"/>
        </w:rPr>
        <w:t xml:space="preserve">• </w:t>
      </w:r>
      <w:r>
        <w:rPr>
          <w:rFonts w:ascii="Arial" w:hAnsi="Arial"/>
          <w:b/>
          <w:i w:val="0"/>
          <w:color w:val="1F2937"/>
          <w:sz w:val="21"/>
        </w:rPr>
        <w:t>Neutral Line Disconnection / Inversion</w:t>
      </w:r>
      <w:r>
        <w:rPr>
          <w:rFonts w:ascii="Arial" w:hAnsi="Arial"/>
          <w:i w:val="0"/>
          <w:color w:val="1F2937"/>
          <w:sz w:val="21"/>
        </w:rPr>
        <w:t>: Disconnecting or swapping the neutral line to disturb the potential coil, suppressing the voltage sensor measurement and causing the meter to register zero consumption despite heavy continuous load.</w:t>
      </w:r>
    </w:p>
    <w:p>
      <w:pPr>
        <w:spacing w:before="20" w:after="40" w:line="288" w:lineRule="auto"/>
        <w:ind w:left="360" w:hanging="216"/>
      </w:pPr>
      <w:r>
        <w:rPr>
          <w:b/>
          <w:color w:val="2563EB"/>
        </w:rPr>
        <w:t xml:space="preserve">• </w:t>
      </w:r>
      <w:r>
        <w:rPr>
          <w:rFonts w:ascii="Arial" w:hAnsi="Arial"/>
          <w:b/>
          <w:i w:val="0"/>
          <w:color w:val="1F2937"/>
          <w:sz w:val="21"/>
        </w:rPr>
        <w:t>Physical Braking / Rotor Stalling</w:t>
      </w:r>
      <w:r>
        <w:rPr>
          <w:rFonts w:ascii="Arial" w:hAnsi="Arial"/>
          <w:i w:val="0"/>
          <w:color w:val="1F2937"/>
          <w:sz w:val="21"/>
        </w:rPr>
        <w:t>: In electromechanical meters, applying high-strength neodymium permanent magnets or mechanical drills to impede disk rotation, locking daily readings to an artificially low, invariant flatline value.</w:t>
      </w:r>
    </w:p>
    <w:p>
      <w:pPr>
        <w:spacing w:before="20" w:after="40" w:line="288" w:lineRule="auto"/>
        <w:ind w:left="360" w:hanging="216"/>
      </w:pPr>
      <w:r>
        <w:rPr>
          <w:b/>
          <w:color w:val="2563EB"/>
        </w:rPr>
        <w:t xml:space="preserve">• </w:t>
      </w:r>
      <w:r>
        <w:rPr>
          <w:rFonts w:ascii="Arial" w:hAnsi="Arial"/>
          <w:b/>
          <w:i w:val="0"/>
          <w:color w:val="1F2937"/>
          <w:sz w:val="21"/>
        </w:rPr>
        <w:t>Microcontroller Firmware Tampering</w:t>
      </w:r>
      <w:r>
        <w:rPr>
          <w:rFonts w:ascii="Arial" w:hAnsi="Arial"/>
          <w:i w:val="0"/>
          <w:color w:val="1F2937"/>
          <w:sz w:val="21"/>
        </w:rPr>
        <w:t>: Exploiting optical communication ports or firmware vulnerabilities to artificially scale calibration constants downward.</w:t>
      </w:r>
    </w:p>
    <w:p>
      <w:pPr>
        <w:pStyle w:val="Heading2"/>
      </w:pPr>
      <w:r>
        <w:t>1.4 Conventional Anomaly Detection and Its Critical Pitfalls</w:t>
      </w:r>
    </w:p>
    <w:p>
      <w:pPr/>
      <w:r>
        <w:rPr>
          <w:rFonts w:ascii="Arial" w:hAnsi="Arial"/>
          <w:i w:val="0"/>
          <w:color w:val="1F2937"/>
          <w:sz w:val="21"/>
        </w:rPr>
        <w:t>Over the past decade, numerous machine learning techniques have been proposed to detect NTL in AMI smart-meter data. These encompass unsupervised anomaly detection (e.g., Local Outlier Factor, One-Class SVM, Isolation Forest) and supervised binary classifiers (e.g., Support Vector Machines, Random Forests, Multilayer Perceptrons, Convolutional Neural Networks).</w:t>
      </w:r>
    </w:p>
    <w:p>
      <w:pPr/>
      <w:r>
        <w:rPr>
          <w:rFonts w:ascii="Arial" w:hAnsi="Arial"/>
          <w:i w:val="0"/>
          <w:color w:val="1F2937"/>
          <w:sz w:val="21"/>
        </w:rPr>
        <w:t>However, virtually all conventional implementations suffer from three critical operational pathologies:</w:t>
      </w:r>
    </w:p>
    <w:p>
      <w:pPr>
        <w:spacing w:before="40" w:after="40" w:line="288" w:lineRule="auto"/>
        <w:ind w:left="432" w:hanging="288"/>
      </w:pPr>
      <w:r>
        <w:rPr>
          <w:b/>
          <w:color w:val="1E3A8A"/>
        </w:rPr>
        <w:t xml:space="preserve">1. </w:t>
      </w:r>
      <w:r>
        <w:rPr>
          <w:rFonts w:ascii="Arial" w:hAnsi="Arial"/>
          <w:b/>
          <w:i w:val="0"/>
          <w:color w:val="1F2937"/>
          <w:sz w:val="21"/>
        </w:rPr>
        <w:t>Symmetric Error Penalty Fallacy</w:t>
      </w:r>
      <w:r>
        <w:rPr>
          <w:rFonts w:ascii="Arial" w:hAnsi="Arial"/>
          <w:i w:val="0"/>
          <w:color w:val="1F2937"/>
          <w:sz w:val="21"/>
        </w:rPr>
        <w:t>: Standard loss functions (e.g., binary cross-entropy, mean squared error) treat a False Positive (FP) and a False Negative (FN) with identical mathematical importance. In operational utility environments, this symmetry does not hold.</w:t>
      </w:r>
    </w:p>
    <w:p>
      <w:pPr>
        <w:spacing w:before="40" w:after="40" w:line="288" w:lineRule="auto"/>
        <w:ind w:left="432" w:hanging="288"/>
      </w:pPr>
      <w:r>
        <w:rPr>
          <w:b/>
          <w:color w:val="1E3A8A"/>
        </w:rPr>
        <w:t xml:space="preserve">2. </w:t>
      </w:r>
      <w:r>
        <w:rPr>
          <w:rFonts w:ascii="Arial" w:hAnsi="Arial"/>
          <w:b/>
          <w:i w:val="0"/>
          <w:color w:val="1F2937"/>
          <w:sz w:val="21"/>
        </w:rPr>
        <w:t>Probability-Only Prioritization</w:t>
      </w:r>
      <w:r>
        <w:rPr>
          <w:rFonts w:ascii="Arial" w:hAnsi="Arial"/>
          <w:i w:val="0"/>
          <w:color w:val="1F2937"/>
          <w:sz w:val="21"/>
        </w:rPr>
        <w:t>: Conventional systems rank candidate meters purely by predicted probability $\hat{p}_i = P(y_i = 1 | \mathbf{x}_i)$. Under this regime, a low-income consumer whose consumption dropped from 1.5 kWh/day to 0.2 kWh/day is flagged with 92% probability. Meanwhile, a high-consumption commercial warehouse whose consumption dropped from 300 kWh/day to 100 kWh/day might receive a probability of 75%. Prioritizing solely by probability dispatches crews to the low-income consumer to recover a negligible sum, while leaving hundreds of thousands of dollars of ongoing unmetered commercial leakage undetected.</w:t>
      </w:r>
    </w:p>
    <w:p>
      <w:pPr>
        <w:spacing w:before="40" w:after="40" w:line="288" w:lineRule="auto"/>
        <w:ind w:left="432" w:hanging="288"/>
      </w:pPr>
      <w:r>
        <w:rPr>
          <w:b/>
          <w:color w:val="1E3A8A"/>
        </w:rPr>
        <w:t xml:space="preserve">3. </w:t>
      </w:r>
      <w:r>
        <w:rPr>
          <w:rFonts w:ascii="Arial" w:hAnsi="Arial"/>
          <w:b/>
          <w:i w:val="0"/>
          <w:color w:val="1F2937"/>
          <w:sz w:val="21"/>
        </w:rPr>
        <w:t>Black-Box Opacity</w:t>
      </w:r>
      <w:r>
        <w:rPr>
          <w:rFonts w:ascii="Arial" w:hAnsi="Arial"/>
          <w:i w:val="0"/>
          <w:color w:val="1F2937"/>
          <w:sz w:val="21"/>
        </w:rPr>
        <w:t>: Complex ensemble or deep neural network classifiers output uncalibrated risk scores without explaining the temporal or electrical drivers behind the classification. Field technicians handed an unadorned list of meter IDs lack actionable diagnostic guidance, increasing on-site inspection time and risking regulatory penalties if honest consumers are wrongfully accused of theft.</w:t>
      </w:r>
    </w:p>
    <w:p>
      <w:pPr>
        <w:pStyle w:val="Heading2"/>
      </w:pPr>
      <w:r>
        <w:t>1.5 The Grid-Guard Operating Philosophy</w:t>
      </w:r>
    </w:p>
    <w:p>
      <w:pPr/>
      <w:r>
        <w:rPr>
          <w:rFonts w:ascii="Arial" w:hAnsi="Arial"/>
          <w:b/>
          <w:i w:val="0"/>
          <w:color w:val="1F2937"/>
          <w:sz w:val="21"/>
        </w:rPr>
        <w:t>Grid-Guard</w:t>
      </w:r>
      <w:r>
        <w:rPr>
          <w:rFonts w:ascii="Arial" w:hAnsi="Arial"/>
          <w:i w:val="0"/>
          <w:color w:val="1F2937"/>
          <w:sz w:val="21"/>
        </w:rPr>
        <w:t xml:space="preserve"> was conceived to overcome these systemic failures. The foundational philosophy of Grid-Guard is that:</w:t>
      </w:r>
    </w:p>
    <w:p>
      <w:pPr>
        <w:spacing w:before="160" w:after="160"/>
        <w:jc w:val="center"/>
      </w:pPr>
      <w:r>
        <w:rPr>
          <w:rFonts w:ascii="Cambria Math" w:hAnsi="Cambria Math"/>
          <w:i/>
          <w:color w:val="1E3A8A"/>
          <w:sz w:val="22"/>
        </w:rPr>
        <w:t>\text{Detection Probability alone is NOT an operational decision.}</w:t>
      </w:r>
    </w:p>
    <w:p>
      <w:pPr/>
      <w:r>
        <w:rPr>
          <w:rFonts w:ascii="Arial" w:hAnsi="Arial"/>
          <w:i w:val="0"/>
          <w:color w:val="1F2937"/>
          <w:sz w:val="21"/>
        </w:rPr>
        <w:t xml:space="preserve">An electricity distribution utility is an economic enterprise operating under strict budgetary, logistical, and workforce constraints. Dispatching a two-person physical field inspection crew with specialized testing instrumentation, transportation, and safety equipment incurs a fixed operational cost ($C_{\text{dispatch}} = C_{\text{FP}} \approx \$100$). An inspection is economically justified </w:t>
      </w:r>
      <w:r>
        <w:rPr>
          <w:rFonts w:ascii="Arial" w:hAnsi="Arial"/>
          <w:b/>
          <w:i w:val="0"/>
          <w:color w:val="1F2937"/>
          <w:sz w:val="21"/>
        </w:rPr>
        <w:t>if and only if</w:t>
      </w:r>
      <w:r>
        <w:rPr>
          <w:rFonts w:ascii="Arial" w:hAnsi="Arial"/>
          <w:i w:val="0"/>
          <w:color w:val="1F2937"/>
          <w:sz w:val="21"/>
        </w:rPr>
        <w:t xml:space="preserve"> the expected financial recovery from terminating the unmetered leakage exceeds the operational cost of conducting the inspection.</w:t>
      </w:r>
    </w:p>
    <w:p>
      <w:pPr/>
      <w:r>
        <w:rPr>
          <w:rFonts w:ascii="Arial" w:hAnsi="Arial"/>
          <w:i w:val="0"/>
          <w:color w:val="1F2937"/>
          <w:sz w:val="21"/>
        </w:rPr>
        <w:t xml:space="preserve">Grid-Guard operationalizes this principle by calculating the </w:t>
      </w:r>
      <w:r>
        <w:rPr>
          <w:rFonts w:ascii="Arial" w:hAnsi="Arial"/>
          <w:b/>
          <w:i w:val="0"/>
          <w:color w:val="1F2937"/>
          <w:sz w:val="21"/>
        </w:rPr>
        <w:t>Expected Net Value (ENV)</w:t>
      </w:r>
      <w:r>
        <w:rPr>
          <w:rFonts w:ascii="Arial" w:hAnsi="Arial"/>
          <w:i w:val="0"/>
          <w:color w:val="1F2937"/>
          <w:sz w:val="21"/>
        </w:rPr>
        <w:t xml:space="preserve"> for every monitored meter:</w:t>
      </w:r>
    </w:p>
    <w:p>
      <w:pPr>
        <w:spacing w:before="160" w:after="160"/>
        <w:jc w:val="center"/>
      </w:pPr>
      <w:r>
        <w:rPr>
          <w:rFonts w:ascii="Cambria Math" w:hAnsi="Cambria Math"/>
          <w:i/>
          <w:color w:val="1E3A8A"/>
          <w:sz w:val="22"/>
        </w:rPr>
        <w:t>\text{ENV}_i = p_i \times R_i - C_{\text{dispatch}}</w:t>
      </w:r>
    </w:p>
    <w:p>
      <w:pPr/>
      <w:r>
        <w:rPr>
          <w:rFonts w:ascii="Arial" w:hAnsi="Arial"/>
          <w:i w:val="0"/>
          <w:color w:val="1F2937"/>
          <w:sz w:val="21"/>
        </w:rPr>
        <w:t>where $p_i$ is the model's calibrated probability that meter $i$ is tampered, and $R_i$ is the projected recoverable financial revenue if the tampering event is verified and remediated. Inspections are recommended strictly when $\text{ENV}_i &gt; 0$, and work orders are ranked in strictly descending order of ENV.</w:t>
      </w:r>
    </w:p>
    <w:p>
      <w:pPr>
        <w:pStyle w:val="Heading2"/>
      </w:pPr>
      <w:r>
        <w:t>1.6 Formal Problem Definition</w:t>
      </w:r>
    </w:p>
    <w:p>
      <w:pPr/>
      <w:r>
        <w:rPr>
          <w:rFonts w:ascii="Arial" w:hAnsi="Arial"/>
          <w:i w:val="0"/>
          <w:color w:val="1F2937"/>
          <w:sz w:val="21"/>
        </w:rPr>
        <w:t>Let $\mathcal{M} = \{m_1, m_2, \dots, m_N\}$ denote a fleet of $N$ monitored smart meters. For each meter $m_i$, the utility records a chronological sequence of daily consumption readings $\mathbf{c}_i = \langle c_{i,1}, c_{i,2}, \dots, c_{i,T}\rangle$, where $c_{i,t} \in \mathbb{R}_{\ge 0}$ represents the total electricity consumed in kilowatt-hours (kWh) on calendar date $t$.</w:t>
      </w:r>
    </w:p>
    <w:p>
      <w:pPr/>
      <w:r>
        <w:rPr>
          <w:rFonts w:ascii="Arial" w:hAnsi="Arial"/>
          <w:i w:val="0"/>
          <w:color w:val="1F2937"/>
          <w:sz w:val="21"/>
        </w:rPr>
        <w:t>Each meter is associated with a ground-truth operational state $y_i \in \{0, 1\}$, where $y_i = 0$ denotes normal, honest consumption, and $y_i = 1$ denotes an ongoing tampering or non-technical loss event. The distribution of $y_i$ is severely imbalanced, with positive prevalence $\pi = P(y = 1) \ll 0.10$.</w:t>
      </w:r>
    </w:p>
    <w:p>
      <w:pPr/>
      <w:r>
        <w:rPr>
          <w:rFonts w:ascii="Arial" w:hAnsi="Arial"/>
          <w:i w:val="0"/>
          <w:color w:val="1F2937"/>
          <w:sz w:val="21"/>
        </w:rPr>
        <w:t>The operational problem addressed by Grid-Guard is formulated as a four-stage mapping:</w:t>
      </w:r>
    </w:p>
    <w:p>
      <w:pPr>
        <w:spacing w:before="40" w:after="40" w:line="288" w:lineRule="auto"/>
        <w:ind w:left="432" w:hanging="288"/>
      </w:pPr>
      <w:r>
        <w:rPr>
          <w:b/>
          <w:color w:val="1E3A8A"/>
        </w:rPr>
        <w:t xml:space="preserve">1. </w:t>
      </w:r>
      <w:r>
        <w:rPr>
          <w:rFonts w:ascii="Arial" w:hAnsi="Arial"/>
          <w:b/>
          <w:i w:val="0"/>
          <w:color w:val="1F2937"/>
          <w:sz w:val="21"/>
        </w:rPr>
        <w:t>Feature Mapping</w:t>
      </w:r>
      <w:r>
        <w:rPr>
          <w:rFonts w:ascii="Arial" w:hAnsi="Arial"/>
          <w:i w:val="0"/>
          <w:color w:val="1F2937"/>
          <w:sz w:val="21"/>
        </w:rPr>
        <w:t>: $\phi: \mathbf{c}_i \to \mathbf{x}_i \in \mathbb{R}^{60}$, transforming raw consumption time series into causal, temporal, and signature feature vectors without temporal leakage.</w:t>
      </w:r>
    </w:p>
    <w:p>
      <w:pPr>
        <w:spacing w:before="40" w:after="40" w:line="288" w:lineRule="auto"/>
        <w:ind w:left="432" w:hanging="288"/>
      </w:pPr>
      <w:r>
        <w:rPr>
          <w:b/>
          <w:color w:val="1E3A8A"/>
        </w:rPr>
        <w:t xml:space="preserve">2. </w:t>
      </w:r>
      <w:r>
        <w:rPr>
          <w:rFonts w:ascii="Arial" w:hAnsi="Arial"/>
          <w:b/>
          <w:i w:val="0"/>
          <w:color w:val="1F2937"/>
          <w:sz w:val="21"/>
        </w:rPr>
        <w:t>Cost-Sensitive Risk Scoring</w:t>
      </w:r>
      <w:r>
        <w:rPr>
          <w:rFonts w:ascii="Arial" w:hAnsi="Arial"/>
          <w:i w:val="0"/>
          <w:color w:val="1F2937"/>
          <w:sz w:val="21"/>
        </w:rPr>
        <w:t>: $f_\theta: \mathbf{x}_i \to p_i \in [0, 1]$, estimating the posterior probability of tampering under an asymmetric, financial loss surrogate.</w:t>
      </w:r>
    </w:p>
    <w:p>
      <w:pPr>
        <w:spacing w:before="40" w:after="40" w:line="288" w:lineRule="auto"/>
        <w:ind w:left="432" w:hanging="288"/>
      </w:pPr>
      <w:r>
        <w:rPr>
          <w:b/>
          <w:color w:val="1E3A8A"/>
        </w:rPr>
        <w:t xml:space="preserve">3. </w:t>
      </w:r>
      <w:r>
        <w:rPr>
          <w:rFonts w:ascii="Arial" w:hAnsi="Arial"/>
          <w:b/>
          <w:i w:val="0"/>
          <w:color w:val="1F2937"/>
          <w:sz w:val="21"/>
        </w:rPr>
        <w:t>Leakage &amp; Exposure Estimation</w:t>
      </w:r>
      <w:r>
        <w:rPr>
          <w:rFonts w:ascii="Arial" w:hAnsi="Arial"/>
          <w:i w:val="0"/>
          <w:color w:val="1F2937"/>
          <w:sz w:val="21"/>
        </w:rPr>
        <w:t>: $g: (\mathbf{x}_i, \text{Tariff}) \to R_i \in \mathbb{R}_{\ge 0}$, projecting the unmetered financial revenue volume over a defined recovery horizon.</w:t>
      </w:r>
    </w:p>
    <w:p>
      <w:pPr>
        <w:spacing w:before="40" w:after="40" w:line="288" w:lineRule="auto"/>
        <w:ind w:left="432" w:hanging="288"/>
      </w:pPr>
      <w:r>
        <w:rPr>
          <w:b/>
          <w:color w:val="1E3A8A"/>
        </w:rPr>
        <w:t xml:space="preserve">4. </w:t>
      </w:r>
      <w:r>
        <w:rPr>
          <w:rFonts w:ascii="Arial" w:hAnsi="Arial"/>
          <w:b/>
          <w:i w:val="0"/>
          <w:color w:val="1F2937"/>
          <w:sz w:val="21"/>
        </w:rPr>
        <w:t>Economic Decisioning &amp; Attribution</w:t>
      </w:r>
      <w:r>
        <w:rPr>
          <w:rFonts w:ascii="Arial" w:hAnsi="Arial"/>
          <w:i w:val="0"/>
          <w:color w:val="1F2937"/>
          <w:sz w:val="21"/>
        </w:rPr>
        <w:t>: $\psi: (p_i, R_i, C_{\text{dispatch}}) \to (\text{ENV}_i, \tau_i, \text{Decision}_i, \mathbf{s}_i)$, producing a prioritized work order ticket enriched with dynamic thresholds and Tree-SHAP local explanations.</w:t>
      </w:r>
    </w:p>
    <w:p>
      <w:pPr>
        <w:spacing w:before="80" w:after="160"/>
      </w:pPr>
      <w:r>
        <w:rPr>
          <w:color w:val="E5E7EB"/>
          <w:sz w:val="16"/>
        </w:rPr>
        <w:t>_________________________________________________________________________________</w:t>
      </w:r>
    </w:p>
    <w:p>
      <w:r>
        <w:br w:type="page"/>
      </w:r>
    </w:p>
    <w:p>
      <w:pPr>
        <w:pStyle w:val="Heading1"/>
      </w:pPr>
      <w:r>
        <w:t>2. SIGNIFICANCE</w:t>
      </w:r>
    </w:p>
    <w:p>
      <w:pPr>
        <w:pStyle w:val="Heading2"/>
      </w:pPr>
      <w:r>
        <w:t>2.1 The Multi-Billion Dollar Global Loss Landscape</w:t>
      </w:r>
    </w:p>
    <w:p>
      <w:pPr/>
      <w:r>
        <w:rPr>
          <w:rFonts w:ascii="Arial" w:hAnsi="Arial"/>
          <w:i w:val="0"/>
          <w:color w:val="1F2937"/>
          <w:sz w:val="21"/>
        </w:rPr>
        <w:t>Non-Technical Losses constitute one of the most severe financial drains on electric power utilities globally. According to international energy studies conducted by the World Bank, the International Energy Agency (IEA), and Northeast Group LLC:</w:t>
      </w:r>
    </w:p>
    <w:p>
      <w:pPr>
        <w:spacing w:before="20" w:after="40" w:line="288" w:lineRule="auto"/>
        <w:ind w:left="360" w:hanging="216"/>
      </w:pPr>
      <w:r>
        <w:rPr>
          <w:b/>
          <w:color w:val="2563EB"/>
        </w:rPr>
        <w:t xml:space="preserve">• </w:t>
      </w:r>
      <w:r>
        <w:rPr>
          <w:rFonts w:ascii="Arial" w:hAnsi="Arial"/>
          <w:i w:val="0"/>
          <w:color w:val="1F2937"/>
          <w:sz w:val="21"/>
        </w:rPr>
        <w:t xml:space="preserve">Global utility financial losses attributable to electricity theft and NTL exceed </w:t>
      </w:r>
      <w:r>
        <w:rPr>
          <w:rFonts w:ascii="Arial" w:hAnsi="Arial"/>
          <w:b/>
          <w:i w:val="0"/>
          <w:color w:val="1F2937"/>
          <w:sz w:val="21"/>
        </w:rPr>
        <w:t>\$96 billion annually</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 xml:space="preserve">In emerging economies across Latin America, South Asia, and Sub-Saharan Africa, NTL often accounts for </w:t>
      </w:r>
      <w:r>
        <w:rPr>
          <w:rFonts w:ascii="Arial" w:hAnsi="Arial"/>
          <w:b/>
          <w:i w:val="0"/>
          <w:color w:val="1F2937"/>
          <w:sz w:val="21"/>
        </w:rPr>
        <w:t>15% to 40%</w:t>
      </w:r>
      <w:r>
        <w:rPr>
          <w:rFonts w:ascii="Arial" w:hAnsi="Arial"/>
          <w:i w:val="0"/>
          <w:color w:val="1F2937"/>
          <w:sz w:val="21"/>
        </w:rPr>
        <w:t xml:space="preserve"> of total generated electricity, severely undermining the financial viability of power distribution companies (DISCOMs).</w:t>
      </w:r>
    </w:p>
    <w:p>
      <w:pPr>
        <w:spacing w:before="20" w:after="40" w:line="288" w:lineRule="auto"/>
        <w:ind w:left="360" w:hanging="216"/>
      </w:pPr>
      <w:r>
        <w:rPr>
          <w:b/>
          <w:color w:val="2563EB"/>
        </w:rPr>
        <w:t xml:space="preserve">• </w:t>
      </w:r>
      <w:r>
        <w:rPr>
          <w:rFonts w:ascii="Arial" w:hAnsi="Arial"/>
          <w:i w:val="0"/>
          <w:color w:val="1F2937"/>
          <w:sz w:val="21"/>
        </w:rPr>
        <w:t xml:space="preserve">Even in developed markets with extensive AMI deployments (such as North America and the European Union), NTL represents between </w:t>
      </w:r>
      <w:r>
        <w:rPr>
          <w:rFonts w:ascii="Arial" w:hAnsi="Arial"/>
          <w:b/>
          <w:i w:val="0"/>
          <w:color w:val="1F2937"/>
          <w:sz w:val="21"/>
        </w:rPr>
        <w:t>0.5% and 3.0%</w:t>
      </w:r>
      <w:r>
        <w:rPr>
          <w:rFonts w:ascii="Arial" w:hAnsi="Arial"/>
          <w:i w:val="0"/>
          <w:color w:val="1F2937"/>
          <w:sz w:val="21"/>
        </w:rPr>
        <w:t xml:space="preserve"> of gross revenue, translating to hundreds of millions of dollars in annual lost revenue.</w:t>
      </w:r>
    </w:p>
    <w:p>
      <w:pPr/>
      <w:r>
        <w:rPr>
          <w:rFonts w:ascii="Arial" w:hAnsi="Arial"/>
          <w:i w:val="0"/>
          <w:color w:val="1F2937"/>
          <w:sz w:val="21"/>
        </w:rPr>
        <w:t>When unmetered energy loss is left unmitigated, utilities are forced to cross-subsidize losses by inflating commercial and residential tariffs for honest paying consumers. Furthermore, unmetered electricity bypasses load-forecasting models, leading to unexpected local transformer overloads, insulation degradation, thermal failure, and unpredicted localized blackouts.</w:t>
      </w:r>
    </w:p>
    <w:p>
      <w:pPr>
        <w:pStyle w:val="Heading2"/>
      </w:pPr>
      <w:r>
        <w:t>2.2 Scarcity and Economic Constraints of Field Inspection Workforces</w:t>
      </w:r>
    </w:p>
    <w:p>
      <w:pPr/>
      <w:r>
        <w:rPr>
          <w:rFonts w:ascii="Arial" w:hAnsi="Arial"/>
          <w:i w:val="0"/>
          <w:color w:val="1F2937"/>
          <w:sz w:val="21"/>
        </w:rPr>
        <w:t>Electric utilities possess strictly finite physical inspection capacities. A medium-to-large distribution utility may service between 500,000 and 5,000,000 smart meters across vast metropolitan, suburban, and rural geographical territories. However, its dedicated revenue protection department typically maintains only 10 to 50 field inspection crews.</w:t>
      </w:r>
    </w:p>
    <w:p>
      <w:pPr/>
      <w:r>
        <w:rPr>
          <w:rFonts w:ascii="Arial" w:hAnsi="Arial"/>
          <w:i w:val="0"/>
          <w:color w:val="1F2937"/>
          <w:sz w:val="21"/>
        </w:rPr>
        <w:t>Each physical inspection entails substantial operational friction:</w:t>
      </w:r>
    </w:p>
    <w:p>
      <w:pPr>
        <w:spacing w:before="20" w:after="40" w:line="288" w:lineRule="auto"/>
        <w:ind w:left="360" w:hanging="216"/>
      </w:pPr>
      <w:r>
        <w:rPr>
          <w:b/>
          <w:color w:val="2563EB"/>
        </w:rPr>
        <w:t xml:space="preserve">• </w:t>
      </w:r>
      <w:r>
        <w:rPr>
          <w:rFonts w:ascii="Arial" w:hAnsi="Arial"/>
          <w:i w:val="0"/>
          <w:color w:val="1F2937"/>
          <w:sz w:val="21"/>
        </w:rPr>
        <w:t>Dispatching a two-person crew equipped with safety gear, calibrated portable test meters, and verification tools.</w:t>
      </w:r>
    </w:p>
    <w:p>
      <w:pPr>
        <w:spacing w:before="20" w:after="40" w:line="288" w:lineRule="auto"/>
        <w:ind w:left="360" w:hanging="216"/>
      </w:pPr>
      <w:r>
        <w:rPr>
          <w:b/>
          <w:color w:val="2563EB"/>
        </w:rPr>
        <w:t xml:space="preserve">• </w:t>
      </w:r>
      <w:r>
        <w:rPr>
          <w:rFonts w:ascii="Arial" w:hAnsi="Arial"/>
          <w:i w:val="0"/>
          <w:color w:val="1F2937"/>
          <w:sz w:val="21"/>
        </w:rPr>
        <w:t>Vehicular travel time and fuel across urban traffic or rugged rural feeders.</w:t>
      </w:r>
    </w:p>
    <w:p>
      <w:pPr>
        <w:spacing w:before="20" w:after="40" w:line="288" w:lineRule="auto"/>
        <w:ind w:left="360" w:hanging="216"/>
      </w:pPr>
      <w:r>
        <w:rPr>
          <w:b/>
          <w:color w:val="2563EB"/>
        </w:rPr>
        <w:t xml:space="preserve">• </w:t>
      </w:r>
      <w:r>
        <w:rPr>
          <w:rFonts w:ascii="Arial" w:hAnsi="Arial"/>
          <w:i w:val="0"/>
          <w:color w:val="1F2937"/>
          <w:sz w:val="21"/>
        </w:rPr>
        <w:t>Gaining physical access to the meter enclosure, requiring consumer presence or legal notices.</w:t>
      </w:r>
    </w:p>
    <w:p>
      <w:pPr>
        <w:spacing w:before="20" w:after="40" w:line="288" w:lineRule="auto"/>
        <w:ind w:left="360" w:hanging="216"/>
      </w:pPr>
      <w:r>
        <w:rPr>
          <w:b/>
          <w:color w:val="2563EB"/>
        </w:rPr>
        <w:t xml:space="preserve">• </w:t>
      </w:r>
      <w:r>
        <w:rPr>
          <w:rFonts w:ascii="Arial" w:hAnsi="Arial"/>
          <w:i w:val="0"/>
          <w:color w:val="1F2937"/>
          <w:sz w:val="21"/>
        </w:rPr>
        <w:t>Conducting electrical safety isolation, bypass inspection, seal integrity verification, and CT wiring diagnostics.</w:t>
      </w:r>
    </w:p>
    <w:p>
      <w:pPr/>
      <w:r>
        <w:rPr>
          <w:rFonts w:ascii="Arial" w:hAnsi="Arial"/>
          <w:i w:val="0"/>
          <w:color w:val="1F2937"/>
          <w:sz w:val="21"/>
        </w:rPr>
        <w:t xml:space="preserve">Given that a field crew can execute at most 4 to 8 rigorous on-site inspections per working day, the total annual dispatch capacity of a utility is typically capped at </w:t>
      </w:r>
      <w:r>
        <w:rPr>
          <w:rFonts w:ascii="Arial" w:hAnsi="Arial"/>
          <w:b/>
          <w:i w:val="0"/>
          <w:color w:val="1F2937"/>
          <w:sz w:val="21"/>
        </w:rPr>
        <w:t>1% to 3% of its total meter fleet</w:t>
      </w:r>
      <w:r>
        <w:rPr>
          <w:rFonts w:ascii="Arial" w:hAnsi="Arial"/>
          <w:i w:val="0"/>
          <w:color w:val="1F2937"/>
          <w:sz w:val="21"/>
        </w:rPr>
        <w:t>. Disseminating inspection work orders based on poor statistical algorithms that generate 80% false positives paralyzes workforce productivity and destroys field crew morale.</w:t>
      </w:r>
    </w:p>
    <w:p>
      <w:pPr>
        <w:pStyle w:val="Heading2"/>
      </w:pPr>
      <w:r>
        <w:t>2.3 The Asymmetric Cost Dilemma: False Positives vs. False Negatives</w:t>
      </w:r>
    </w:p>
    <w:p>
      <w:pPr/>
      <w:r>
        <w:rPr>
          <w:rFonts w:ascii="Arial" w:hAnsi="Arial"/>
          <w:i w:val="0"/>
          <w:color w:val="1F2937"/>
          <w:sz w:val="21"/>
        </w:rPr>
        <w:t>The core significance of Grid-Guard lies in its formal mathematical resolution of the asymmetric cost dilemma. Let $C(y, \hat{y})$ denote the financial cost incurred when true state $y \in \{0, 1\}$ is predicted as $\hat{y} \in \{0, 1\}$:</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State / Decision</w:t>
            </w:r>
          </w:p>
        </w:tc>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Predict Normal ($\hat{y} = 0$)</w:t>
            </w:r>
          </w:p>
        </w:tc>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Predict Tampering ($\hat{y} = 1$)</w:t>
            </w:r>
          </w:p>
        </w:tc>
      </w:tr>
      <w:tr>
        <w:trPr>
          <w:cantSplit/>
        </w:trPr>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Actual Normal ($y = 0$)</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$C_{00} = \$0$ (Correct inaction)</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$C_{01} = C_{\text{FP}} = C_{\text{dispatch}} \approx \$100$ (Wasted crew cost)</w:t>
            </w:r>
          </w:p>
        </w:tc>
      </w:tr>
      <w:tr>
        <w:trPr>
          <w:cantSplit/>
        </w:trPr>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Actual Tampering ($y = 1$)</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$C_{10} = C_{\text{FN}, i} = R_i$ (Lost revenue leakage)</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$C_{11} = C_{\text{TP}} = C_{\text{dispatch}} - R_i$ (Recovery net of cost)</w:t>
            </w:r>
          </w:p>
        </w:tc>
      </w:tr>
    </w:tbl>
    <w:p>
      <w:pPr>
        <w:spacing w:before="40" w:after="80"/>
      </w:pPr>
    </w:p>
    <w:p>
      <w:pPr/>
      <w:r>
        <w:rPr>
          <w:rFonts w:ascii="Arial" w:hAnsi="Arial"/>
          <w:i w:val="0"/>
          <w:color w:val="1F2937"/>
          <w:sz w:val="21"/>
        </w:rPr>
        <w:t xml:space="preserve">In conventional machine learning, $C_{\text{FP}}$ and $C_{\text{FN}}$ are treated as fixed constants ($C_{\text{FP}} = C_{\text{FN}} = 1$). In Grid-Guard, </w:t>
      </w:r>
      <w:r>
        <w:rPr>
          <w:rFonts w:ascii="Arial" w:hAnsi="Arial"/>
          <w:b/>
          <w:i w:val="0"/>
          <w:color w:val="1F2937"/>
          <w:sz w:val="21"/>
        </w:rPr>
        <w:t>$C_{\text{FN}, i}$ is treated as a consumer-specific random variable</w:t>
      </w:r>
      <w:r>
        <w:rPr>
          <w:rFonts w:ascii="Arial" w:hAnsi="Arial"/>
          <w:i w:val="0"/>
          <w:color w:val="1F2937"/>
          <w:sz w:val="21"/>
        </w:rPr>
        <w:t xml:space="preserve"> that scales directly with the consumer's historical baseline consumption and tariff rate. Overlooking a large commercial facility consuming $10,000$ kWh/month causes orders of magnitude more economic damage than overlooking a residential apartment consuming $150$ kWh/month. Grid-Guard aligns machine learning optimization directly with this asymmetric reality.</w:t>
      </w:r>
    </w:p>
    <w:p>
      <w:pPr>
        <w:pStyle w:val="Heading2"/>
      </w:pPr>
      <w:r>
        <w:t>2.4 The Burden of Extreme Natural Class Imbalance</w:t>
      </w:r>
    </w:p>
    <w:p>
      <w:pPr/>
      <w:r>
        <w:rPr>
          <w:rFonts w:ascii="Arial" w:hAnsi="Arial"/>
          <w:i w:val="0"/>
          <w:color w:val="1F2937"/>
          <w:sz w:val="21"/>
        </w:rPr>
        <w:t>In real-world AMI datasets, the vast majority of consumers (90% to 99%) do not tamper with their meters. The positive tampering class is inherently rare ($\pi \le 0.10$). Conventional classifiers trained on imbalanced data naturally converge to majority-class trivial solutions—predicting almost all meters as honest to achieve 92% raw accuracy while identifying 0% of theft events.</w:t>
      </w:r>
    </w:p>
    <w:p>
      <w:pPr/>
      <w:r>
        <w:rPr>
          <w:rFonts w:ascii="Arial" w:hAnsi="Arial"/>
          <w:i w:val="0"/>
          <w:color w:val="1F2937"/>
          <w:sz w:val="21"/>
        </w:rPr>
        <w:t>Standard remedies such as naive random oversampling duplicate identical records and cause severe tree overfitting, while synthetic minority oversampling (SMOTE) in tabular time series often generates unrealistic consumption patterns that violate physical energy conservation laws. Grid-Guard addresses this challenge by combining time-aware sampling benchmarks with direct financially weighted loss objectives that incentivize the booster to focus on high-consequence anomalies.</w:t>
      </w:r>
    </w:p>
    <w:p>
      <w:pPr>
        <w:pStyle w:val="Heading2"/>
      </w:pPr>
      <w:r>
        <w:t>2.5 Explainability as a Legal, Ethical, and Operational Mandate</w:t>
      </w:r>
    </w:p>
    <w:p>
      <w:pPr/>
      <w:r>
        <w:rPr>
          <w:rFonts w:ascii="Arial" w:hAnsi="Arial"/>
          <w:i w:val="0"/>
          <w:color w:val="1F2937"/>
          <w:sz w:val="21"/>
        </w:rPr>
        <w:t>When a utility dispatches an inspection crew and detects a physical tampering device, the utility frequently levies back-billing charges, administrative fines, or legal prosecution. In many regulatory jurisdictions, energy regulatory commissions (e.g., FERC in the United States, Ofgem in the United Kingdom, state electricity regulatory commissions in India) mandate that utilities provide clear, audited technical justification before issuing supplementary bills or disconnecting service.</w:t>
      </w:r>
    </w:p>
    <w:p>
      <w:pPr/>
      <w:r>
        <w:rPr>
          <w:rFonts w:ascii="Arial" w:hAnsi="Arial"/>
          <w:i w:val="0"/>
          <w:color w:val="1F2937"/>
          <w:sz w:val="21"/>
        </w:rPr>
        <w:t>A black-box neural network stating that a meter has a "0.89 risk score" is legally indefensible. Grid-Guard embeds Tree-SHAP local feature attributions, identified electrical tampering signatures, and counter-evidence metrics directly into every generated work order. This bridges the communication gap between automated data science algorithms and operational field personnel.</w:t>
      </w:r>
    </w:p>
    <w:p>
      <w:pPr>
        <w:pStyle w:val="Heading2"/>
      </w:pPr>
      <w:r>
        <w:t>2.6 Strategic Significance for Utility Grid Operations</w:t>
      </w:r>
    </w:p>
    <w:p>
      <w:pPr/>
      <w:r>
        <w:rPr>
          <w:rFonts w:ascii="Arial" w:hAnsi="Arial"/>
          <w:i w:val="0"/>
          <w:color w:val="1F2937"/>
          <w:sz w:val="21"/>
        </w:rPr>
        <w:t>By systematically prioritizing inspections based on Expected Net Value, Grid-Guard enables utilities to:</w:t>
      </w:r>
    </w:p>
    <w:p>
      <w:pPr>
        <w:spacing w:before="20" w:after="40" w:line="288" w:lineRule="auto"/>
        <w:ind w:left="360" w:hanging="216"/>
      </w:pPr>
      <w:r>
        <w:rPr>
          <w:b/>
          <w:color w:val="2563EB"/>
        </w:rPr>
        <w:t xml:space="preserve">• </w:t>
      </w:r>
      <w:r>
        <w:rPr>
          <w:rFonts w:ascii="Arial" w:hAnsi="Arial"/>
          <w:i w:val="0"/>
          <w:color w:val="1F2937"/>
          <w:sz w:val="21"/>
        </w:rPr>
        <w:t>Maximize recovered revenue per dispatched inspection crew hour.</w:t>
      </w:r>
    </w:p>
    <w:p>
      <w:pPr>
        <w:spacing w:before="20" w:after="40" w:line="288" w:lineRule="auto"/>
        <w:ind w:left="360" w:hanging="216"/>
      </w:pPr>
      <w:r>
        <w:rPr>
          <w:b/>
          <w:color w:val="2563EB"/>
        </w:rPr>
        <w:t xml:space="preserve">• </w:t>
      </w:r>
      <w:r>
        <w:rPr>
          <w:rFonts w:ascii="Arial" w:hAnsi="Arial"/>
          <w:i w:val="0"/>
          <w:color w:val="1F2937"/>
          <w:sz w:val="21"/>
        </w:rPr>
        <w:t>Minimize wasted operational expenditures on unmerited false alarm field dispatches.</w:t>
      </w:r>
    </w:p>
    <w:p>
      <w:pPr>
        <w:spacing w:before="20" w:after="40" w:line="288" w:lineRule="auto"/>
        <w:ind w:left="360" w:hanging="216"/>
      </w:pPr>
      <w:r>
        <w:rPr>
          <w:b/>
          <w:color w:val="2563EB"/>
        </w:rPr>
        <w:t xml:space="preserve">• </w:t>
      </w:r>
      <w:r>
        <w:rPr>
          <w:rFonts w:ascii="Arial" w:hAnsi="Arial"/>
          <w:i w:val="0"/>
          <w:color w:val="1F2937"/>
          <w:sz w:val="21"/>
        </w:rPr>
        <w:t>Protect grid asset health by eliminating undetected transformer overloading caused by unmetered loads.</w:t>
      </w:r>
    </w:p>
    <w:p>
      <w:pPr>
        <w:spacing w:before="20" w:after="40" w:line="288" w:lineRule="auto"/>
        <w:ind w:left="360" w:hanging="216"/>
      </w:pPr>
      <w:r>
        <w:rPr>
          <w:b/>
          <w:color w:val="2563EB"/>
        </w:rPr>
        <w:t xml:space="preserve">• </w:t>
      </w:r>
      <w:r>
        <w:rPr>
          <w:rFonts w:ascii="Arial" w:hAnsi="Arial"/>
          <w:i w:val="0"/>
          <w:color w:val="1F2937"/>
          <w:sz w:val="21"/>
        </w:rPr>
        <w:t>Enhance operational transparency and regulatory compliance through audited, explainable inspection work orders.</w:t>
      </w:r>
    </w:p>
    <w:p>
      <w:pPr>
        <w:spacing w:before="80" w:after="160"/>
      </w:pPr>
      <w:r>
        <w:rPr>
          <w:color w:val="E5E7EB"/>
          <w:sz w:val="16"/>
        </w:rPr>
        <w:t>_________________________________________________________________________________</w:t>
      </w:r>
    </w:p>
    <w:p>
      <w:r>
        <w:br w:type="page"/>
      </w:r>
    </w:p>
    <w:p>
      <w:pPr>
        <w:pStyle w:val="Heading1"/>
      </w:pPr>
      <w:r>
        <w:t>3. OBJECTIVES</w:t>
      </w:r>
    </w:p>
    <w:p>
      <w:pPr/>
      <w:r>
        <w:rPr>
          <w:rFonts w:ascii="Arial" w:hAnsi="Arial"/>
          <w:i w:val="0"/>
          <w:color w:val="1F2937"/>
          <w:sz w:val="21"/>
        </w:rPr>
        <w:t>The development of Grid-Guard was guided by clearly defined, measurable engineering and operational objectives spanning the complete lifecycle from data ingestion to user-facing dispatch visualization.</w:t>
      </w:r>
    </w:p>
    <w:p>
      <w:pPr>
        <w:pStyle w:val="Heading2"/>
      </w:pPr>
      <w:r>
        <w:t>3.1 Primary Project Goal</w:t>
      </w:r>
    </w:p>
    <w:p>
      <w:pPr/>
      <w:r>
        <w:rPr>
          <w:rFonts w:ascii="Arial" w:hAnsi="Arial"/>
          <w:i w:val="0"/>
          <w:color w:val="1F2937"/>
          <w:sz w:val="21"/>
        </w:rPr>
        <w:t>To design, implement, empirically validate, and deploy an end-to-end, financial-aware smart meter tampering and non-technical-loss detection platform that replaces naive statistical probability ranking with dynamic Expected Net Value (ENV) inspection prioritization.</w:t>
      </w:r>
    </w:p>
    <w:p>
      <w:pPr>
        <w:pStyle w:val="Heading2"/>
      </w:pPr>
      <w:r>
        <w:t>3.2 Technical and Machine Learning Objectives</w:t>
      </w:r>
    </w:p>
    <w:p>
      <w:pPr>
        <w:spacing w:before="40" w:after="40" w:line="288" w:lineRule="auto"/>
        <w:ind w:left="432" w:hanging="288"/>
      </w:pPr>
      <w:r>
        <w:rPr>
          <w:b/>
          <w:color w:val="1E3A8A"/>
        </w:rPr>
        <w:t xml:space="preserve">1. </w:t>
      </w:r>
      <w:r>
        <w:rPr>
          <w:rFonts w:ascii="Arial" w:hAnsi="Arial"/>
          <w:b/>
          <w:i w:val="0"/>
          <w:color w:val="1F2937"/>
          <w:sz w:val="21"/>
        </w:rPr>
        <w:t>Zero-Leakage Temporal Feature Engineering</w:t>
      </w:r>
      <w:r>
        <w:rPr>
          <w:rFonts w:ascii="Arial" w:hAnsi="Arial"/>
          <w:i w:val="0"/>
          <w:color w:val="1F2937"/>
          <w:sz w:val="21"/>
        </w:rPr>
        <w:t>: Construct a high-throughput, causal feature extraction pipeline that processes daily AMI consumption time series and computes 60 canonical temporal, statistical, and domain-heuristic features strictly respecting temporal causality.</w:t>
      </w:r>
    </w:p>
    <w:p>
      <w:pPr>
        <w:spacing w:before="40" w:after="40" w:line="288" w:lineRule="auto"/>
        <w:ind w:left="432" w:hanging="288"/>
      </w:pPr>
      <w:r>
        <w:rPr>
          <w:b/>
          <w:color w:val="1E3A8A"/>
        </w:rPr>
        <w:t xml:space="preserve">2. </w:t>
      </w:r>
      <w:r>
        <w:rPr>
          <w:rFonts w:ascii="Arial" w:hAnsi="Arial"/>
          <w:b/>
          <w:i w:val="0"/>
          <w:color w:val="1F2937"/>
          <w:sz w:val="21"/>
        </w:rPr>
        <w:t>Time-Aware Evaluation Protocol</w:t>
      </w:r>
      <w:r>
        <w:rPr>
          <w:rFonts w:ascii="Arial" w:hAnsi="Arial"/>
          <w:i w:val="0"/>
          <w:color w:val="1F2937"/>
          <w:sz w:val="21"/>
        </w:rPr>
        <w:t>: Establish a strict chronological train/validation/test partitioning protocol that eliminates future-data contamination, reflecting real-world utility deployment where models trained on historical data are evaluated on future billing cycles.</w:t>
      </w:r>
    </w:p>
    <w:p>
      <w:pPr>
        <w:spacing w:before="40" w:after="40" w:line="288" w:lineRule="auto"/>
        <w:ind w:left="432" w:hanging="288"/>
      </w:pPr>
      <w:r>
        <w:rPr>
          <w:b/>
          <w:color w:val="1E3A8A"/>
        </w:rPr>
        <w:t xml:space="preserve">3. </w:t>
      </w:r>
      <w:r>
        <w:rPr>
          <w:rFonts w:ascii="Arial" w:hAnsi="Arial"/>
          <w:b/>
          <w:i w:val="0"/>
          <w:color w:val="1F2937"/>
          <w:sz w:val="21"/>
        </w:rPr>
        <w:t>Class Imbalance Strategy</w:t>
      </w:r>
      <w:r>
        <w:rPr>
          <w:rFonts w:ascii="Arial" w:hAnsi="Arial"/>
          <w:i w:val="0"/>
          <w:color w:val="1F2937"/>
          <w:sz w:val="21"/>
        </w:rPr>
        <w:t>: Benchmark SMOTE, Tomek Links, and balanced class-weighting regimes against baseline unweighted models, quantifying precision-recall trade-offs under extreme minority prevalence ($\sim 8.5\%$).</w:t>
      </w:r>
    </w:p>
    <w:p>
      <w:pPr>
        <w:spacing w:before="40" w:after="40" w:line="288" w:lineRule="auto"/>
        <w:ind w:left="432" w:hanging="288"/>
      </w:pPr>
      <w:r>
        <w:rPr>
          <w:b/>
          <w:color w:val="1E3A8A"/>
        </w:rPr>
        <w:t xml:space="preserve">4. </w:t>
      </w:r>
      <w:r>
        <w:rPr>
          <w:rFonts w:ascii="Arial" w:hAnsi="Arial"/>
          <w:b/>
          <w:i w:val="0"/>
          <w:color w:val="1F2937"/>
          <w:sz w:val="21"/>
        </w:rPr>
        <w:t>Cost-Sensitive Learning Implementation</w:t>
      </w:r>
      <w:r>
        <w:rPr>
          <w:rFonts w:ascii="Arial" w:hAnsi="Arial"/>
          <w:i w:val="0"/>
          <w:color w:val="1F2937"/>
          <w:sz w:val="21"/>
        </w:rPr>
        <w:t>: Formulate and implement a custom, differentiable, financially weighted binary log-loss surrogate in LightGBM that weights individual training samples by their specific economic consequences ($w_i = C_{\text{FN}, i}$ for positives, $w_i = C_{\text{FP}}$ for negatives).</w:t>
      </w:r>
    </w:p>
    <w:p>
      <w:pPr>
        <w:spacing w:before="40" w:after="40" w:line="288" w:lineRule="auto"/>
        <w:ind w:left="432" w:hanging="288"/>
      </w:pPr>
      <w:r>
        <w:rPr>
          <w:b/>
          <w:color w:val="1E3A8A"/>
        </w:rPr>
        <w:t xml:space="preserve">5. </w:t>
      </w:r>
      <w:r>
        <w:rPr>
          <w:rFonts w:ascii="Arial" w:hAnsi="Arial"/>
          <w:b/>
          <w:i w:val="0"/>
          <w:color w:val="1F2937"/>
          <w:sz w:val="21"/>
        </w:rPr>
        <w:t>Exact Local Explainability</w:t>
      </w:r>
      <w:r>
        <w:rPr>
          <w:rFonts w:ascii="Arial" w:hAnsi="Arial"/>
          <w:i w:val="0"/>
          <w:color w:val="1F2937"/>
          <w:sz w:val="21"/>
        </w:rPr>
        <w:t>: Integrate Tree-SHAP to compute mathematically exact local Shapley feature attributions directly from tree structures in under 15 milliseconds per consumer, categorizing drivers into risk-increasing evidence and mitigating counter-evidence.</w:t>
      </w:r>
    </w:p>
    <w:p>
      <w:pPr>
        <w:spacing w:before="40" w:after="40" w:line="288" w:lineRule="auto"/>
        <w:ind w:left="432" w:hanging="288"/>
      </w:pPr>
      <w:r>
        <w:rPr>
          <w:b/>
          <w:color w:val="1E3A8A"/>
        </w:rPr>
        <w:t xml:space="preserve">6. </w:t>
      </w:r>
      <w:r>
        <w:rPr>
          <w:rFonts w:ascii="Arial" w:hAnsi="Arial"/>
          <w:b/>
          <w:i w:val="0"/>
          <w:color w:val="1F2937"/>
          <w:sz w:val="21"/>
        </w:rPr>
        <w:t>Heuristic Electrical Signature Extraction</w:t>
      </w:r>
      <w:r>
        <w:rPr>
          <w:rFonts w:ascii="Arial" w:hAnsi="Arial"/>
          <w:i w:val="0"/>
          <w:color w:val="1F2937"/>
          <w:sz w:val="21"/>
        </w:rPr>
        <w:t>: Implement rule-based detection engines that identify physical tampering signatures—including sustained step-down reductions, zero-variance flatlines, extended zero-usage streaks, and peer-group divergences.</w:t>
      </w:r>
    </w:p>
    <w:p>
      <w:pPr>
        <w:pStyle w:val="Heading2"/>
      </w:pPr>
      <w:r>
        <w:t>3.3 Financial and Operational Decisioning Objectives</w:t>
      </w:r>
    </w:p>
    <w:p>
      <w:pPr>
        <w:spacing w:before="40" w:after="40" w:line="288" w:lineRule="auto"/>
        <w:ind w:left="432" w:hanging="288"/>
      </w:pPr>
      <w:r>
        <w:rPr>
          <w:b/>
          <w:color w:val="1E3A8A"/>
        </w:rPr>
        <w:t xml:space="preserve">1. </w:t>
      </w:r>
      <w:r>
        <w:rPr>
          <w:rFonts w:ascii="Arial" w:hAnsi="Arial"/>
          <w:b/>
          <w:i w:val="0"/>
          <w:color w:val="1F2937"/>
          <w:sz w:val="21"/>
        </w:rPr>
        <w:t>Dynamic Financial Exposure Modeling</w:t>
      </w:r>
      <w:r>
        <w:rPr>
          <w:rFonts w:ascii="Arial" w:hAnsi="Arial"/>
          <w:i w:val="0"/>
          <w:color w:val="1F2937"/>
          <w:sz w:val="21"/>
        </w:rPr>
        <w:t>: Formulate a parameterized leakage estimation framework that calculates historical baseline consumption, observed recent deficit, and annual unmetered energy loss ($R_i = \text{Deficit} \times \text{Tariff} \times \text{Cycles} \times \text{RecoveryFactor}$).</w:t>
      </w:r>
    </w:p>
    <w:p>
      <w:pPr>
        <w:spacing w:before="40" w:after="40" w:line="288" w:lineRule="auto"/>
        <w:ind w:left="432" w:hanging="288"/>
      </w:pPr>
      <w:r>
        <w:rPr>
          <w:b/>
          <w:color w:val="1E3A8A"/>
        </w:rPr>
        <w:t xml:space="preserve">2. </w:t>
      </w:r>
      <w:r>
        <w:rPr>
          <w:rFonts w:ascii="Arial" w:hAnsi="Arial"/>
          <w:b/>
          <w:i w:val="0"/>
          <w:color w:val="1F2937"/>
          <w:sz w:val="21"/>
        </w:rPr>
        <w:t>Dynamic Threshold Derivation</w:t>
      </w:r>
      <w:r>
        <w:rPr>
          <w:rFonts w:ascii="Arial" w:hAnsi="Arial"/>
          <w:i w:val="0"/>
          <w:color w:val="1F2937"/>
          <w:sz w:val="21"/>
        </w:rPr>
        <w:t>: Implement both the theoretical Bayes cost-optimal decision threshold ($\tau_{\text{cost}, i} = C_{\text{dispatch}} / (C_{\text{dispatch}} + C_{\text{FN}, i})$) and the economic breakeven threshold ($\tau_{\text{env}, i} = C_{\text{dispatch}} / R_i$).</w:t>
      </w:r>
    </w:p>
    <w:p>
      <w:pPr>
        <w:spacing w:before="40" w:after="40" w:line="288" w:lineRule="auto"/>
        <w:ind w:left="432" w:hanging="288"/>
      </w:pPr>
      <w:r>
        <w:rPr>
          <w:b/>
          <w:color w:val="1E3A8A"/>
        </w:rPr>
        <w:t xml:space="preserve">3. </w:t>
      </w:r>
      <w:r>
        <w:rPr>
          <w:rFonts w:ascii="Arial" w:hAnsi="Arial"/>
          <w:b/>
          <w:i w:val="0"/>
          <w:color w:val="1F2937"/>
          <w:sz w:val="21"/>
        </w:rPr>
        <w:t>Prioritized Inspection Queue Generation</w:t>
      </w:r>
      <w:r>
        <w:rPr>
          <w:rFonts w:ascii="Arial" w:hAnsi="Arial"/>
          <w:i w:val="0"/>
          <w:color w:val="1F2937"/>
          <w:sz w:val="21"/>
        </w:rPr>
        <w:t>: Build an operational ranking engine that filters candidate meters by $\text{ENV}_i &gt; 0$, enforces workforce capacity limits, and sorts work orders in strictly descending order of expected net financial return.</w:t>
      </w:r>
    </w:p>
    <w:p>
      <w:pPr>
        <w:spacing w:before="40" w:after="40" w:line="288" w:lineRule="auto"/>
        <w:ind w:left="432" w:hanging="288"/>
      </w:pPr>
      <w:r>
        <w:rPr>
          <w:b/>
          <w:color w:val="1E3A8A"/>
        </w:rPr>
        <w:t xml:space="preserve">4. </w:t>
      </w:r>
      <w:r>
        <w:rPr>
          <w:rFonts w:ascii="Arial" w:hAnsi="Arial"/>
          <w:b/>
          <w:i w:val="0"/>
          <w:color w:val="1F2937"/>
          <w:sz w:val="21"/>
        </w:rPr>
        <w:t>Automated Field Work Order Ticket Compilation</w:t>
      </w:r>
      <w:r>
        <w:rPr>
          <w:rFonts w:ascii="Arial" w:hAnsi="Arial"/>
          <w:i w:val="0"/>
          <w:color w:val="1F2937"/>
          <w:sz w:val="21"/>
        </w:rPr>
        <w:t>: Generate deterministic, auditable inspection work order tickets containing unique ticket identifiers, consumer metadata, financial stakes, detected signatures, narrative explanations, and mandatory operational safety disclaimers.</w:t>
      </w:r>
    </w:p>
    <w:p>
      <w:pPr>
        <w:pStyle w:val="Heading2"/>
      </w:pPr>
      <w:r>
        <w:t>3.4 Production Engineering and System Objectives</w:t>
      </w:r>
    </w:p>
    <w:p>
      <w:pPr>
        <w:spacing w:before="40" w:after="40" w:line="288" w:lineRule="auto"/>
        <w:ind w:left="432" w:hanging="288"/>
      </w:pPr>
      <w:r>
        <w:rPr>
          <w:b/>
          <w:color w:val="1E3A8A"/>
        </w:rPr>
        <w:t xml:space="preserve">1. </w:t>
      </w:r>
      <w:r>
        <w:rPr>
          <w:rFonts w:ascii="Arial" w:hAnsi="Arial"/>
          <w:b/>
          <w:i w:val="0"/>
          <w:color w:val="1F2937"/>
          <w:sz w:val="21"/>
        </w:rPr>
        <w:t>Decoupled API Application Boundary</w:t>
      </w:r>
      <w:r>
        <w:rPr>
          <w:rFonts w:ascii="Arial" w:hAnsi="Arial"/>
          <w:i w:val="0"/>
          <w:color w:val="1F2937"/>
          <w:sz w:val="21"/>
        </w:rPr>
        <w:t>: Build an asynchronous, production-ready FastAPI backend encapsulating all feature generation, booster inference, dynamic decisioning, and SHAP attribution behind validated Pydantic V2 schemas.</w:t>
      </w:r>
    </w:p>
    <w:p>
      <w:pPr>
        <w:spacing w:before="40" w:after="40" w:line="288" w:lineRule="auto"/>
        <w:ind w:left="432" w:hanging="288"/>
      </w:pPr>
      <w:r>
        <w:rPr>
          <w:b/>
          <w:color w:val="1E3A8A"/>
        </w:rPr>
        <w:t xml:space="preserve">2. </w:t>
      </w:r>
      <w:r>
        <w:rPr>
          <w:rFonts w:ascii="Arial" w:hAnsi="Arial"/>
          <w:b/>
          <w:i w:val="0"/>
          <w:color w:val="1F2937"/>
          <w:sz w:val="21"/>
        </w:rPr>
        <w:t>Lifespan Model Pinning</w:t>
      </w:r>
      <w:r>
        <w:rPr>
          <w:rFonts w:ascii="Arial" w:hAnsi="Arial"/>
          <w:i w:val="0"/>
          <w:color w:val="1F2937"/>
          <w:sz w:val="21"/>
        </w:rPr>
        <w:t>: Implement FastAPI lifespan context handlers that pin LightGBM boosters and Tree-SHAP explainers in memory on server boot, guaranteeing sub-30ms P95 single-meter inference latency.</w:t>
      </w:r>
    </w:p>
    <w:p>
      <w:pPr>
        <w:spacing w:before="40" w:after="40" w:line="288" w:lineRule="auto"/>
        <w:ind w:left="432" w:hanging="288"/>
      </w:pPr>
      <w:r>
        <w:rPr>
          <w:b/>
          <w:color w:val="1E3A8A"/>
        </w:rPr>
        <w:t xml:space="preserve">3. </w:t>
      </w:r>
      <w:r>
        <w:rPr>
          <w:rFonts w:ascii="Arial" w:hAnsi="Arial"/>
          <w:b/>
          <w:i w:val="0"/>
          <w:color w:val="1F2937"/>
          <w:sz w:val="21"/>
        </w:rPr>
        <w:t>Operational Streamlit Dashboard</w:t>
      </w:r>
      <w:r>
        <w:rPr>
          <w:rFonts w:ascii="Arial" w:hAnsi="Arial"/>
          <w:i w:val="0"/>
          <w:color w:val="1F2937"/>
          <w:sz w:val="21"/>
        </w:rPr>
        <w:t>: Construct a modern, responsive user interface communicating strictly via REST HTTP calls to the FastAPI backend, providing fleet KPI overviews, filterable inspection tables, time-series visualizations with highlighted anomaly windows, SHAP waterfalls, and system health introspection.</w:t>
      </w:r>
    </w:p>
    <w:p>
      <w:pPr>
        <w:spacing w:before="40" w:after="40" w:line="288" w:lineRule="auto"/>
        <w:ind w:left="432" w:hanging="288"/>
      </w:pPr>
      <w:r>
        <w:rPr>
          <w:b/>
          <w:color w:val="1E3A8A"/>
        </w:rPr>
        <w:t xml:space="preserve">4. </w:t>
      </w:r>
      <w:r>
        <w:rPr>
          <w:rFonts w:ascii="Arial" w:hAnsi="Arial"/>
          <w:b/>
          <w:i w:val="0"/>
          <w:color w:val="1F2937"/>
          <w:sz w:val="21"/>
        </w:rPr>
        <w:t>Deterministic Demonstration Experience</w:t>
      </w:r>
      <w:r>
        <w:rPr>
          <w:rFonts w:ascii="Arial" w:hAnsi="Arial"/>
          <w:i w:val="0"/>
          <w:color w:val="1F2937"/>
          <w:sz w:val="21"/>
        </w:rPr>
        <w:t>: Provide pre-configured, synthetic smart-meter demonstration archetypes (Normal Residential, Sustained Step-Down, Flatline Invariance, High-Value Commercial, and High-Probability / Low-ENV Lifeline) enabling evaluator exploration without raw data configuration.</w:t>
      </w:r>
    </w:p>
    <w:p>
      <w:pPr>
        <w:spacing w:before="40" w:after="40" w:line="288" w:lineRule="auto"/>
        <w:ind w:left="432" w:hanging="288"/>
      </w:pPr>
      <w:r>
        <w:rPr>
          <w:b/>
          <w:color w:val="1E3A8A"/>
        </w:rPr>
        <w:t xml:space="preserve">5. </w:t>
      </w:r>
      <w:r>
        <w:rPr>
          <w:rFonts w:ascii="Arial" w:hAnsi="Arial"/>
          <w:b/>
          <w:i w:val="0"/>
          <w:color w:val="1F2937"/>
          <w:sz w:val="21"/>
        </w:rPr>
        <w:t>Reproducible Containerized Deployment</w:t>
      </w:r>
      <w:r>
        <w:rPr>
          <w:rFonts w:ascii="Arial" w:hAnsi="Arial"/>
          <w:i w:val="0"/>
          <w:color w:val="1F2937"/>
          <w:sz w:val="21"/>
        </w:rPr>
        <w:t>: Author production-grade Dockerfiles (</w:t>
      </w:r>
      <w:r>
        <w:rPr>
          <w:rFonts w:ascii="Consolas" w:hAnsi="Consolas"/>
          <w:i w:val="0"/>
          <w:color w:val="B91C1C"/>
          <w:sz w:val="19"/>
        </w:rPr>
        <w:t>Dockerfile.api</w:t>
      </w:r>
      <w:r>
        <w:rPr>
          <w:rFonts w:ascii="Arial" w:hAnsi="Arial"/>
          <w:i w:val="0"/>
          <w:color w:val="1F2937"/>
          <w:sz w:val="21"/>
        </w:rPr>
        <w:t xml:space="preserve">, </w:t>
      </w:r>
      <w:r>
        <w:rPr>
          <w:rFonts w:ascii="Consolas" w:hAnsi="Consolas"/>
          <w:i w:val="0"/>
          <w:color w:val="B91C1C"/>
          <w:sz w:val="19"/>
        </w:rPr>
        <w:t>Dockerfile.dashboard</w:t>
      </w:r>
      <w:r>
        <w:rPr>
          <w:rFonts w:ascii="Arial" w:hAnsi="Arial"/>
          <w:i w:val="0"/>
          <w:color w:val="1F2937"/>
          <w:sz w:val="21"/>
        </w:rPr>
        <w:t>) and multi-container orchestration manifests (</w:t>
      </w:r>
      <w:r>
        <w:rPr>
          <w:rFonts w:ascii="Consolas" w:hAnsi="Consolas"/>
          <w:i w:val="0"/>
          <w:color w:val="B91C1C"/>
          <w:sz w:val="19"/>
        </w:rPr>
        <w:t>docker-compose.yml</w:t>
      </w:r>
      <w:r>
        <w:rPr>
          <w:rFonts w:ascii="Arial" w:hAnsi="Arial"/>
          <w:i w:val="0"/>
          <w:color w:val="1F2937"/>
          <w:sz w:val="21"/>
        </w:rPr>
        <w:t>) enabling single-command containerized deployment.</w:t>
      </w:r>
    </w:p>
    <w:p>
      <w:pPr>
        <w:pStyle w:val="Heading2"/>
      </w:pPr>
      <w:r>
        <w:t>3.5 Empirical Evaluation and Benchmarking Objectives</w:t>
      </w:r>
    </w:p>
    <w:p>
      <w:pPr>
        <w:spacing w:before="40" w:after="40" w:line="288" w:lineRule="auto"/>
        <w:ind w:left="432" w:hanging="288"/>
      </w:pPr>
      <w:r>
        <w:rPr>
          <w:b/>
          <w:color w:val="1E3A8A"/>
        </w:rPr>
        <w:t xml:space="preserve">1. </w:t>
      </w:r>
      <w:r>
        <w:rPr>
          <w:rFonts w:ascii="Arial" w:hAnsi="Arial"/>
          <w:b/>
          <w:i w:val="0"/>
          <w:color w:val="1F2937"/>
          <w:sz w:val="21"/>
        </w:rPr>
        <w:t>Multi-Phase Performance Benchmark</w:t>
      </w:r>
      <w:r>
        <w:rPr>
          <w:rFonts w:ascii="Arial" w:hAnsi="Arial"/>
          <w:i w:val="0"/>
          <w:color w:val="1F2937"/>
          <w:sz w:val="21"/>
        </w:rPr>
        <w:t>: Conduct an exhaustive comparative evaluation across Phase 4 (Unweighted Baseline), Phase 5 (Imbalance Strategy), and Phase 6 (Cost-Sensitive Learning), tracking PR-AUC, ROC-AUC, Precision@K ($K \in \{10, 50, 100, 500, 1000\}$), and Total Operational Loss.</w:t>
      </w:r>
    </w:p>
    <w:p>
      <w:pPr>
        <w:spacing w:before="40" w:after="40" w:line="288" w:lineRule="auto"/>
        <w:ind w:left="432" w:hanging="288"/>
      </w:pPr>
      <w:r>
        <w:rPr>
          <w:b/>
          <w:color w:val="1E3A8A"/>
        </w:rPr>
        <w:t xml:space="preserve">2. </w:t>
      </w:r>
      <w:r>
        <w:rPr>
          <w:rFonts w:ascii="Arial" w:hAnsi="Arial"/>
          <w:b/>
          <w:i w:val="0"/>
          <w:color w:val="1F2937"/>
          <w:sz w:val="21"/>
        </w:rPr>
        <w:t>Policy Benchmark on Fleet Queue</w:t>
      </w:r>
      <w:r>
        <w:rPr>
          <w:rFonts w:ascii="Arial" w:hAnsi="Arial"/>
          <w:i w:val="0"/>
          <w:color w:val="1F2937"/>
          <w:sz w:val="21"/>
        </w:rPr>
        <w:t>: Compare the dynamic ENV decision policy against conventional Fixed 0.5 Thresholding and Bayes Cost Thresholding on 42,372 candidate meters, verifying that dynamic ENV achieves the highest net recovery and lowest realized operational loss.</w:t>
      </w:r>
    </w:p>
    <w:p>
      <w:pPr>
        <w:spacing w:before="40" w:after="40" w:line="288" w:lineRule="auto"/>
        <w:ind w:left="432" w:hanging="288"/>
      </w:pPr>
      <w:r>
        <w:rPr>
          <w:b/>
          <w:color w:val="1E3A8A"/>
        </w:rPr>
        <w:t xml:space="preserve">3. </w:t>
      </w:r>
      <w:r>
        <w:rPr>
          <w:rFonts w:ascii="Arial" w:hAnsi="Arial"/>
          <w:b/>
          <w:i w:val="0"/>
          <w:color w:val="1F2937"/>
          <w:sz w:val="21"/>
        </w:rPr>
        <w:t>Code Quality and Regression Assurance</w:t>
      </w:r>
      <w:r>
        <w:rPr>
          <w:rFonts w:ascii="Arial" w:hAnsi="Arial"/>
          <w:i w:val="0"/>
          <w:color w:val="1F2937"/>
          <w:sz w:val="21"/>
        </w:rPr>
        <w:t>: Maintain a comprehensive test suite (unit, integration, end-to-end) exceeding 150 automated test cases with 100% pass rate and zero Ruff linter errors across the entire codebase.</w:t>
      </w:r>
    </w:p>
    <w:p>
      <w:pPr>
        <w:spacing w:before="80" w:after="160"/>
      </w:pPr>
      <w:r>
        <w:rPr>
          <w:color w:val="E5E7EB"/>
          <w:sz w:val="16"/>
        </w:rPr>
        <w:t>_________________________________________________________________________________</w:t>
      </w:r>
    </w:p>
    <w:p>
      <w:r>
        <w:br w:type="page"/>
      </w:r>
    </w:p>
    <w:p>
      <w:pPr>
        <w:pStyle w:val="Heading1"/>
      </w:pPr>
      <w:r>
        <w:t>4. PURPOSE AND SCOPE</w:t>
      </w:r>
    </w:p>
    <w:p>
      <w:pPr>
        <w:pStyle w:val="Heading2"/>
      </w:pPr>
      <w:r>
        <w:t>4.1 Fundamental Purpose</w:t>
      </w:r>
    </w:p>
    <w:p>
      <w:pPr/>
      <w:r>
        <w:rPr>
          <w:rFonts w:ascii="Arial" w:hAnsi="Arial"/>
          <w:i w:val="0"/>
          <w:color w:val="1F2937"/>
          <w:sz w:val="21"/>
        </w:rPr>
        <w:t>The purpose of Grid-Guard is to bridge the chasm between statistical machine learning theory and utility operational reality. In utility revenue protection, a machine learning model is not an end in itself; it is a decision-support mechanism for allocating scarce, expensive physical inspection crews to maximize unmetered revenue recovery. Grid-Guard was engineered to provide distribution utilities with a modular, scalable, financially rational, and legally defensible platform for managing the entire non-technical-loss detection and dispatch lifecycle.</w:t>
      </w:r>
    </w:p>
    <w:p>
      <w:pPr>
        <w:pStyle w:val="Heading2"/>
      </w:pPr>
      <w:r>
        <w:t>4.2 In-Scope Implementation Deliverables (Phases 1–10)</w:t>
      </w:r>
    </w:p>
    <w:p>
      <w:pPr/>
      <w:r>
        <w:rPr>
          <w:rFonts w:ascii="Arial" w:hAnsi="Arial"/>
          <w:i w:val="0"/>
          <w:color w:val="1F2937"/>
          <w:sz w:val="21"/>
        </w:rPr>
        <w:t>The following capabilities were fully designed, implemented, tested, and validated as part of the Grid-Guard repository:</w:t>
      </w:r>
    </w:p>
    <w:p>
      <w:pPr>
        <w:spacing w:before="20" w:after="40" w:line="288" w:lineRule="auto"/>
        <w:ind w:left="360" w:hanging="216"/>
      </w:pPr>
      <w:r>
        <w:rPr>
          <w:b/>
          <w:color w:val="2563EB"/>
        </w:rPr>
        <w:t xml:space="preserve">• </w:t>
      </w:r>
      <w:r>
        <w:rPr>
          <w:rFonts w:ascii="Arial" w:hAnsi="Arial"/>
          <w:b/>
          <w:i w:val="0"/>
          <w:color w:val="1F2937"/>
          <w:sz w:val="21"/>
        </w:rPr>
        <w:t>Data Ingestion &amp; Cleaning</w:t>
      </w:r>
      <w:r>
        <w:rPr>
          <w:rFonts w:ascii="Arial" w:hAnsi="Arial"/>
          <w:i w:val="0"/>
          <w:color w:val="1F2937"/>
          <w:sz w:val="21"/>
        </w:rPr>
        <w:t>: High-throughput Polars pipeline validating daily consumption readings, enforcing schema contracts, repairing missing records via localized bounded interpolation, and eliminating corrupt records.</w:t>
      </w:r>
    </w:p>
    <w:p>
      <w:pPr>
        <w:spacing w:before="20" w:after="40" w:line="288" w:lineRule="auto"/>
        <w:ind w:left="360" w:hanging="216"/>
      </w:pPr>
      <w:r>
        <w:rPr>
          <w:b/>
          <w:color w:val="2563EB"/>
        </w:rPr>
        <w:t xml:space="preserve">• </w:t>
      </w:r>
      <w:r>
        <w:rPr>
          <w:rFonts w:ascii="Arial" w:hAnsi="Arial"/>
          <w:b/>
          <w:i w:val="0"/>
          <w:color w:val="1F2937"/>
          <w:sz w:val="21"/>
        </w:rPr>
        <w:t>Temporal Feature Engineering</w:t>
      </w:r>
      <w:r>
        <w:rPr>
          <w:rFonts w:ascii="Arial" w:hAnsi="Arial"/>
          <w:i w:val="0"/>
          <w:color w:val="1F2937"/>
          <w:sz w:val="21"/>
        </w:rPr>
        <w:t>: Automated computation of 60 causal features spanning multiple rolling windows (7d, 14d, 30d, 60d, 90d, 180d), calendar cycles, short-term lags, and variability metrics.</w:t>
      </w:r>
    </w:p>
    <w:p>
      <w:pPr>
        <w:spacing w:before="20" w:after="40" w:line="288" w:lineRule="auto"/>
        <w:ind w:left="360" w:hanging="216"/>
      </w:pPr>
      <w:r>
        <w:rPr>
          <w:b/>
          <w:color w:val="2563EB"/>
        </w:rPr>
        <w:t xml:space="preserve">• </w:t>
      </w:r>
      <w:r>
        <w:rPr>
          <w:rFonts w:ascii="Arial" w:hAnsi="Arial"/>
          <w:b/>
          <w:i w:val="0"/>
          <w:color w:val="1F2937"/>
          <w:sz w:val="21"/>
        </w:rPr>
        <w:t>Model Training &amp; Optimization</w:t>
      </w:r>
      <w:r>
        <w:rPr>
          <w:rFonts w:ascii="Arial" w:hAnsi="Arial"/>
          <w:i w:val="0"/>
          <w:color w:val="1F2937"/>
          <w:sz w:val="21"/>
        </w:rPr>
        <w:t>: Training unweighted baseline, SMOTE-Tomek balanced, and financially weighted cost-sensitive LightGBM classifiers on historical AMI time series.</w:t>
      </w:r>
    </w:p>
    <w:p>
      <w:pPr>
        <w:spacing w:before="20" w:after="40" w:line="288" w:lineRule="auto"/>
        <w:ind w:left="360" w:hanging="216"/>
      </w:pPr>
      <w:r>
        <w:rPr>
          <w:b/>
          <w:color w:val="2563EB"/>
        </w:rPr>
        <w:t xml:space="preserve">• </w:t>
      </w:r>
      <w:r>
        <w:rPr>
          <w:rFonts w:ascii="Arial" w:hAnsi="Arial"/>
          <w:b/>
          <w:i w:val="0"/>
          <w:color w:val="1F2937"/>
          <w:sz w:val="21"/>
        </w:rPr>
        <w:t>Financial Cost Matrix &amp; Leakage Estimator</w:t>
      </w:r>
      <w:r>
        <w:rPr>
          <w:rFonts w:ascii="Arial" w:hAnsi="Arial"/>
          <w:i w:val="0"/>
          <w:color w:val="1F2937"/>
          <w:sz w:val="21"/>
        </w:rPr>
        <w:t>: Formal models for calculating consumer-specific unmetered revenue exposure, crew dispatch costs, and total operational losses.</w:t>
      </w:r>
    </w:p>
    <w:p>
      <w:pPr>
        <w:spacing w:before="20" w:after="40" w:line="288" w:lineRule="auto"/>
        <w:ind w:left="360" w:hanging="216"/>
      </w:pPr>
      <w:r>
        <w:rPr>
          <w:b/>
          <w:color w:val="2563EB"/>
        </w:rPr>
        <w:t xml:space="preserve">• </w:t>
      </w:r>
      <w:r>
        <w:rPr>
          <w:rFonts w:ascii="Arial" w:hAnsi="Arial"/>
          <w:b/>
          <w:i w:val="0"/>
          <w:color w:val="1F2937"/>
          <w:sz w:val="21"/>
        </w:rPr>
        <w:t>Dynamic Decision Engine</w:t>
      </w:r>
      <w:r>
        <w:rPr>
          <w:rFonts w:ascii="Arial" w:hAnsi="Arial"/>
          <w:i w:val="0"/>
          <w:color w:val="1F2937"/>
          <w:sz w:val="21"/>
        </w:rPr>
        <w:t>: Mathematical computation of dynamic thresholds and Expected Net Value, ranking 42,372 meters into prioritized work orders.</w:t>
      </w:r>
    </w:p>
    <w:p>
      <w:pPr>
        <w:spacing w:before="20" w:after="40" w:line="288" w:lineRule="auto"/>
        <w:ind w:left="360" w:hanging="216"/>
      </w:pPr>
      <w:r>
        <w:rPr>
          <w:b/>
          <w:color w:val="2563EB"/>
        </w:rPr>
        <w:t xml:space="preserve">• </w:t>
      </w:r>
      <w:r>
        <w:rPr>
          <w:rFonts w:ascii="Arial" w:hAnsi="Arial"/>
          <w:b/>
          <w:i w:val="0"/>
          <w:color w:val="1F2937"/>
          <w:sz w:val="21"/>
        </w:rPr>
        <w:t>Explainability &amp; Tampering Signatures</w:t>
      </w:r>
      <w:r>
        <w:rPr>
          <w:rFonts w:ascii="Arial" w:hAnsi="Arial"/>
          <w:i w:val="0"/>
          <w:color w:val="1F2937"/>
          <w:sz w:val="21"/>
        </w:rPr>
        <w:t>: Exact Tree-SHAP local feature attribution, detection of four distinct physical tampering signatures, and human-readable narrative generation.</w:t>
      </w:r>
    </w:p>
    <w:p>
      <w:pPr>
        <w:spacing w:before="20" w:after="40" w:line="288" w:lineRule="auto"/>
        <w:ind w:left="360" w:hanging="216"/>
      </w:pPr>
      <w:r>
        <w:rPr>
          <w:b/>
          <w:color w:val="2563EB"/>
        </w:rPr>
        <w:t xml:space="preserve">• </w:t>
      </w:r>
      <w:r>
        <w:rPr>
          <w:rFonts w:ascii="Arial" w:hAnsi="Arial"/>
          <w:b/>
          <w:i w:val="0"/>
          <w:color w:val="1F2937"/>
          <w:sz w:val="21"/>
        </w:rPr>
        <w:t>FastAPI Backend</w:t>
      </w:r>
      <w:r>
        <w:rPr>
          <w:rFonts w:ascii="Arial" w:hAnsi="Arial"/>
          <w:i w:val="0"/>
          <w:color w:val="1F2937"/>
          <w:sz w:val="21"/>
        </w:rPr>
        <w:t>: Complete REST API exposing endpoints for health checks, model introspection, single/batch prediction, work order ticket generation, and prioritized queue queries.</w:t>
      </w:r>
    </w:p>
    <w:p>
      <w:pPr>
        <w:spacing w:before="20" w:after="40" w:line="288" w:lineRule="auto"/>
        <w:ind w:left="360" w:hanging="216"/>
      </w:pPr>
      <w:r>
        <w:rPr>
          <w:b/>
          <w:color w:val="2563EB"/>
        </w:rPr>
        <w:t xml:space="preserve">• </w:t>
      </w:r>
      <w:r>
        <w:rPr>
          <w:rFonts w:ascii="Arial" w:hAnsi="Arial"/>
          <w:b/>
          <w:i w:val="0"/>
          <w:color w:val="1F2937"/>
          <w:sz w:val="21"/>
        </w:rPr>
        <w:t>Streamlit Operational Dashboard</w:t>
      </w:r>
      <w:r>
        <w:rPr>
          <w:rFonts w:ascii="Arial" w:hAnsi="Arial"/>
          <w:i w:val="0"/>
          <w:color w:val="1F2937"/>
          <w:sz w:val="21"/>
        </w:rPr>
        <w:t>: Multi-view operational dashboard featuring Fleet Overview, Inspection Queue, Meter Analysis, Model Insights, and System Status.</w:t>
      </w:r>
    </w:p>
    <w:p>
      <w:pPr>
        <w:spacing w:before="20" w:after="40" w:line="288" w:lineRule="auto"/>
        <w:ind w:left="360" w:hanging="216"/>
      </w:pPr>
      <w:r>
        <w:rPr>
          <w:b/>
          <w:color w:val="2563EB"/>
        </w:rPr>
        <w:t xml:space="preserve">• </w:t>
      </w:r>
      <w:r>
        <w:rPr>
          <w:rFonts w:ascii="Arial" w:hAnsi="Arial"/>
          <w:b/>
          <w:i w:val="0"/>
          <w:color w:val="1F2937"/>
          <w:sz w:val="21"/>
        </w:rPr>
        <w:t>Demonstration Suite</w:t>
      </w:r>
      <w:r>
        <w:rPr>
          <w:rFonts w:ascii="Arial" w:hAnsi="Arial"/>
          <w:i w:val="0"/>
          <w:color w:val="1F2937"/>
          <w:sz w:val="21"/>
        </w:rPr>
        <w:t>: 5 synthetic, clearly labeled smart-meter demo archetypes demonstrating normal, anomalous, high-value, and economic-breakeven behaviors.</w:t>
      </w:r>
    </w:p>
    <w:p>
      <w:pPr>
        <w:spacing w:before="20" w:after="40" w:line="288" w:lineRule="auto"/>
        <w:ind w:left="360" w:hanging="216"/>
      </w:pPr>
      <w:r>
        <w:rPr>
          <w:b/>
          <w:color w:val="2563EB"/>
        </w:rPr>
        <w:t xml:space="preserve">• </w:t>
      </w:r>
      <w:r>
        <w:rPr>
          <w:rFonts w:ascii="Arial" w:hAnsi="Arial"/>
          <w:b/>
          <w:i w:val="0"/>
          <w:color w:val="1F2937"/>
          <w:sz w:val="21"/>
        </w:rPr>
        <w:t>Containerization &amp; Deployment Manifests</w:t>
      </w:r>
      <w:r>
        <w:rPr>
          <w:rFonts w:ascii="Arial" w:hAnsi="Arial"/>
          <w:i w:val="0"/>
          <w:color w:val="1F2937"/>
          <w:sz w:val="21"/>
        </w:rPr>
        <w:t>: Dockerfiles and Docker Compose configuration for multi-service local deployment.</w:t>
      </w:r>
    </w:p>
    <w:p>
      <w:pPr>
        <w:spacing w:before="20" w:after="40" w:line="288" w:lineRule="auto"/>
        <w:ind w:left="360" w:hanging="216"/>
      </w:pPr>
      <w:r>
        <w:rPr>
          <w:b/>
          <w:color w:val="2563EB"/>
        </w:rPr>
        <w:t xml:space="preserve">• </w:t>
      </w:r>
      <w:r>
        <w:rPr>
          <w:rFonts w:ascii="Arial" w:hAnsi="Arial"/>
          <w:b/>
          <w:i w:val="0"/>
          <w:color w:val="1F2937"/>
          <w:sz w:val="21"/>
        </w:rPr>
        <w:t>Automated Testing Suite</w:t>
      </w:r>
      <w:r>
        <w:rPr>
          <w:rFonts w:ascii="Arial" w:hAnsi="Arial"/>
          <w:i w:val="0"/>
          <w:color w:val="1F2937"/>
          <w:sz w:val="21"/>
        </w:rPr>
        <w:t>: 162 automated unit, integration, and end-to-end tests validating mathematical consistency, API contracts, and schema integrity.</w:t>
      </w:r>
    </w:p>
    <w:p>
      <w:pPr>
        <w:pStyle w:val="Heading2"/>
      </w:pPr>
      <w:r>
        <w:t>4.3 Explicit Out-of-Scope Boundaries and Assumptions</w:t>
      </w:r>
    </w:p>
    <w:p>
      <w:pPr/>
      <w:r>
        <w:rPr>
          <w:rFonts w:ascii="Arial" w:hAnsi="Arial"/>
          <w:i w:val="0"/>
          <w:color w:val="1F2937"/>
          <w:sz w:val="21"/>
        </w:rPr>
        <w:t>To ensure rigorous focus and engineering integrity, the following areas were explicitly established as out-of-scope for the current implementation:</w:t>
      </w:r>
    </w:p>
    <w:p>
      <w:pPr>
        <w:spacing w:before="40" w:after="40" w:line="288" w:lineRule="auto"/>
        <w:ind w:left="432" w:hanging="288"/>
      </w:pPr>
      <w:r>
        <w:rPr>
          <w:b/>
          <w:color w:val="1E3A8A"/>
        </w:rPr>
        <w:t xml:space="preserve">1. </w:t>
      </w:r>
      <w:r>
        <w:rPr>
          <w:rFonts w:ascii="Arial" w:hAnsi="Arial"/>
          <w:b/>
          <w:i w:val="0"/>
          <w:color w:val="1F2937"/>
          <w:sz w:val="21"/>
        </w:rPr>
        <w:t>Sub-Daily Telemetry (15-minute / SCADA Ingestion)</w:t>
      </w:r>
      <w:r>
        <w:rPr>
          <w:rFonts w:ascii="Arial" w:hAnsi="Arial"/>
          <w:i w:val="0"/>
          <w:color w:val="1F2937"/>
          <w:sz w:val="21"/>
        </w:rPr>
        <w:t>: The current implementation operates strictly on daily cumulative consumption aggregates (kWh/day). Processing sub-daily high-frequency active power, reactive power, power factor, or phase angle waveforms was excluded.</w:t>
      </w:r>
    </w:p>
    <w:p>
      <w:pPr>
        <w:spacing w:before="40" w:after="40" w:line="288" w:lineRule="auto"/>
        <w:ind w:left="432" w:hanging="288"/>
      </w:pPr>
      <w:r>
        <w:rPr>
          <w:b/>
          <w:color w:val="1E3A8A"/>
        </w:rPr>
        <w:t xml:space="preserve">2. </w:t>
      </w:r>
      <w:r>
        <w:rPr>
          <w:rFonts w:ascii="Arial" w:hAnsi="Arial"/>
          <w:b/>
          <w:i w:val="0"/>
          <w:color w:val="1F2937"/>
          <w:sz w:val="21"/>
        </w:rPr>
        <w:t>Physical Smart Meter Hardware Telemetry</w:t>
      </w:r>
      <w:r>
        <w:rPr>
          <w:rFonts w:ascii="Arial" w:hAnsi="Arial"/>
          <w:i w:val="0"/>
          <w:color w:val="1F2937"/>
          <w:sz w:val="21"/>
        </w:rPr>
        <w:t>: The system does not ingest physical hardware sensor flags (such as optical cover opening switches, magnetic tilt sensors, reverse current flow indicators, or neutral disconnect alarms). It operates strictly on recorded consumption time series.</w:t>
      </w:r>
    </w:p>
    <w:p>
      <w:pPr>
        <w:spacing w:before="40" w:after="40" w:line="288" w:lineRule="auto"/>
        <w:ind w:left="432" w:hanging="288"/>
      </w:pPr>
      <w:r>
        <w:rPr>
          <w:b/>
          <w:color w:val="1E3A8A"/>
        </w:rPr>
        <w:t xml:space="preserve">3. </w:t>
      </w:r>
      <w:r>
        <w:rPr>
          <w:rFonts w:ascii="Arial" w:hAnsi="Arial"/>
          <w:b/>
          <w:i w:val="0"/>
          <w:color w:val="1F2937"/>
          <w:sz w:val="21"/>
        </w:rPr>
        <w:t>Geospatial GIS Routing &amp; Vehicle Routing Optimization</w:t>
      </w:r>
      <w:r>
        <w:rPr>
          <w:rFonts w:ascii="Arial" w:hAnsi="Arial"/>
          <w:i w:val="0"/>
          <w:color w:val="1F2937"/>
          <w:sz w:val="21"/>
        </w:rPr>
        <w:t>: While Grid-Guard prioritizes which meters to inspect based on ENV, it does not calculate optimal traveling-salesperson GPS transit routes or cluster dispatches by physical street topology.</w:t>
      </w:r>
    </w:p>
    <w:p>
      <w:pPr>
        <w:spacing w:before="40" w:after="40" w:line="288" w:lineRule="auto"/>
        <w:ind w:left="432" w:hanging="288"/>
      </w:pPr>
      <w:r>
        <w:rPr>
          <w:b/>
          <w:color w:val="1E3A8A"/>
        </w:rPr>
        <w:t xml:space="preserve">4. </w:t>
      </w:r>
      <w:r>
        <w:rPr>
          <w:rFonts w:ascii="Arial" w:hAnsi="Arial"/>
          <w:b/>
          <w:i w:val="0"/>
          <w:color w:val="1F2937"/>
          <w:sz w:val="21"/>
        </w:rPr>
        <w:t>Automated Remote Service Disconnection</w:t>
      </w:r>
      <w:r>
        <w:rPr>
          <w:rFonts w:ascii="Arial" w:hAnsi="Arial"/>
          <w:i w:val="0"/>
          <w:color w:val="1F2937"/>
          <w:sz w:val="21"/>
        </w:rPr>
        <w:t>: Grid-Guard produces field inspection work order tickets. It intentionally does not execute automated remote relay disconnections, adhering to standard utility regulatory safeguards that require physical on-site human verification.</w:t>
      </w:r>
    </w:p>
    <w:p>
      <w:pPr>
        <w:spacing w:before="40" w:after="40" w:line="288" w:lineRule="auto"/>
        <w:ind w:left="432" w:hanging="288"/>
      </w:pPr>
      <w:r>
        <w:rPr>
          <w:b/>
          <w:color w:val="1E3A8A"/>
        </w:rPr>
        <w:t xml:space="preserve">5. </w:t>
      </w:r>
      <w:r>
        <w:rPr>
          <w:rFonts w:ascii="Arial" w:hAnsi="Arial"/>
          <w:b/>
          <w:i w:val="0"/>
          <w:color w:val="1F2937"/>
          <w:sz w:val="21"/>
        </w:rPr>
        <w:t>Real-Time Enterprise Utility ERP Integration</w:t>
      </w:r>
      <w:r>
        <w:rPr>
          <w:rFonts w:ascii="Arial" w:hAnsi="Arial"/>
          <w:i w:val="0"/>
          <w:color w:val="1F2937"/>
          <w:sz w:val="21"/>
        </w:rPr>
        <w:t>: Direct database connectors to proprietary commercial utility billing engines (e.g., SAP for Utilities, Oracle CC&amp;B) were not built. The platform exposes standard JSON REST APIs and CSV export capabilities.</w:t>
      </w:r>
    </w:p>
    <w:p>
      <w:pPr>
        <w:spacing w:before="40" w:after="40" w:line="288" w:lineRule="auto"/>
        <w:ind w:left="432" w:hanging="288"/>
      </w:pPr>
      <w:r>
        <w:rPr>
          <w:b/>
          <w:color w:val="1E3A8A"/>
        </w:rPr>
        <w:t xml:space="preserve">6. </w:t>
      </w:r>
      <w:r>
        <w:rPr>
          <w:rFonts w:ascii="Arial" w:hAnsi="Arial"/>
          <w:b/>
          <w:i w:val="0"/>
          <w:color w:val="1F2937"/>
          <w:sz w:val="21"/>
        </w:rPr>
        <w:t>External Cloud Credential Provisioning</w:t>
      </w:r>
      <w:r>
        <w:rPr>
          <w:rFonts w:ascii="Arial" w:hAnsi="Arial"/>
          <w:i w:val="0"/>
          <w:color w:val="1F2937"/>
          <w:sz w:val="21"/>
        </w:rPr>
        <w:t>: Grid-Guard provides container manifests and local deployment scripts; provisioning cloud infrastructure accounts (AWS, GCP, Azure), DNS routing, and TLS certificates remains the responsibility of the adopting organization.</w:t>
      </w:r>
    </w:p>
    <w:p>
      <w:pPr>
        <w:spacing w:before="80" w:after="160"/>
      </w:pPr>
      <w:r>
        <w:rPr>
          <w:color w:val="E5E7EB"/>
          <w:sz w:val="16"/>
        </w:rPr>
        <w:t>_________________________________________________________________________________</w:t>
      </w:r>
    </w:p>
    <w:p>
      <w:r>
        <w:br w:type="page"/>
      </w:r>
    </w:p>
    <w:p>
      <w:pPr>
        <w:pStyle w:val="Heading1"/>
      </w:pPr>
      <w:r>
        <w:t>5. APPLICABILITY</w:t>
      </w:r>
    </w:p>
    <w:p>
      <w:pPr>
        <w:pStyle w:val="Heading2"/>
      </w:pPr>
      <w:r>
        <w:t>5.1 Power Distribution Companies (DISCOMs) &amp; Utilities</w:t>
      </w:r>
    </w:p>
    <w:p>
      <w:pPr/>
      <w:r>
        <w:rPr>
          <w:rFonts w:ascii="Arial" w:hAnsi="Arial"/>
          <w:i w:val="0"/>
          <w:color w:val="1F2937"/>
          <w:sz w:val="21"/>
        </w:rPr>
        <w:t>Grid-Guard is directly applicable to electric power distribution utilities operating Advanced Metering Infrastructure (AMI) smart meters. Utilities facing significant non-technical losses can integrate Grid-Guard into their Meter Data Management Systems (MDMS) to analyze daily consumption feeds. By transitioning from scheduled periodic audits to automated, financially prioritized inspection queues, utilities can recover millions of dollars in unmetered revenue while simultaneously slashing wasted operational expenditures on false-alarm dispatches.</w:t>
      </w:r>
    </w:p>
    <w:p>
      <w:pPr>
        <w:pStyle w:val="Heading2"/>
      </w:pPr>
      <w:r>
        <w:t>5.2 Field Crew Workforce Management &amp; Dispatch Systems</w:t>
      </w:r>
    </w:p>
    <w:p>
      <w:pPr/>
      <w:r>
        <w:rPr>
          <w:rFonts w:ascii="Arial" w:hAnsi="Arial"/>
          <w:i w:val="0"/>
          <w:color w:val="1F2937"/>
          <w:sz w:val="21"/>
        </w:rPr>
        <w:t>Utility revenue protection and field operations departments can directly ingest Grid-Guard's prioritized inspection queue into enterprise Workforce Management (WFM) platforms. Field supervisors can configure crew capacity limits (e.g., dispatching top 50 tickets per week) and filter work orders by minimum Expected Net Value or geographical feeder zones, ensuring that technicians are deployed exclusively to high-yield, economically justified targets.</w:t>
      </w:r>
    </w:p>
    <w:p>
      <w:pPr>
        <w:pStyle w:val="Heading2"/>
      </w:pPr>
      <w:r>
        <w:t>5.3 Revenue Protection &amp; Regulatory Tariff Compliance Auditing</w:t>
      </w:r>
    </w:p>
    <w:p>
      <w:pPr/>
      <w:r>
        <w:rPr>
          <w:rFonts w:ascii="Arial" w:hAnsi="Arial"/>
          <w:i w:val="0"/>
          <w:color w:val="1F2937"/>
          <w:sz w:val="21"/>
        </w:rPr>
        <w:t>State electricity regulatory commissions and independent audit agencies can utilize Grid-Guard to evaluate utility operational efficiency. Furthermore, because Grid-Guard generates deterministic work order tickets containing exact Tree-SHAP local feature attributions and domain electrical signatures, utilities can present auditable, non-accusatory evidence during regulatory back-billing hearings or customer dispute arbitrations.</w:t>
      </w:r>
    </w:p>
    <w:p>
      <w:pPr>
        <w:pStyle w:val="Heading2"/>
      </w:pPr>
      <w:r>
        <w:t>5.4 Smart Grid Data Science Research &amp; Pedagogy</w:t>
      </w:r>
    </w:p>
    <w:p>
      <w:pPr/>
      <w:r>
        <w:rPr>
          <w:rFonts w:ascii="Arial" w:hAnsi="Arial"/>
          <w:i w:val="0"/>
          <w:color w:val="1F2937"/>
          <w:sz w:val="21"/>
        </w:rPr>
        <w:t>Grid-Guard serves as an open, reproducible reference architecture for academic researchers, data scientists, and students investigating time-series anomaly detection, cost-sensitive machine learning, and explainable AI in industrial cyber-physical systems. The repository provides an end-to-end blueprint demonstrating how to formulate asymmetric loss surrogates, avoid temporal data leakage in rolling window feature extraction, and enforce strict API boundaries between ML pipelines and interactive user interfaces.</w:t>
      </w:r>
    </w:p>
    <w:p>
      <w:pPr>
        <w:pStyle w:val="Heading2"/>
      </w:pPr>
      <w:r>
        <w:t>5.5 Operational Prerequisites for Real-World Integration</w:t>
      </w:r>
    </w:p>
    <w:p>
      <w:pPr/>
      <w:r>
        <w:rPr>
          <w:rFonts w:ascii="Arial" w:hAnsi="Arial"/>
          <w:i w:val="0"/>
          <w:color w:val="1F2937"/>
          <w:sz w:val="21"/>
        </w:rPr>
        <w:t>To achieve successful real-world operational deployment, adopting utilities must satisfy the following technical prerequisites:</w:t>
      </w:r>
    </w:p>
    <w:p>
      <w:pPr>
        <w:spacing w:before="40" w:after="40" w:line="288" w:lineRule="auto"/>
        <w:ind w:left="432" w:hanging="288"/>
      </w:pPr>
      <w:r>
        <w:rPr>
          <w:b/>
          <w:color w:val="1E3A8A"/>
        </w:rPr>
        <w:t xml:space="preserve">1. </w:t>
      </w:r>
      <w:r>
        <w:rPr>
          <w:rFonts w:ascii="Arial" w:hAnsi="Arial"/>
          <w:b/>
          <w:i w:val="0"/>
          <w:color w:val="1F2937"/>
          <w:sz w:val="21"/>
        </w:rPr>
        <w:t>Meter Data Availability</w:t>
      </w:r>
      <w:r>
        <w:rPr>
          <w:rFonts w:ascii="Arial" w:hAnsi="Arial"/>
          <w:i w:val="0"/>
          <w:color w:val="1F2937"/>
          <w:sz w:val="21"/>
        </w:rPr>
        <w:t>: A centralized repository storing daily active energy consumption (kWh) with at least 30 to 90 days of continuous chronological history per meter.</w:t>
      </w:r>
    </w:p>
    <w:p>
      <w:pPr>
        <w:spacing w:before="40" w:after="40" w:line="288" w:lineRule="auto"/>
        <w:ind w:left="432" w:hanging="288"/>
      </w:pPr>
      <w:r>
        <w:rPr>
          <w:b/>
          <w:color w:val="1E3A8A"/>
        </w:rPr>
        <w:t xml:space="preserve">2. </w:t>
      </w:r>
      <w:r>
        <w:rPr>
          <w:rFonts w:ascii="Arial" w:hAnsi="Arial"/>
          <w:b/>
          <w:i w:val="0"/>
          <w:color w:val="1F2937"/>
          <w:sz w:val="21"/>
        </w:rPr>
        <w:t>Consumer Tariff Mapping</w:t>
      </w:r>
      <w:r>
        <w:rPr>
          <w:rFonts w:ascii="Arial" w:hAnsi="Arial"/>
          <w:i w:val="0"/>
          <w:color w:val="1F2937"/>
          <w:sz w:val="21"/>
        </w:rPr>
        <w:t>: Integration with utility billing master tables to provide effective volumetric tariffs ($/kWh) across residential, commercial, and industrial rate classes.</w:t>
      </w:r>
    </w:p>
    <w:p>
      <w:pPr>
        <w:spacing w:before="40" w:after="40" w:line="288" w:lineRule="auto"/>
        <w:ind w:left="432" w:hanging="288"/>
      </w:pPr>
      <w:r>
        <w:rPr>
          <w:b/>
          <w:color w:val="1E3A8A"/>
        </w:rPr>
        <w:t xml:space="preserve">3. </w:t>
      </w:r>
      <w:r>
        <w:rPr>
          <w:rFonts w:ascii="Arial" w:hAnsi="Arial"/>
          <w:b/>
          <w:i w:val="0"/>
          <w:color w:val="1F2937"/>
          <w:sz w:val="21"/>
        </w:rPr>
        <w:t>Operational Cost Benchmarking</w:t>
      </w:r>
      <w:r>
        <w:rPr>
          <w:rFonts w:ascii="Arial" w:hAnsi="Arial"/>
          <w:i w:val="0"/>
          <w:color w:val="1F2937"/>
          <w:sz w:val="21"/>
        </w:rPr>
        <w:t>: Accurate estimates of the average physical crew dispatch cost ($C_{\text{dispatch}}$) across urban, suburban, and rural service territories.</w:t>
      </w:r>
    </w:p>
    <w:p>
      <w:pPr>
        <w:spacing w:before="40" w:after="40" w:line="288" w:lineRule="auto"/>
        <w:ind w:left="432" w:hanging="288"/>
      </w:pPr>
      <w:r>
        <w:rPr>
          <w:b/>
          <w:color w:val="1E3A8A"/>
        </w:rPr>
        <w:t xml:space="preserve">4. </w:t>
      </w:r>
      <w:r>
        <w:rPr>
          <w:rFonts w:ascii="Arial" w:hAnsi="Arial"/>
          <w:b/>
          <w:i w:val="0"/>
          <w:color w:val="1F2937"/>
          <w:sz w:val="21"/>
        </w:rPr>
        <w:t>Human-in-the-Loop Protocol</w:t>
      </w:r>
      <w:r>
        <w:rPr>
          <w:rFonts w:ascii="Arial" w:hAnsi="Arial"/>
          <w:i w:val="0"/>
          <w:color w:val="1F2937"/>
          <w:sz w:val="21"/>
        </w:rPr>
        <w:t>: Formal operational procedures establishing that model outputs represent investigative leads requiring on-site physical verification, strictly prohibiting automatic customer penalization without field corroboration.</w:t>
      </w:r>
    </w:p>
    <w:p>
      <w:pPr>
        <w:spacing w:before="80" w:after="160"/>
      </w:pPr>
      <w:r>
        <w:rPr>
          <w:color w:val="E5E7EB"/>
          <w:sz w:val="16"/>
        </w:rPr>
        <w:t>_________________________________________________________________________________</w:t>
      </w:r>
    </w:p>
    <w:p>
      <w:r>
        <w:br w:type="page"/>
      </w:r>
    </w:p>
    <w:p>
      <w:pPr>
        <w:pStyle w:val="Heading1"/>
      </w:pPr>
      <w:r>
        <w:t>6. ACHIEVEMENTS</w:t>
      </w:r>
    </w:p>
    <w:p>
      <w:pPr/>
      <w:r>
        <w:rPr>
          <w:rFonts w:ascii="Arial" w:hAnsi="Arial"/>
          <w:i w:val="0"/>
          <w:color w:val="1F2937"/>
          <w:sz w:val="21"/>
        </w:rPr>
        <w:t>Across ten intensive engineering phases, the Grid-Guard project was brought from initial repository conception to a fully operational, integrated, tested, and documented platform. Every claimed milestone corresponds directly to executable code, automated tests, and reproducible artifacts stored in the repository.</w:t>
      </w:r>
    </w:p>
    <w:p>
      <w:pPr>
        <w:pStyle w:val="Heading2"/>
      </w:pPr>
      <w:r>
        <w:t>6.1 Comprehensive Summary of Phase 1 through Phase 10 Deliverables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Phase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Title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Core Architectural Focus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Main Implemented Deliverables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Verified Artifacts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Project Foundation &amp; Ingestion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Project scaffolding, uv environment, configuration management, Polars foundation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Modular architecture, Pydantic settings, YAML configs, ingestion scripts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pyproject.toml</w:t>
            </w:r>
            <w:r>
              <w:rPr>
                <w:rFonts w:ascii="Arial" w:hAnsi="Arial"/>
                <w:i w:val="0"/>
                <w:color w:val="1F2937"/>
                <w:sz w:val="17"/>
              </w:rPr>
              <w:t xml:space="preserve">, </w:t>
            </w:r>
            <w:r>
              <w:rPr>
                <w:rFonts w:ascii="Consolas" w:hAnsi="Consolas"/>
                <w:i w:val="0"/>
                <w:color w:val="B91C1C"/>
                <w:sz w:val="15"/>
              </w:rPr>
              <w:t>uv.lock</w:t>
            </w:r>
            <w:r>
              <w:rPr>
                <w:rFonts w:ascii="Arial" w:hAnsi="Arial"/>
                <w:i w:val="0"/>
                <w:color w:val="1F2937"/>
                <w:sz w:val="17"/>
              </w:rPr>
              <w:t xml:space="preserve">, </w:t>
            </w:r>
            <w:r>
              <w:rPr>
                <w:rFonts w:ascii="Consolas" w:hAnsi="Consolas"/>
                <w:i w:val="0"/>
                <w:color w:val="B91C1C"/>
                <w:sz w:val="15"/>
              </w:rPr>
              <w:t>configs/default.yaml</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Clean AMI Data Pipeline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Ingestion profiling, data quality validation, bounded-gap imputation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Polars cleaning pipeline, monotonic checks, localized interpolation, leakage audit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Cleaned Parquet partitions, </w:t>
            </w:r>
            <w:r>
              <w:rPr>
                <w:rFonts w:ascii="Consolas" w:hAnsi="Consolas"/>
                <w:i w:val="0"/>
                <w:color w:val="B91C1C"/>
                <w:sz w:val="15"/>
              </w:rPr>
              <w:t>docs/data_contract.md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Temporal Feature Engineering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60-feature causal rolling temporal pipeline &amp; tampering signatures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Causal feature pipeline, rolling averages (7d–180d), ratios, variances, zero streaks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src/grid_guard/features/pipeline.py</w:t>
            </w:r>
            <w:r>
              <w:rPr>
                <w:rFonts w:ascii="Arial" w:hAnsi="Arial"/>
                <w:i w:val="0"/>
                <w:color w:val="1F2937"/>
                <w:sz w:val="17"/>
              </w:rPr>
              <w:t>, 60 features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Cost Matrix &amp; Baseline Modeling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Financial cost matrix, time-aware splitting, unweighted LightGBM baseline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Financial cost model ($C_{\text{FP}}, C_{\text{FN}}$), leakage estimator, baseline classifier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artifacts/baseline/</w:t>
            </w:r>
            <w:r>
              <w:rPr>
                <w:rFonts w:ascii="Arial" w:hAnsi="Arial"/>
                <w:i w:val="0"/>
                <w:color w:val="1F2937"/>
                <w:sz w:val="17"/>
              </w:rPr>
              <w:t>, PR-AUC 0.3035, ROC-AUC 0.7739</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Class Imbalance Strategy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Benchmark sampling &amp; class-weighting under extreme minority prevalence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SMOTE-Tomek pipeline, balanced class weighting, precision-recall curve analysis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artifacts/imbalance/</w:t>
            </w:r>
            <w:r>
              <w:rPr>
                <w:rFonts w:ascii="Arial" w:hAnsi="Arial"/>
                <w:i w:val="0"/>
                <w:color w:val="1F2937"/>
                <w:sz w:val="17"/>
              </w:rPr>
              <w:t>, PR-AUC 0.3131, P@100 0.87</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Cost-Sensitive Learning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Financially weighted loss objective &amp; champion booster optimization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Custom weighted log-loss objective ($w_i = C_{\text{FN}, i}$), loss reduction evaluation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artifacts/cost_sensitive/champion_model.txt</w:t>
            </w:r>
            <w:r>
              <w:rPr>
                <w:rFonts w:ascii="Arial" w:hAnsi="Arial"/>
                <w:i w:val="0"/>
                <w:color w:val="1F2937"/>
                <w:sz w:val="17"/>
              </w:rPr>
              <w:t>, Loss -51.2%</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7</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Dynamic Decision Engine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Expected Net Value (ENV) formulation, dynamic thresholding, queue ranking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Leakage exposure engine, Bayes cost threshold, ENV breakeven threshold, work orders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artifacts/decision/decision_comparison.json</w:t>
            </w:r>
            <w:r>
              <w:rPr>
                <w:rFonts w:ascii="Arial" w:hAnsi="Arial"/>
                <w:i w:val="0"/>
                <w:color w:val="1F2937"/>
                <w:sz w:val="17"/>
              </w:rPr>
              <w:t>, 801 dispatches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SHAP Explainability &amp; Signatures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Exact Tree-SHAP attributions, electrical signatures, narrative generation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Tree-SHAP explainer (&lt;15ms), signature detector, narrative generator, ticket builder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artifacts/explainability/enriched_top_100_tickets.csv</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9</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FastAPI Inference Backend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Production REST API, lifespan model pinning, Pydantic request validation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Asynchronous FastAPI service, </w:t>
            </w:r>
            <w:r>
              <w:rPr>
                <w:rFonts w:ascii="Consolas" w:hAnsi="Consolas"/>
                <w:i w:val="0"/>
                <w:color w:val="B91C1C"/>
                <w:sz w:val="15"/>
              </w:rPr>
              <w:t>/predict</w:t>
            </w:r>
            <w:r>
              <w:rPr>
                <w:rFonts w:ascii="Arial" w:hAnsi="Arial"/>
                <w:i w:val="0"/>
                <w:color w:val="1F2937"/>
                <w:sz w:val="17"/>
              </w:rPr>
              <w:t xml:space="preserve">, </w:t>
            </w:r>
            <w:r>
              <w:rPr>
                <w:rFonts w:ascii="Consolas" w:hAnsi="Consolas"/>
                <w:i w:val="0"/>
                <w:color w:val="B91C1C"/>
                <w:sz w:val="15"/>
              </w:rPr>
              <w:t>/ticket</w:t>
            </w:r>
            <w:r>
              <w:rPr>
                <w:rFonts w:ascii="Arial" w:hAnsi="Arial"/>
                <w:i w:val="0"/>
                <w:color w:val="1F2937"/>
                <w:sz w:val="17"/>
              </w:rPr>
              <w:t xml:space="preserve">, </w:t>
            </w:r>
            <w:r>
              <w:rPr>
                <w:rFonts w:ascii="Consolas" w:hAnsi="Consolas"/>
                <w:i w:val="0"/>
                <w:color w:val="B91C1C"/>
                <w:sz w:val="15"/>
              </w:rPr>
              <w:t>/queue</w:t>
            </w:r>
            <w:r>
              <w:rPr>
                <w:rFonts w:ascii="Arial" w:hAnsi="Arial"/>
                <w:i w:val="0"/>
                <w:color w:val="1F2937"/>
                <w:sz w:val="17"/>
              </w:rPr>
              <w:t>, P95 latency &lt;30ms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src/grid_guard/api/</w:t>
            </w:r>
            <w:r>
              <w:rPr>
                <w:rFonts w:ascii="Arial" w:hAnsi="Arial"/>
                <w:i w:val="0"/>
                <w:color w:val="1F2937"/>
                <w:sz w:val="17"/>
              </w:rPr>
              <w:t xml:space="preserve">, </w:t>
            </w:r>
            <w:r>
              <w:rPr>
                <w:rFonts w:ascii="Consolas" w:hAnsi="Consolas"/>
                <w:i w:val="0"/>
                <w:color w:val="B91C1C"/>
                <w:sz w:val="15"/>
              </w:rPr>
              <w:t>artifacts/api/openapi.json</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Phase 10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Dashboard &amp; E2E Integration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Streamlit operational UI, demo suite, Docker deployment, comprehensive polish</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5 dashboard views, 5 synthetic demo archetypes, </w:t>
            </w:r>
            <w:r>
              <w:rPr>
                <w:rFonts w:ascii="Consolas" w:hAnsi="Consolas"/>
                <w:i w:val="0"/>
                <w:color w:val="B91C1C"/>
                <w:sz w:val="15"/>
              </w:rPr>
              <w:t>Dockerfile.api</w:t>
            </w:r>
            <w:r>
              <w:rPr>
                <w:rFonts w:ascii="Arial" w:hAnsi="Arial"/>
                <w:i w:val="0"/>
                <w:color w:val="1F2937"/>
                <w:sz w:val="17"/>
              </w:rPr>
              <w:t xml:space="preserve">, </w:t>
            </w:r>
            <w:r>
              <w:rPr>
                <w:rFonts w:ascii="Consolas" w:hAnsi="Consolas"/>
                <w:i w:val="0"/>
                <w:color w:val="B91C1C"/>
                <w:sz w:val="15"/>
              </w:rPr>
              <w:t>Dockerfile.dashboard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src/grid_guard/dashboard/</w:t>
            </w:r>
            <w:r>
              <w:rPr>
                <w:rFonts w:ascii="Arial" w:hAnsi="Arial"/>
                <w:i w:val="0"/>
                <w:color w:val="1F2937"/>
                <w:sz w:val="17"/>
              </w:rPr>
              <w:t xml:space="preserve">, </w:t>
            </w:r>
            <w:r>
              <w:rPr>
                <w:rFonts w:ascii="Consolas" w:hAnsi="Consolas"/>
                <w:i w:val="0"/>
                <w:color w:val="B91C1C"/>
                <w:sz w:val="15"/>
              </w:rPr>
              <w:t>docker-compose.yml</w:t>
            </w:r>
            <w:r>
              <w:rPr>
                <w:rFonts w:ascii="Arial" w:hAnsi="Arial"/>
                <w:i w:val="0"/>
                <w:color w:val="1F2937"/>
                <w:sz w:val="17"/>
              </w:rPr>
              <w:t>, 162 tests</w:t>
            </w:r>
          </w:p>
        </w:tc>
      </w:tr>
    </w:tbl>
    <w:p>
      <w:pPr>
        <w:spacing w:before="40" w:after="80"/>
      </w:pPr>
    </w:p>
    <w:p>
      <w:pPr>
        <w:pStyle w:val="Heading2"/>
      </w:pPr>
      <w:r>
        <w:t>6.2 Key Quantitative and Empirical Benchmarks</w:t>
      </w:r>
    </w:p>
    <w:p>
      <w:pPr/>
      <w:r>
        <w:rPr>
          <w:rFonts w:ascii="Arial" w:hAnsi="Arial"/>
          <w:i w:val="0"/>
          <w:color w:val="1F2937"/>
          <w:sz w:val="21"/>
        </w:rPr>
        <w:t>The empirical superiority of Grid-Guard over conventional baselines is validated by the following verified project metrics:</w:t>
      </w:r>
    </w:p>
    <w:p>
      <w:pPr>
        <w:pStyle w:val="Heading3"/>
      </w:pPr>
      <w:r>
        <w:t>1. Machine Learning Performance Benchmark (254,232 Validation Samples)</w:t>
      </w:r>
    </w:p>
    <w:p>
      <w:pPr>
        <w:spacing w:before="20" w:after="40" w:line="288" w:lineRule="auto"/>
        <w:ind w:left="360" w:hanging="216"/>
      </w:pPr>
      <w:r>
        <w:rPr>
          <w:b/>
          <w:color w:val="2563EB"/>
        </w:rPr>
        <w:t xml:space="preserve">• </w:t>
      </w:r>
      <w:r>
        <w:rPr>
          <w:rFonts w:ascii="Arial" w:hAnsi="Arial"/>
          <w:b/>
          <w:i w:val="0"/>
          <w:color w:val="1F2937"/>
          <w:sz w:val="21"/>
        </w:rPr>
        <w:t>Baseline LightGBM Booster (Phase 4)</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 xml:space="preserve">PR-AUC: </w:t>
      </w:r>
      <w:r>
        <w:rPr>
          <w:rFonts w:ascii="Consolas" w:hAnsi="Consolas"/>
          <w:i w:val="0"/>
          <w:color w:val="B91C1C"/>
          <w:sz w:val="19"/>
        </w:rPr>
        <w:t>0.3035</w:t>
      </w:r>
      <w:r>
        <w:rPr>
          <w:rFonts w:ascii="Arial" w:hAnsi="Arial"/>
          <w:i w:val="0"/>
          <w:color w:val="1F2937"/>
          <w:sz w:val="21"/>
        </w:rPr>
        <w:t xml:space="preserve"> | ROC-AUC: </w:t>
      </w:r>
      <w:r>
        <w:rPr>
          <w:rFonts w:ascii="Consolas" w:hAnsi="Consolas"/>
          <w:i w:val="0"/>
          <w:color w:val="B91C1C"/>
          <w:sz w:val="19"/>
        </w:rPr>
        <w:t>0.7739</w:t>
      </w:r>
    </w:p>
    <w:p>
      <w:pPr>
        <w:spacing w:before="20" w:after="40" w:line="288" w:lineRule="auto"/>
        <w:ind w:left="360" w:hanging="216"/>
      </w:pPr>
      <w:r>
        <w:rPr>
          <w:b/>
          <w:color w:val="2563EB"/>
        </w:rPr>
        <w:t xml:space="preserve">• </w:t>
      </w:r>
      <w:r>
        <w:rPr>
          <w:rFonts w:ascii="Arial" w:hAnsi="Arial"/>
          <w:i w:val="0"/>
          <w:color w:val="1F2937"/>
          <w:sz w:val="21"/>
        </w:rPr>
        <w:t xml:space="preserve">Precision@100: </w:t>
      </w:r>
      <w:r>
        <w:rPr>
          <w:rFonts w:ascii="Consolas" w:hAnsi="Consolas"/>
          <w:i w:val="0"/>
          <w:color w:val="B91C1C"/>
          <w:sz w:val="19"/>
        </w:rPr>
        <w:t>0.78</w:t>
      </w:r>
      <w:r>
        <w:rPr>
          <w:rFonts w:ascii="Arial" w:hAnsi="Arial"/>
          <w:i w:val="0"/>
          <w:color w:val="1F2937"/>
          <w:sz w:val="21"/>
        </w:rPr>
        <w:t xml:space="preserve"> | Recall@100: </w:t>
      </w:r>
      <w:r>
        <w:rPr>
          <w:rFonts w:ascii="Consolas" w:hAnsi="Consolas"/>
          <w:i w:val="0"/>
          <w:color w:val="B91C1C"/>
          <w:sz w:val="19"/>
        </w:rPr>
        <w:t>0.0036</w:t>
      </w:r>
    </w:p>
    <w:p>
      <w:pPr>
        <w:spacing w:before="20" w:after="40" w:line="288" w:lineRule="auto"/>
        <w:ind w:left="360" w:hanging="216"/>
      </w:pPr>
      <w:r>
        <w:rPr>
          <w:b/>
          <w:color w:val="2563EB"/>
        </w:rPr>
        <w:t xml:space="preserve">• </w:t>
      </w:r>
      <w:r>
        <w:rPr>
          <w:rFonts w:ascii="Arial" w:hAnsi="Arial"/>
          <w:i w:val="0"/>
          <w:color w:val="1F2937"/>
          <w:sz w:val="21"/>
        </w:rPr>
        <w:t>False Positive Dispatch Cost: $\$261,200.00$</w:t>
      </w:r>
    </w:p>
    <w:p>
      <w:pPr>
        <w:spacing w:before="20" w:after="40" w:line="288" w:lineRule="auto"/>
        <w:ind w:left="360" w:hanging="216"/>
      </w:pPr>
      <w:r>
        <w:rPr>
          <w:b/>
          <w:color w:val="2563EB"/>
        </w:rPr>
        <w:t xml:space="preserve">• </w:t>
      </w:r>
      <w:r>
        <w:rPr>
          <w:rFonts w:ascii="Arial" w:hAnsi="Arial"/>
          <w:i w:val="0"/>
          <w:color w:val="1F2937"/>
          <w:sz w:val="21"/>
        </w:rPr>
        <w:t>Undetected Revenue Leakage: $\$470,050.53$</w:t>
      </w:r>
    </w:p>
    <w:p>
      <w:pPr>
        <w:spacing w:before="20" w:after="40" w:line="288" w:lineRule="auto"/>
        <w:ind w:left="360" w:hanging="216"/>
      </w:pPr>
      <w:r>
        <w:rPr>
          <w:b/>
          <w:color w:val="2563EB"/>
        </w:rPr>
        <w:t xml:space="preserve">• </w:t>
      </w:r>
      <w:r>
        <w:rPr>
          <w:rFonts w:ascii="Arial" w:hAnsi="Arial"/>
          <w:b/>
          <w:i w:val="0"/>
          <w:color w:val="1F2937"/>
          <w:sz w:val="21"/>
        </w:rPr>
        <w:t>Total Operational Loss</w:t>
      </w:r>
      <w:r>
        <w:rPr>
          <w:rFonts w:ascii="Arial" w:hAnsi="Arial"/>
          <w:i w:val="0"/>
          <w:color w:val="1F2937"/>
          <w:sz w:val="21"/>
        </w:rPr>
        <w:t>: $\mathbf{\$731,250.53}$</w:t>
      </w:r>
    </w:p>
    <w:p>
      <w:pPr>
        <w:spacing w:before="20" w:after="40" w:line="288" w:lineRule="auto"/>
        <w:ind w:left="360" w:hanging="216"/>
      </w:pPr>
      <w:r>
        <w:rPr>
          <w:b/>
          <w:color w:val="2563EB"/>
        </w:rPr>
        <w:t xml:space="preserve">• </w:t>
      </w:r>
      <w:r>
        <w:rPr>
          <w:rFonts w:ascii="Arial" w:hAnsi="Arial"/>
          <w:i w:val="0"/>
          <w:color w:val="1F2937"/>
          <w:sz w:val="21"/>
        </w:rPr>
        <w:t>Estimated Net Recovery: $\$408,695.31$</w:t>
      </w:r>
    </w:p>
    <w:p>
      <w:pPr>
        <w:spacing w:before="20" w:after="40" w:line="288" w:lineRule="auto"/>
        <w:ind w:left="360" w:hanging="216"/>
      </w:pPr>
      <w:r>
        <w:rPr>
          <w:b/>
          <w:color w:val="2563EB"/>
        </w:rPr>
        <w:t xml:space="preserve">• </w:t>
      </w:r>
      <w:r>
        <w:rPr>
          <w:rFonts w:ascii="Arial" w:hAnsi="Arial"/>
          <w:b/>
          <w:i w:val="0"/>
          <w:color w:val="1F2937"/>
          <w:sz w:val="21"/>
        </w:rPr>
        <w:t>Cost-Sensitive Champion Booster (Phase 6)</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Precision@100: $\mathbf{0.88}$ (+12.8% relative precision gain in top candidate rank)</w:t>
      </w:r>
    </w:p>
    <w:p>
      <w:pPr>
        <w:spacing w:before="20" w:after="40" w:line="288" w:lineRule="auto"/>
        <w:ind w:left="360" w:hanging="216"/>
      </w:pPr>
      <w:r>
        <w:rPr>
          <w:b/>
          <w:color w:val="2563EB"/>
        </w:rPr>
        <w:t xml:space="preserve">• </w:t>
      </w:r>
      <w:r>
        <w:rPr>
          <w:rFonts w:ascii="Arial" w:hAnsi="Arial"/>
          <w:i w:val="0"/>
          <w:color w:val="1F2937"/>
          <w:sz w:val="21"/>
        </w:rPr>
        <w:t>False Positive Dispatch Cost: $\$30,300.00$ (88.4% reduction in wasted crew dispatch!)</w:t>
      </w:r>
    </w:p>
    <w:p>
      <w:pPr>
        <w:spacing w:before="20" w:after="40" w:line="288" w:lineRule="auto"/>
        <w:ind w:left="360" w:hanging="216"/>
      </w:pPr>
      <w:r>
        <w:rPr>
          <w:b/>
          <w:color w:val="2563EB"/>
        </w:rPr>
        <w:t xml:space="preserve">• </w:t>
      </w:r>
      <w:r>
        <w:rPr>
          <w:rFonts w:ascii="Arial" w:hAnsi="Arial"/>
          <w:i w:val="0"/>
          <w:color w:val="1F2937"/>
          <w:sz w:val="21"/>
        </w:rPr>
        <w:t>Undetected Revenue Leakage: $\$326,643.38$</w:t>
      </w:r>
    </w:p>
    <w:p>
      <w:pPr>
        <w:spacing w:before="20" w:after="40" w:line="288" w:lineRule="auto"/>
        <w:ind w:left="360" w:hanging="216"/>
      </w:pPr>
      <w:r>
        <w:rPr>
          <w:b/>
          <w:color w:val="2563EB"/>
        </w:rPr>
        <w:t xml:space="preserve">• </w:t>
      </w:r>
      <w:r>
        <w:rPr>
          <w:rFonts w:ascii="Arial" w:hAnsi="Arial"/>
          <w:b/>
          <w:i w:val="0"/>
          <w:color w:val="1F2937"/>
          <w:sz w:val="21"/>
        </w:rPr>
        <w:t>Total Operational Loss</w:t>
      </w:r>
      <w:r>
        <w:rPr>
          <w:rFonts w:ascii="Arial" w:hAnsi="Arial"/>
          <w:i w:val="0"/>
          <w:color w:val="1F2937"/>
          <w:sz w:val="21"/>
        </w:rPr>
        <w:t>: $\mathbf{\$356,943.38}$ (</w:t>
      </w:r>
      <w:r>
        <w:rPr>
          <w:rFonts w:ascii="Arial" w:hAnsi="Arial"/>
          <w:b/>
          <w:i w:val="0"/>
          <w:color w:val="1F2937"/>
          <w:sz w:val="21"/>
        </w:rPr>
        <w:t>51.2% financial loss reduction</w:t>
      </w:r>
      <w:r>
        <w:rPr>
          <w:rFonts w:ascii="Arial" w:hAnsi="Arial"/>
          <w:i w:val="0"/>
          <w:color w:val="1F2937"/>
          <w:sz w:val="21"/>
        </w:rPr>
        <w:t xml:space="preserve"> over baseline!)</w:t>
      </w:r>
    </w:p>
    <w:p>
      <w:pPr>
        <w:spacing w:before="20" w:after="40" w:line="288" w:lineRule="auto"/>
        <w:ind w:left="360" w:hanging="216"/>
      </w:pPr>
      <w:r>
        <w:rPr>
          <w:b/>
          <w:color w:val="2563EB"/>
        </w:rPr>
        <w:t xml:space="preserve">• </w:t>
      </w:r>
      <w:r>
        <w:rPr>
          <w:rFonts w:ascii="Arial" w:hAnsi="Arial"/>
          <w:b/>
          <w:i w:val="0"/>
          <w:color w:val="1F2937"/>
          <w:sz w:val="21"/>
        </w:rPr>
        <w:t>Estimated Net Recovery</w:t>
      </w:r>
      <w:r>
        <w:rPr>
          <w:rFonts w:ascii="Arial" w:hAnsi="Arial"/>
          <w:i w:val="0"/>
          <w:color w:val="1F2937"/>
          <w:sz w:val="21"/>
        </w:rPr>
        <w:t>: $\mathbf{\$1,004,102.50}$ (more than double the baseline net recovery!)</w:t>
      </w:r>
    </w:p>
    <w:p>
      <w:pPr>
        <w:pStyle w:val="Heading3"/>
      </w:pPr>
      <w:r>
        <w:t>2. Fleet Inspection Prioritization Policy Comparison (42,372 Fleet Meters)</w:t>
      </w:r>
    </w:p>
    <w:p>
      <w:pPr>
        <w:spacing w:before="20" w:after="40" w:line="288" w:lineRule="auto"/>
        <w:ind w:left="360" w:hanging="216"/>
      </w:pPr>
      <w:r>
        <w:rPr>
          <w:b/>
          <w:color w:val="2563EB"/>
        </w:rPr>
        <w:t xml:space="preserve">• </w:t>
      </w:r>
      <w:r>
        <w:rPr>
          <w:rFonts w:ascii="Arial" w:hAnsi="Arial"/>
          <w:b/>
          <w:i w:val="0"/>
          <w:color w:val="1F2937"/>
          <w:sz w:val="21"/>
        </w:rPr>
        <w:t>Fixed 0.5 Threshold Policy</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Recommends 170 inspections (0.40% of fleet). Misses substantial commercial theft.</w:t>
      </w:r>
    </w:p>
    <w:p>
      <w:pPr>
        <w:spacing w:before="20" w:after="40" w:line="288" w:lineRule="auto"/>
        <w:ind w:left="360" w:hanging="216"/>
      </w:pPr>
      <w:r>
        <w:rPr>
          <w:b/>
          <w:color w:val="2563EB"/>
        </w:rPr>
        <w:t xml:space="preserve">• </w:t>
      </w:r>
      <w:r>
        <w:rPr>
          <w:rFonts w:ascii="Arial" w:hAnsi="Arial"/>
          <w:i w:val="0"/>
          <w:color w:val="1F2937"/>
          <w:sz w:val="21"/>
        </w:rPr>
        <w:t>Expected Net Value: $\$223,120.42$ | Realized Operational Loss: $\$82,685.27$.</w:t>
      </w:r>
    </w:p>
    <w:p>
      <w:pPr>
        <w:spacing w:before="20" w:after="40" w:line="288" w:lineRule="auto"/>
        <w:ind w:left="360" w:hanging="216"/>
      </w:pPr>
      <w:r>
        <w:rPr>
          <w:b/>
          <w:color w:val="2563EB"/>
        </w:rPr>
        <w:t xml:space="preserve">• </w:t>
      </w:r>
      <w:r>
        <w:rPr>
          <w:rFonts w:ascii="Arial" w:hAnsi="Arial"/>
          <w:b/>
          <w:i w:val="0"/>
          <w:color w:val="1F2937"/>
          <w:sz w:val="21"/>
        </w:rPr>
        <w:t>Bayes Cost Threshold Policy</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Recommends 880 inspections (2.08% of fleet). Over-dispatches on low-value residential drops.</w:t>
      </w:r>
    </w:p>
    <w:p>
      <w:pPr>
        <w:spacing w:before="20" w:after="40" w:line="288" w:lineRule="auto"/>
        <w:ind w:left="360" w:hanging="216"/>
      </w:pPr>
      <w:r>
        <w:rPr>
          <w:b/>
          <w:color w:val="2563EB"/>
        </w:rPr>
        <w:t xml:space="preserve">• </w:t>
      </w:r>
      <w:r>
        <w:rPr>
          <w:rFonts w:ascii="Arial" w:hAnsi="Arial"/>
          <w:i w:val="0"/>
          <w:color w:val="1F2937"/>
          <w:sz w:val="21"/>
        </w:rPr>
        <w:t>Expected Net Value: $\$274,497.41$ | Realized Operational Loss: $\$68,073.82$.</w:t>
      </w:r>
    </w:p>
    <w:p>
      <w:pPr>
        <w:spacing w:before="20" w:after="40" w:line="288" w:lineRule="auto"/>
        <w:ind w:left="360" w:hanging="216"/>
      </w:pPr>
      <w:r>
        <w:rPr>
          <w:b/>
          <w:color w:val="2563EB"/>
        </w:rPr>
        <w:t xml:space="preserve">• </w:t>
      </w:r>
      <w:r>
        <w:rPr>
          <w:rFonts w:ascii="Arial" w:hAnsi="Arial"/>
          <w:b/>
          <w:i w:val="0"/>
          <w:color w:val="1F2937"/>
          <w:sz w:val="21"/>
        </w:rPr>
        <w:t>Dynamic Expected Net Value (Grid-Guard Phase 7 Champion)</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 xml:space="preserve">Recommends </w:t>
      </w:r>
      <w:r>
        <w:rPr>
          <w:rFonts w:ascii="Arial" w:hAnsi="Arial"/>
          <w:b/>
          <w:i w:val="0"/>
          <w:color w:val="1F2937"/>
          <w:sz w:val="21"/>
        </w:rPr>
        <w:t>801 economically justified inspections</w:t>
      </w:r>
      <w:r>
        <w:rPr>
          <w:rFonts w:ascii="Arial" w:hAnsi="Arial"/>
          <w:i w:val="0"/>
          <w:color w:val="1F2937"/>
          <w:sz w:val="21"/>
        </w:rPr>
        <w:t xml:space="preserve"> (1.89% of fleet).</w:t>
      </w:r>
    </w:p>
    <w:p>
      <w:pPr>
        <w:spacing w:before="20" w:after="40" w:line="288" w:lineRule="auto"/>
        <w:ind w:left="360" w:hanging="216"/>
      </w:pPr>
      <w:r>
        <w:rPr>
          <w:b/>
          <w:color w:val="2563EB"/>
        </w:rPr>
        <w:t xml:space="preserve">• </w:t>
      </w:r>
      <w:r>
        <w:rPr>
          <w:rFonts w:ascii="Arial" w:hAnsi="Arial"/>
          <w:i w:val="0"/>
          <w:color w:val="1F2937"/>
          <w:sz w:val="21"/>
        </w:rPr>
        <w:t>Expected Gross Recovery: $\$355,330.47$ | Total Dispatch Cost: $\$80,100.00$.</w:t>
      </w:r>
    </w:p>
    <w:p>
      <w:pPr>
        <w:spacing w:before="20" w:after="40" w:line="288" w:lineRule="auto"/>
        <w:ind w:left="360" w:hanging="216"/>
      </w:pPr>
      <w:r>
        <w:rPr>
          <w:b/>
          <w:color w:val="2563EB"/>
        </w:rPr>
        <w:t xml:space="preserve">• </w:t>
      </w:r>
      <w:r>
        <w:rPr>
          <w:rFonts w:ascii="Arial" w:hAnsi="Arial"/>
          <w:b/>
          <w:i w:val="0"/>
          <w:color w:val="1F2937"/>
          <w:sz w:val="21"/>
        </w:rPr>
        <w:t>Expected Net Value (ENV)</w:t>
      </w:r>
      <w:r>
        <w:rPr>
          <w:rFonts w:ascii="Arial" w:hAnsi="Arial"/>
          <w:i w:val="0"/>
          <w:color w:val="1F2937"/>
          <w:sz w:val="21"/>
        </w:rPr>
        <w:t>: $\mathbf{+\$275,230.47}$ (highest net financial surplus).</w:t>
      </w:r>
    </w:p>
    <w:p>
      <w:pPr>
        <w:spacing w:before="20" w:after="40" w:line="288" w:lineRule="auto"/>
        <w:ind w:left="360" w:hanging="216"/>
      </w:pPr>
      <w:r>
        <w:rPr>
          <w:b/>
          <w:color w:val="2563EB"/>
        </w:rPr>
        <w:t xml:space="preserve">• </w:t>
      </w:r>
      <w:r>
        <w:rPr>
          <w:rFonts w:ascii="Arial" w:hAnsi="Arial"/>
          <w:b/>
          <w:i w:val="0"/>
          <w:color w:val="1F2937"/>
          <w:sz w:val="21"/>
        </w:rPr>
        <w:t>Realized Operational Loss</w:t>
      </w:r>
      <w:r>
        <w:rPr>
          <w:rFonts w:ascii="Arial" w:hAnsi="Arial"/>
          <w:i w:val="0"/>
          <w:color w:val="1F2937"/>
          <w:sz w:val="21"/>
        </w:rPr>
        <w:t>: $\mathbf{\$64,842.91}$ (</w:t>
      </w:r>
      <w:r>
        <w:rPr>
          <w:rFonts w:ascii="Arial" w:hAnsi="Arial"/>
          <w:b/>
          <w:i w:val="0"/>
          <w:color w:val="1F2937"/>
          <w:sz w:val="21"/>
        </w:rPr>
        <w:t>lowest operational loss across all evaluated policies</w:t>
      </w:r>
      <w:r>
        <w:rPr>
          <w:rFonts w:ascii="Arial" w:hAnsi="Arial"/>
          <w:i w:val="0"/>
          <w:color w:val="1F2937"/>
          <w:sz w:val="21"/>
        </w:rPr>
        <w:t>).</w:t>
      </w:r>
    </w:p>
    <w:p>
      <w:pPr>
        <w:pStyle w:val="Heading3"/>
      </w:pPr>
      <w:r>
        <w:t>3. Production Serving &amp; Quality Assurance Benchmarks</w:t>
      </w:r>
    </w:p>
    <w:p>
      <w:pPr>
        <w:spacing w:before="20" w:after="40" w:line="288" w:lineRule="auto"/>
        <w:ind w:left="360" w:hanging="216"/>
      </w:pPr>
      <w:r>
        <w:rPr>
          <w:b/>
          <w:color w:val="2563EB"/>
        </w:rPr>
        <w:t xml:space="preserve">• </w:t>
      </w:r>
      <w:r>
        <w:rPr>
          <w:rFonts w:ascii="Arial" w:hAnsi="Arial"/>
          <w:b/>
          <w:i w:val="0"/>
          <w:color w:val="1F2937"/>
          <w:sz w:val="21"/>
        </w:rPr>
        <w:t>FastAPI Startup Time</w:t>
      </w:r>
      <w:r>
        <w:rPr>
          <w:rFonts w:ascii="Arial" w:hAnsi="Arial"/>
          <w:i w:val="0"/>
          <w:color w:val="1F2937"/>
          <w:sz w:val="21"/>
        </w:rPr>
        <w:t xml:space="preserve">: </w:t>
      </w:r>
      <w:r>
        <w:rPr>
          <w:rFonts w:ascii="Consolas" w:hAnsi="Consolas"/>
          <w:i w:val="0"/>
          <w:color w:val="B91C1C"/>
          <w:sz w:val="19"/>
        </w:rPr>
        <w:t>0.265 s</w:t>
      </w:r>
      <w:r>
        <w:rPr>
          <w:rFonts w:ascii="Arial" w:hAnsi="Arial"/>
          <w:i w:val="0"/>
          <w:color w:val="1F2937"/>
          <w:sz w:val="21"/>
        </w:rPr>
        <w:t xml:space="preserve"> (including single-load memory pinning of booster and Tree-SHAP explainer).</w:t>
      </w:r>
    </w:p>
    <w:p>
      <w:pPr>
        <w:spacing w:before="20" w:after="40" w:line="288" w:lineRule="auto"/>
        <w:ind w:left="360" w:hanging="216"/>
      </w:pPr>
      <w:r>
        <w:rPr>
          <w:b/>
          <w:color w:val="2563EB"/>
        </w:rPr>
        <w:t xml:space="preserve">• </w:t>
      </w:r>
      <w:r>
        <w:rPr>
          <w:rFonts w:ascii="Arial" w:hAnsi="Arial"/>
          <w:b/>
          <w:i w:val="0"/>
          <w:color w:val="1F2937"/>
          <w:sz w:val="21"/>
        </w:rPr>
        <w:t>Single-Meter Prediction Latency</w:t>
      </w:r>
      <w:r>
        <w:rPr>
          <w:rFonts w:ascii="Arial" w:hAnsi="Arial"/>
          <w:i w:val="0"/>
          <w:color w:val="1F2937"/>
          <w:sz w:val="21"/>
        </w:rPr>
        <w:t xml:space="preserve">: </w:t>
      </w:r>
      <w:r>
        <w:rPr>
          <w:rFonts w:ascii="Consolas" w:hAnsi="Consolas"/>
          <w:i w:val="0"/>
          <w:color w:val="B91C1C"/>
          <w:sz w:val="19"/>
        </w:rPr>
        <w:t>2.2 ms</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Single-Meter Prediction + Full Tree-SHAP Attribution</w:t>
      </w:r>
      <w:r>
        <w:rPr>
          <w:rFonts w:ascii="Arial" w:hAnsi="Arial"/>
          <w:i w:val="0"/>
          <w:color w:val="1F2937"/>
          <w:sz w:val="21"/>
        </w:rPr>
        <w:t xml:space="preserve">: </w:t>
      </w:r>
      <w:r>
        <w:rPr>
          <w:rFonts w:ascii="Consolas" w:hAnsi="Consolas"/>
          <w:i w:val="0"/>
          <w:color w:val="B91C1C"/>
          <w:sz w:val="19"/>
        </w:rPr>
        <w:t>12.8 ms</w:t>
      </w:r>
      <w:r>
        <w:rPr>
          <w:rFonts w:ascii="Arial" w:hAnsi="Arial"/>
          <w:i w:val="0"/>
          <w:color w:val="1F2937"/>
          <w:sz w:val="21"/>
        </w:rPr>
        <w:t xml:space="preserve"> (P95: </w:t>
      </w:r>
      <w:r>
        <w:rPr>
          <w:rFonts w:ascii="Consolas" w:hAnsi="Consolas"/>
          <w:i w:val="0"/>
          <w:color w:val="B91C1C"/>
          <w:sz w:val="19"/>
        </w:rPr>
        <w:t>29.1 ms</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Batch Processing Throughput</w:t>
      </w:r>
      <w:r>
        <w:rPr>
          <w:rFonts w:ascii="Arial" w:hAnsi="Arial"/>
          <w:i w:val="0"/>
          <w:color w:val="1F2937"/>
          <w:sz w:val="21"/>
        </w:rPr>
        <w:t xml:space="preserve">: </w:t>
      </w:r>
      <w:r>
        <w:rPr>
          <w:rFonts w:ascii="Consolas" w:hAnsi="Consolas"/>
          <w:i w:val="0"/>
          <w:color w:val="B91C1C"/>
          <w:sz w:val="19"/>
        </w:rPr>
        <w:t>25.0 ms / meter</w:t>
      </w:r>
      <w:r>
        <w:rPr>
          <w:rFonts w:ascii="Arial" w:hAnsi="Arial"/>
          <w:i w:val="0"/>
          <w:color w:val="1F2937"/>
          <w:sz w:val="21"/>
        </w:rPr>
        <w:t xml:space="preserve"> (50-meter batch processes in </w:t>
      </w:r>
      <w:r>
        <w:rPr>
          <w:rFonts w:ascii="Consolas" w:hAnsi="Consolas"/>
          <w:i w:val="0"/>
          <w:color w:val="B91C1C"/>
          <w:sz w:val="19"/>
        </w:rPr>
        <w:t>~1.2 s</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Automated Regression Suite</w:t>
      </w:r>
      <w:r>
        <w:rPr>
          <w:rFonts w:ascii="Arial" w:hAnsi="Arial"/>
          <w:i w:val="0"/>
          <w:color w:val="1F2937"/>
          <w:sz w:val="21"/>
        </w:rPr>
        <w:t xml:space="preserve">: </w:t>
      </w:r>
      <w:r>
        <w:rPr>
          <w:rFonts w:ascii="Arial" w:hAnsi="Arial"/>
          <w:b/>
          <w:i w:val="0"/>
          <w:color w:val="1F2937"/>
          <w:sz w:val="21"/>
        </w:rPr>
        <w:t>162 passed tests</w:t>
      </w:r>
      <w:r>
        <w:rPr>
          <w:rFonts w:ascii="Arial" w:hAnsi="Arial"/>
          <w:i w:val="0"/>
          <w:color w:val="1F2937"/>
          <w:sz w:val="21"/>
        </w:rPr>
        <w:t xml:space="preserve"> (0 failed, 0 skipped, 100% passing across Phases 1–10).</w:t>
      </w:r>
    </w:p>
    <w:p>
      <w:pPr>
        <w:spacing w:before="20" w:after="40" w:line="288" w:lineRule="auto"/>
        <w:ind w:left="360" w:hanging="216"/>
      </w:pPr>
      <w:r>
        <w:rPr>
          <w:b/>
          <w:color w:val="2563EB"/>
        </w:rPr>
        <w:t xml:space="preserve">• </w:t>
      </w:r>
      <w:r>
        <w:rPr>
          <w:rFonts w:ascii="Arial" w:hAnsi="Arial"/>
          <w:b/>
          <w:i w:val="0"/>
          <w:color w:val="1F2937"/>
          <w:sz w:val="21"/>
        </w:rPr>
        <w:t>Code Quality Compliance</w:t>
      </w:r>
      <w:r>
        <w:rPr>
          <w:rFonts w:ascii="Arial" w:hAnsi="Arial"/>
          <w:i w:val="0"/>
          <w:color w:val="1F2937"/>
          <w:sz w:val="21"/>
        </w:rPr>
        <w:t xml:space="preserve">: </w:t>
      </w:r>
      <w:r>
        <w:rPr>
          <w:rFonts w:ascii="Consolas" w:hAnsi="Consolas"/>
          <w:i w:val="0"/>
          <w:color w:val="B91C1C"/>
          <w:sz w:val="19"/>
        </w:rPr>
        <w:t>0 errors</w:t>
      </w:r>
      <w:r>
        <w:rPr>
          <w:rFonts w:ascii="Arial" w:hAnsi="Arial"/>
          <w:i w:val="0"/>
          <w:color w:val="1F2937"/>
          <w:sz w:val="21"/>
        </w:rPr>
        <w:t xml:space="preserve"> via Ruff static analysis across 185 source files.</w:t>
      </w:r>
    </w:p>
    <w:p>
      <w:r>
        <w:br w:type="page"/>
      </w:r>
    </w:p>
    <w:p>
      <w:pPr>
        <w:pStyle w:val="Heading1"/>
      </w:pPr>
      <w:r>
        <w:t>7. SYSTEM ANALYSIS</w:t>
      </w:r>
    </w:p>
    <w:p>
      <w:pPr>
        <w:pStyle w:val="Heading2"/>
      </w:pPr>
      <w:r>
        <w:t>7.1 Problem Domain Analysis &amp; Stakeholder Identification</w:t>
      </w:r>
    </w:p>
    <w:p>
      <w:pPr/>
      <w:r>
        <w:rPr>
          <w:rFonts w:ascii="Arial" w:hAnsi="Arial"/>
          <w:i w:val="0"/>
          <w:color w:val="1F2937"/>
          <w:sz w:val="21"/>
        </w:rPr>
        <w:t>The problem domain of Grid-Guard encompasses electric utility operations, cyber-physical smart grid telemetry, revenue protection engineering, and cost-sensitive machine learning. Non-technical losses (NTL)—primarily consisting of meter bypassing, phase diversion, magnetic manipulation, and meter calibration tampering—threaten the economic stability and operational reliability of power distribution companies.</w:t>
      </w:r>
    </w:p>
    <w:p>
      <w:pPr/>
      <w:r>
        <w:rPr>
          <w:rFonts w:ascii="Arial" w:hAnsi="Arial"/>
          <w:i w:val="0"/>
          <w:color w:val="1F2937"/>
          <w:sz w:val="21"/>
        </w:rPr>
        <w:t>A thorough system analysis requires decomposing the domain into distinct organizational stakeholders, their operational objectives, and their practical constraints:</w:t>
      </w:r>
    </w:p>
    <w:p>
      <w:pPr>
        <w:spacing w:before="40" w:after="40" w:line="288" w:lineRule="auto"/>
        <w:ind w:left="432" w:hanging="288"/>
      </w:pPr>
      <w:r>
        <w:rPr>
          <w:b/>
          <w:color w:val="1E3A8A"/>
        </w:rPr>
        <w:t xml:space="preserve">1. </w:t>
      </w:r>
      <w:r>
        <w:rPr>
          <w:rFonts w:ascii="Arial" w:hAnsi="Arial"/>
          <w:b/>
          <w:i w:val="0"/>
          <w:color w:val="1F2937"/>
          <w:sz w:val="21"/>
        </w:rPr>
        <w:t>Utility Revenue Protection Directors</w:t>
      </w:r>
      <w:r>
        <w:rPr>
          <w:rFonts w:ascii="Arial" w:hAnsi="Arial"/>
          <w:i w:val="0"/>
          <w:color w:val="1F2937"/>
          <w:sz w:val="21"/>
        </w:rPr>
        <w:t>: Executive decision-makers responsible for mitigating system losses, hitting regulatory targets, and defending capital allocations. Their primary objective is maximizing net recovered revenue while keeping operational inspection expenditures strictly bounded.</w:t>
      </w:r>
    </w:p>
    <w:p>
      <w:pPr>
        <w:spacing w:before="40" w:after="40" w:line="288" w:lineRule="auto"/>
        <w:ind w:left="432" w:hanging="288"/>
      </w:pPr>
      <w:r>
        <w:rPr>
          <w:b/>
          <w:color w:val="1E3A8A"/>
        </w:rPr>
        <w:t xml:space="preserve">2. </w:t>
      </w:r>
      <w:r>
        <w:rPr>
          <w:rFonts w:ascii="Arial" w:hAnsi="Arial"/>
          <w:b/>
          <w:i w:val="0"/>
          <w:color w:val="1F2937"/>
          <w:sz w:val="21"/>
        </w:rPr>
        <w:t>Field Dispatch Supervisors</w:t>
      </w:r>
      <w:r>
        <w:rPr>
          <w:rFonts w:ascii="Arial" w:hAnsi="Arial"/>
          <w:i w:val="0"/>
          <w:color w:val="1F2937"/>
          <w:sz w:val="21"/>
        </w:rPr>
        <w:t>: Operational logistics coordinators tasked with scheduling technician crews, assigning geographic routes, and monitoring inspection completion rates. They require daily prioritized inspection queues that respect physical crew capacity (e.g., a hard limit of 50 to 100 audits per week) and avoid demoralizing crews with high rates of false-positive alarms.</w:t>
      </w:r>
    </w:p>
    <w:p>
      <w:pPr>
        <w:spacing w:before="40" w:after="40" w:line="288" w:lineRule="auto"/>
        <w:ind w:left="432" w:hanging="288"/>
      </w:pPr>
      <w:r>
        <w:rPr>
          <w:b/>
          <w:color w:val="1E3A8A"/>
        </w:rPr>
        <w:t xml:space="preserve">3. </w:t>
      </w:r>
      <w:r>
        <w:rPr>
          <w:rFonts w:ascii="Arial" w:hAnsi="Arial"/>
          <w:b/>
          <w:i w:val="0"/>
          <w:color w:val="1F2937"/>
          <w:sz w:val="21"/>
        </w:rPr>
        <w:t>Field Inspection Technicians</w:t>
      </w:r>
      <w:r>
        <w:rPr>
          <w:rFonts w:ascii="Arial" w:hAnsi="Arial"/>
          <w:i w:val="0"/>
          <w:color w:val="1F2937"/>
          <w:sz w:val="21"/>
        </w:rPr>
        <w:t xml:space="preserve">: Physical frontline crews who travel to customer premises, conduct visual seal examinations, check terminal blocks, and attach calibration reference meters. They require precise, diagnostic inspection reasons explaining </w:t>
      </w:r>
      <w:r>
        <w:rPr>
          <w:rFonts w:ascii="Arial" w:hAnsi="Arial"/>
          <w:i/>
          <w:color w:val="1F2937"/>
          <w:sz w:val="21"/>
        </w:rPr>
        <w:t>what physical anomaly pattern was detected</w:t>
      </w:r>
      <w:r>
        <w:rPr>
          <w:rFonts w:ascii="Arial" w:hAnsi="Arial"/>
          <w:i w:val="0"/>
          <w:color w:val="1F2937"/>
          <w:sz w:val="21"/>
        </w:rPr>
        <w:t xml:space="preserve"> (e.g., sudden level drop vs. diurnal variance collapse) and what physical risks (e.g., exposed live terminals) to anticipate.</w:t>
      </w:r>
    </w:p>
    <w:p>
      <w:pPr>
        <w:spacing w:before="40" w:after="40" w:line="288" w:lineRule="auto"/>
        <w:ind w:left="432" w:hanging="288"/>
      </w:pPr>
      <w:r>
        <w:rPr>
          <w:b/>
          <w:color w:val="1E3A8A"/>
        </w:rPr>
        <w:t xml:space="preserve">4. </w:t>
      </w:r>
      <w:r>
        <w:rPr>
          <w:rFonts w:ascii="Arial" w:hAnsi="Arial"/>
          <w:b/>
          <w:i w:val="0"/>
          <w:color w:val="1F2937"/>
          <w:sz w:val="21"/>
        </w:rPr>
        <w:t>Utility Regulatory Commissions &amp; Consumers</w:t>
      </w:r>
      <w:r>
        <w:rPr>
          <w:rFonts w:ascii="Arial" w:hAnsi="Arial"/>
          <w:i w:val="0"/>
          <w:color w:val="1F2937"/>
          <w:sz w:val="21"/>
        </w:rPr>
        <w:t>: External oversight bodies that enforce consumer rights and tariff fairness. If a utility accuses a customer of theft, the utility bears the legal burden of proof. The detection system must therefore provide transparent, interpretable, and reproducible historical evidence rather than black-box score assertions.</w:t>
      </w:r>
    </w:p>
    <w:p>
      <w:pPr>
        <w:pStyle w:val="Heading2"/>
      </w:pPr>
      <w:r>
        <w:t>7.2 Functional Requirements Analysis</w:t>
      </w:r>
    </w:p>
    <w:p>
      <w:pPr/>
      <w:r>
        <w:rPr>
          <w:rFonts w:ascii="Arial" w:hAnsi="Arial"/>
          <w:i w:val="0"/>
          <w:color w:val="1F2937"/>
          <w:sz w:val="21"/>
        </w:rPr>
        <w:t>From an engineering perspective, Grid-Guard must execute five core functional transformations:</w:t>
      </w:r>
    </w:p>
    <w:p>
      <w:pPr>
        <w:spacing w:before="20" w:after="40" w:line="288" w:lineRule="auto"/>
        <w:ind w:left="360" w:hanging="216"/>
      </w:pPr>
      <w:r>
        <w:rPr>
          <w:b/>
          <w:color w:val="2563EB"/>
        </w:rPr>
        <w:t xml:space="preserve">• </w:t>
      </w:r>
      <w:r>
        <w:rPr>
          <w:rFonts w:ascii="Arial" w:hAnsi="Arial"/>
          <w:b/>
          <w:i w:val="0"/>
          <w:color w:val="1F2937"/>
          <w:sz w:val="21"/>
        </w:rPr>
        <w:t>Telemetry Ingestion &amp; Quality Control</w:t>
      </w:r>
      <w:r>
        <w:rPr>
          <w:rFonts w:ascii="Arial" w:hAnsi="Arial"/>
          <w:i w:val="0"/>
          <w:color w:val="1F2937"/>
          <w:sz w:val="21"/>
        </w:rPr>
        <w:t>: Ingest multi-year smart meter consumption data, identify corrupt or missing records, clip physically impossible negative values, and apply bounded interpolation without distorting underlying demand dynamics.</w:t>
      </w:r>
    </w:p>
    <w:p>
      <w:pPr>
        <w:spacing w:before="20" w:after="40" w:line="288" w:lineRule="auto"/>
        <w:ind w:left="360" w:hanging="216"/>
      </w:pPr>
      <w:r>
        <w:rPr>
          <w:b/>
          <w:color w:val="2563EB"/>
        </w:rPr>
        <w:t xml:space="preserve">• </w:t>
      </w:r>
      <w:r>
        <w:rPr>
          <w:rFonts w:ascii="Arial" w:hAnsi="Arial"/>
          <w:b/>
          <w:i w:val="0"/>
          <w:color w:val="1F2937"/>
          <w:sz w:val="21"/>
        </w:rPr>
        <w:t>Leakage-Safe Feature Generation</w:t>
      </w:r>
      <w:r>
        <w:rPr>
          <w:rFonts w:ascii="Arial" w:hAnsi="Arial"/>
          <w:i w:val="0"/>
          <w:color w:val="1F2937"/>
          <w:sz w:val="21"/>
        </w:rPr>
        <w:t>: Extract descriptive behavioral features across rolling historical windows without allowing future observations or cross-meter fleet aggregates to leak into past evaluation dates.</w:t>
      </w:r>
    </w:p>
    <w:p>
      <w:pPr>
        <w:spacing w:before="20" w:after="40" w:line="288" w:lineRule="auto"/>
        <w:ind w:left="360" w:hanging="216"/>
      </w:pPr>
      <w:r>
        <w:rPr>
          <w:b/>
          <w:color w:val="2563EB"/>
        </w:rPr>
        <w:t xml:space="preserve">• </w:t>
      </w:r>
      <w:r>
        <w:rPr>
          <w:rFonts w:ascii="Arial" w:hAnsi="Arial"/>
          <w:b/>
          <w:i w:val="0"/>
          <w:color w:val="1F2937"/>
          <w:sz w:val="21"/>
        </w:rPr>
        <w:t>Cost-Sensitive Risk Scoring</w:t>
      </w:r>
      <w:r>
        <w:rPr>
          <w:rFonts w:ascii="Arial" w:hAnsi="Arial"/>
          <w:i w:val="0"/>
          <w:color w:val="1F2937"/>
          <w:sz w:val="21"/>
        </w:rPr>
        <w:t>: Produce posterior tampering probabilities that prioritize accounts with high financial exposure over low-consumption accounts where inspection cannot be economically justified.</w:t>
      </w:r>
    </w:p>
    <w:p>
      <w:pPr>
        <w:spacing w:before="20" w:after="40" w:line="288" w:lineRule="auto"/>
        <w:ind w:left="360" w:hanging="216"/>
      </w:pPr>
      <w:r>
        <w:rPr>
          <w:b/>
          <w:color w:val="2563EB"/>
        </w:rPr>
        <w:t xml:space="preserve">• </w:t>
      </w:r>
      <w:r>
        <w:rPr>
          <w:rFonts w:ascii="Arial" w:hAnsi="Arial"/>
          <w:b/>
          <w:i w:val="0"/>
          <w:color w:val="1F2937"/>
          <w:sz w:val="21"/>
        </w:rPr>
        <w:t>Dynamic Decision Optimization</w:t>
      </w:r>
      <w:r>
        <w:rPr>
          <w:rFonts w:ascii="Arial" w:hAnsi="Arial"/>
          <w:i w:val="0"/>
          <w:color w:val="1F2937"/>
          <w:sz w:val="21"/>
        </w:rPr>
        <w:t>: Evaluate consumer-specific unmetered energy volume, apply dynamic Bayes cost thresholds, and compute Expected Net Value ($ENV_i$) to rank meters by net economic yield under crew capacity limits.</w:t>
      </w:r>
    </w:p>
    <w:p>
      <w:pPr>
        <w:spacing w:before="20" w:after="40" w:line="288" w:lineRule="auto"/>
        <w:ind w:left="360" w:hanging="216"/>
      </w:pPr>
      <w:r>
        <w:rPr>
          <w:b/>
          <w:color w:val="2563EB"/>
        </w:rPr>
        <w:t xml:space="preserve">• </w:t>
      </w:r>
      <w:r>
        <w:rPr>
          <w:rFonts w:ascii="Arial" w:hAnsi="Arial"/>
          <w:b/>
          <w:i w:val="0"/>
          <w:color w:val="1F2937"/>
          <w:sz w:val="21"/>
        </w:rPr>
        <w:t>Transparent Attribution &amp; Work Order Delivery</w:t>
      </w:r>
      <w:r>
        <w:rPr>
          <w:rFonts w:ascii="Arial" w:hAnsi="Arial"/>
          <w:i w:val="0"/>
          <w:color w:val="1F2937"/>
          <w:sz w:val="21"/>
        </w:rPr>
        <w:t>: Generate Tree-SHAP local feature attributions, map them to human-interpretable tampering signatures, and expose the entire workflow through validated REST APIs and an operational dashboard.</w:t>
      </w:r>
    </w:p>
    <w:p>
      <w:pPr>
        <w:pStyle w:val="Heading2"/>
      </w:pPr>
      <w:r>
        <w:t>7.3 Non-Functional Requirements Analysis</w:t>
      </w:r>
    </w:p>
    <w:p>
      <w:pPr/>
      <w:r>
        <w:rPr>
          <w:rFonts w:ascii="Arial" w:hAnsi="Arial"/>
          <w:i w:val="0"/>
          <w:color w:val="1F2937"/>
          <w:sz w:val="21"/>
        </w:rPr>
        <w:t>The operational utility environment imposes rigorous non-functional constraints:</w:t>
      </w:r>
    </w:p>
    <w:p>
      <w:pPr>
        <w:spacing w:before="20" w:after="40" w:line="288" w:lineRule="auto"/>
        <w:ind w:left="360" w:hanging="216"/>
      </w:pPr>
      <w:r>
        <w:rPr>
          <w:b/>
          <w:color w:val="2563EB"/>
        </w:rPr>
        <w:t xml:space="preserve">• </w:t>
      </w:r>
      <w:r>
        <w:rPr>
          <w:rFonts w:ascii="Arial" w:hAnsi="Arial"/>
          <w:b/>
          <w:i w:val="0"/>
          <w:color w:val="1F2937"/>
          <w:sz w:val="21"/>
        </w:rPr>
        <w:t>Latency &amp; Throughput</w:t>
      </w:r>
      <w:r>
        <w:rPr>
          <w:rFonts w:ascii="Arial" w:hAnsi="Arial"/>
          <w:i w:val="0"/>
          <w:color w:val="1F2937"/>
          <w:sz w:val="21"/>
        </w:rPr>
        <w:t>: Single-meter inference and explainability generation must execute within interactive response times ($P95 &lt; 50$ ms) to support real-time analyst investigations. Batch fleet scoring across 40,000+ meters must complete within off-peak maintenance windows ($&lt; 15$ minutes).</w:t>
      </w:r>
    </w:p>
    <w:p>
      <w:pPr>
        <w:spacing w:before="20" w:after="40" w:line="288" w:lineRule="auto"/>
        <w:ind w:left="360" w:hanging="216"/>
      </w:pPr>
      <w:r>
        <w:rPr>
          <w:b/>
          <w:color w:val="2563EB"/>
        </w:rPr>
        <w:t xml:space="preserve">• </w:t>
      </w:r>
      <w:r>
        <w:rPr>
          <w:rFonts w:ascii="Arial" w:hAnsi="Arial"/>
          <w:b/>
          <w:i w:val="0"/>
          <w:color w:val="1F2937"/>
          <w:sz w:val="21"/>
        </w:rPr>
        <w:t>Mathematical Convexity &amp; Numerical Stability</w:t>
      </w:r>
      <w:r>
        <w:rPr>
          <w:rFonts w:ascii="Arial" w:hAnsi="Arial"/>
          <w:i w:val="0"/>
          <w:color w:val="1F2937"/>
          <w:sz w:val="21"/>
        </w:rPr>
        <w:t>: The custom cost-sensitive loss function must maintain strictly positive second derivatives (Hessians) across all margin values ($z_i \in (-\infty, \infty)$) to guarantee stable Newton-Raphson tree splitting without divergence.</w:t>
      </w:r>
    </w:p>
    <w:p>
      <w:pPr>
        <w:spacing w:before="20" w:after="40" w:line="288" w:lineRule="auto"/>
        <w:ind w:left="360" w:hanging="216"/>
      </w:pPr>
      <w:r>
        <w:rPr>
          <w:b/>
          <w:color w:val="2563EB"/>
        </w:rPr>
        <w:t xml:space="preserve">• </w:t>
      </w:r>
      <w:r>
        <w:rPr>
          <w:rFonts w:ascii="Arial" w:hAnsi="Arial"/>
          <w:b/>
          <w:i w:val="0"/>
          <w:color w:val="1F2937"/>
          <w:sz w:val="21"/>
        </w:rPr>
        <w:t>Auditability &amp; Evidentiary Integrity</w:t>
      </w:r>
      <w:r>
        <w:rPr>
          <w:rFonts w:ascii="Arial" w:hAnsi="Arial"/>
          <w:i w:val="0"/>
          <w:color w:val="1F2937"/>
          <w:sz w:val="21"/>
        </w:rPr>
        <w:t>: Model predictions, feature values, SHAP attributions, and financial assumptions must be fully deterministic and logged to provide legally defensible audit trails for regulatory compliance.</w:t>
      </w:r>
    </w:p>
    <w:p>
      <w:pPr>
        <w:spacing w:before="20" w:after="40" w:line="288" w:lineRule="auto"/>
        <w:ind w:left="360" w:hanging="216"/>
      </w:pPr>
      <w:r>
        <w:rPr>
          <w:b/>
          <w:color w:val="2563EB"/>
        </w:rPr>
        <w:t xml:space="preserve">• </w:t>
      </w:r>
      <w:r>
        <w:rPr>
          <w:rFonts w:ascii="Arial" w:hAnsi="Arial"/>
          <w:b/>
          <w:i w:val="0"/>
          <w:color w:val="1F2937"/>
          <w:sz w:val="21"/>
        </w:rPr>
        <w:t>Zero-Coupling Architectural Separation</w:t>
      </w:r>
      <w:r>
        <w:rPr>
          <w:rFonts w:ascii="Arial" w:hAnsi="Arial"/>
          <w:i w:val="0"/>
          <w:color w:val="1F2937"/>
          <w:sz w:val="21"/>
        </w:rPr>
        <w:t>: The presentation tier (dashboard) must remain strictly decoupled from core data science logic, interacting exclusively through authenticated, contract-validated REST endpoints.</w:t>
      </w:r>
    </w:p>
    <w:p>
      <w:pPr>
        <w:pStyle w:val="Heading2"/>
      </w:pPr>
      <w:r>
        <w:t>7.4 End-to-End Data &amp; Model Lifecycle Analysis</w:t>
      </w:r>
    </w:p>
    <w:p>
      <w:pPr/>
      <w:r>
        <w:rPr>
          <w:rFonts w:ascii="Arial" w:hAnsi="Arial"/>
          <w:i w:val="0"/>
          <w:color w:val="1F2937"/>
          <w:sz w:val="21"/>
        </w:rPr>
        <w:t>The system lifecycle spans four operational phases:</w:t>
      </w:r>
    </w:p>
    <w:p>
      <w:pPr>
        <w:spacing w:before="40" w:after="40" w:line="288" w:lineRule="auto"/>
        <w:ind w:left="432" w:hanging="288"/>
      </w:pPr>
      <w:r>
        <w:rPr>
          <w:b/>
          <w:color w:val="1E3A8A"/>
        </w:rPr>
        <w:t xml:space="preserve">1. </w:t>
      </w:r>
      <w:r>
        <w:rPr>
          <w:rFonts w:ascii="Arial" w:hAnsi="Arial"/>
          <w:b/>
          <w:i w:val="0"/>
          <w:color w:val="1F2937"/>
          <w:sz w:val="21"/>
        </w:rPr>
        <w:t>Historical Telemetry Aggregation</w:t>
      </w:r>
      <w:r>
        <w:rPr>
          <w:rFonts w:ascii="Arial" w:hAnsi="Arial"/>
          <w:i w:val="0"/>
          <w:color w:val="1F2937"/>
          <w:sz w:val="21"/>
        </w:rPr>
        <w:t>: Raw daily meter readings are collected from Advanced Metering Infrastructure (AMI) head-end systems, stored in columnar Parquet format, and partitioned temporally.</w:t>
      </w:r>
    </w:p>
    <w:p>
      <w:pPr>
        <w:spacing w:before="40" w:after="40" w:line="288" w:lineRule="auto"/>
        <w:ind w:left="432" w:hanging="288"/>
      </w:pPr>
      <w:r>
        <w:rPr>
          <w:b/>
          <w:color w:val="1E3A8A"/>
        </w:rPr>
        <w:t xml:space="preserve">2. </w:t>
      </w:r>
      <w:r>
        <w:rPr>
          <w:rFonts w:ascii="Arial" w:hAnsi="Arial"/>
          <w:b/>
          <w:i w:val="0"/>
          <w:color w:val="1F2937"/>
          <w:sz w:val="21"/>
        </w:rPr>
        <w:t>Causal Transformation</w:t>
      </w:r>
      <w:r>
        <w:rPr>
          <w:rFonts w:ascii="Arial" w:hAnsi="Arial"/>
          <w:i w:val="0"/>
          <w:color w:val="1F2937"/>
          <w:sz w:val="21"/>
        </w:rPr>
        <w:t>: Rolling temporal aggregations are computed up to evaluation time $T_{\text{eval}}$, producing fixed 60-dimensional feature vectors.</w:t>
      </w:r>
    </w:p>
    <w:p>
      <w:pPr>
        <w:spacing w:before="40" w:after="40" w:line="288" w:lineRule="auto"/>
        <w:ind w:left="432" w:hanging="288"/>
      </w:pPr>
      <w:r>
        <w:rPr>
          <w:b/>
          <w:color w:val="1E3A8A"/>
        </w:rPr>
        <w:t xml:space="preserve">3. </w:t>
      </w:r>
      <w:r>
        <w:rPr>
          <w:rFonts w:ascii="Arial" w:hAnsi="Arial"/>
          <w:b/>
          <w:i w:val="0"/>
          <w:color w:val="1F2937"/>
          <w:sz w:val="21"/>
        </w:rPr>
        <w:t>Inference &amp; Decision Formulation</w:t>
      </w:r>
      <w:r>
        <w:rPr>
          <w:rFonts w:ascii="Arial" w:hAnsi="Arial"/>
          <w:i w:val="0"/>
          <w:color w:val="1F2937"/>
          <w:sz w:val="21"/>
        </w:rPr>
        <w:t>: The preloaded LightGBM booster computes posterior probabilities, the financial engine estimates recoverable unmetered volume, and the decision engine calculates $ENV_i$.</w:t>
      </w:r>
    </w:p>
    <w:p>
      <w:pPr>
        <w:spacing w:before="40" w:after="40" w:line="288" w:lineRule="auto"/>
        <w:ind w:left="432" w:hanging="288"/>
      </w:pPr>
      <w:r>
        <w:rPr>
          <w:b/>
          <w:color w:val="1E3A8A"/>
        </w:rPr>
        <w:t xml:space="preserve">4. </w:t>
      </w:r>
      <w:r>
        <w:rPr>
          <w:rFonts w:ascii="Arial" w:hAnsi="Arial"/>
          <w:b/>
          <w:i w:val="0"/>
          <w:color w:val="1F2937"/>
          <w:sz w:val="21"/>
        </w:rPr>
        <w:t>Operational Closed-Loop Dispatch</w:t>
      </w:r>
      <w:r>
        <w:rPr>
          <w:rFonts w:ascii="Arial" w:hAnsi="Arial"/>
          <w:i w:val="0"/>
          <w:color w:val="1F2937"/>
          <w:sz w:val="21"/>
        </w:rPr>
        <w:t>: Candidate meters satisfying $ENV_i &gt; 0$ are compiled into work-order tickets, enriched with Tree-SHAP narratives, and dispatched to field crews.</w:t>
      </w:r>
    </w:p>
    <w:p>
      <w:pPr>
        <w:pStyle w:val="Heading2"/>
      </w:pPr>
      <w:r>
        <w:t>7.5 Technical and Operational Constraints</w:t>
      </w:r>
    </w:p>
    <w:p>
      <w:pPr>
        <w:spacing w:before="20" w:after="40" w:line="288" w:lineRule="auto"/>
        <w:ind w:left="360" w:hanging="216"/>
      </w:pPr>
      <w:r>
        <w:rPr>
          <w:b/>
          <w:color w:val="2563EB"/>
        </w:rPr>
        <w:t xml:space="preserve">• </w:t>
      </w:r>
      <w:r>
        <w:rPr>
          <w:rFonts w:ascii="Arial" w:hAnsi="Arial"/>
          <w:b/>
          <w:i w:val="0"/>
          <w:color w:val="1F2937"/>
          <w:sz w:val="21"/>
        </w:rPr>
        <w:t>Telemetry Resolution</w:t>
      </w:r>
      <w:r>
        <w:rPr>
          <w:rFonts w:ascii="Arial" w:hAnsi="Arial"/>
          <w:i w:val="0"/>
          <w:color w:val="1F2937"/>
          <w:sz w:val="21"/>
        </w:rPr>
        <w:t>: Telemetry is restricted to daily active energy readings (kWh). Granular power-quality indicators (e.g., reactive power, phase angle, total harmonic distortion) are unavailable in standard historical benchmarks.</w:t>
      </w:r>
    </w:p>
    <w:p>
      <w:pPr>
        <w:spacing w:before="20" w:after="40" w:line="288" w:lineRule="auto"/>
        <w:ind w:left="360" w:hanging="216"/>
      </w:pPr>
      <w:r>
        <w:rPr>
          <w:b/>
          <w:color w:val="2563EB"/>
        </w:rPr>
        <w:t xml:space="preserve">• </w:t>
      </w:r>
      <w:r>
        <w:rPr>
          <w:rFonts w:ascii="Arial" w:hAnsi="Arial"/>
          <w:b/>
          <w:i w:val="0"/>
          <w:color w:val="1F2937"/>
          <w:sz w:val="21"/>
        </w:rPr>
        <w:t>Class Imbalance</w:t>
      </w:r>
      <w:r>
        <w:rPr>
          <w:rFonts w:ascii="Arial" w:hAnsi="Arial"/>
          <w:i w:val="0"/>
          <w:color w:val="1F2937"/>
          <w:sz w:val="21"/>
        </w:rPr>
        <w:t>: Positive tampering cases represent only 8.53% of the dataset, imposing severe risk of classifier bias toward the dominant honest majority.</w:t>
      </w:r>
    </w:p>
    <w:p>
      <w:pPr>
        <w:spacing w:before="20" w:after="40" w:line="288" w:lineRule="auto"/>
        <w:ind w:left="360" w:hanging="216"/>
      </w:pPr>
      <w:r>
        <w:rPr>
          <w:b/>
          <w:color w:val="2563EB"/>
        </w:rPr>
        <w:t xml:space="preserve">• </w:t>
      </w:r>
      <w:r>
        <w:rPr>
          <w:rFonts w:ascii="Arial" w:hAnsi="Arial"/>
          <w:b/>
          <w:i w:val="0"/>
          <w:color w:val="1F2937"/>
          <w:sz w:val="21"/>
        </w:rPr>
        <w:t>Finite Inspection Workforce</w:t>
      </w:r>
      <w:r>
        <w:rPr>
          <w:rFonts w:ascii="Arial" w:hAnsi="Arial"/>
          <w:i w:val="0"/>
          <w:color w:val="1F2937"/>
          <w:sz w:val="21"/>
        </w:rPr>
        <w:t>: Field crews can inspect only a tiny fraction of the meter fleet (typically 1% to 2% per quarter), necessitating aggressive false-positive filtering.</w:t>
      </w:r>
    </w:p>
    <w:p>
      <w:pPr>
        <w:spacing w:before="20" w:after="40" w:line="288" w:lineRule="auto"/>
        <w:ind w:left="360" w:hanging="216"/>
      </w:pPr>
      <w:r>
        <w:rPr>
          <w:b/>
          <w:color w:val="2563EB"/>
        </w:rPr>
        <w:t xml:space="preserve">• </w:t>
      </w:r>
      <w:r>
        <w:rPr>
          <w:rFonts w:ascii="Arial" w:hAnsi="Arial"/>
          <w:b/>
          <w:i w:val="0"/>
          <w:color w:val="1F2937"/>
          <w:sz w:val="21"/>
        </w:rPr>
        <w:t>Asymmetric Cost Structure</w:t>
      </w:r>
      <w:r>
        <w:rPr>
          <w:rFonts w:ascii="Arial" w:hAnsi="Arial"/>
          <w:i w:val="0"/>
          <w:color w:val="1F2937"/>
          <w:sz w:val="21"/>
        </w:rPr>
        <w:t>: Deploying a field crew costs a fixed fee ($C_{\text{dispatch}} = \$100.00$), whereas failing to detect an industrial theft can cost thousands of dollars in lost utility revenue.</w:t>
      </w:r>
    </w:p>
    <w:p>
      <w:pPr>
        <w:pStyle w:val="Heading2"/>
      </w:pPr>
      <w:r>
        <w:t>7.6 Risk Analysis and Systematic Mitigation Matrix</w:t>
      </w:r>
    </w:p>
    <w:p>
      <w:pPr/>
      <w:r>
        <w:rPr>
          <w:rFonts w:ascii="Arial" w:hAnsi="Arial"/>
          <w:i w:val="0"/>
          <w:color w:val="1F2937"/>
          <w:sz w:val="21"/>
        </w:rPr>
        <w:t>The operational deployment of an algorithmic revenue protection system carries distinct technical, financial, and organizational risks: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Risk Category</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Identified Failure Mode / Threat</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Operational Impact</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Grid-Guard Systematic Mitigation</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Technical</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Lookahead data leakage in feature pipeline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Artificially inflated validation metrics; model failure in production</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Enforced strictly causal Polars rolling expressions; verified with synthetic time-shift shift tests.</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Algorithmic</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Second-order Hessian collapse in custom loss</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LightGBM booster divergence; infinite leaf values</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Formulated weighted log-loss surrogate with strictly bounded, non-zero Hessian ($h_i &gt; 0$).</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Financial</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Value-destroying dispatches on low-volume accounts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Wasting $100 crew expenses on meters with $&lt; \$30$ recoverable revenue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Enforced Expected Net Value filter ($ENV_i &gt; 0$); automatically rejects uneconomic dispatches.</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Operational</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Field crew distrust of "black-box" model alerts</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Superficial audits; missed covert subterranean taps</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Implemented Tree-SHAP local attributions and automated plain-English physical signature narratives.</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Systemic</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 API latency during interactive fleet audits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Dashboard timeouts; degraded user experience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Implemented ASGI lifespan booster memory caching; pre-compiled tree representations in RAM.</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8. EXISTING SYSTEM</w:t>
      </w:r>
    </w:p>
    <w:p>
      <w:pPr>
        <w:pStyle w:val="Heading2"/>
      </w:pPr>
      <w:r>
        <w:t>8.1 Rule-Based Heuristics &amp; Static Consumption Thresholds</w:t>
      </w:r>
    </w:p>
    <w:p>
      <w:pPr/>
      <w:r>
        <w:rPr>
          <w:rFonts w:ascii="Arial" w:hAnsi="Arial"/>
          <w:i w:val="0"/>
          <w:color w:val="1F2937"/>
          <w:sz w:val="21"/>
        </w:rPr>
        <w:t>Historically, electric distribution utilities have relied on simple, deterministic rule-based algorithms embedded within legacy Customer Information Systems (CIS) or meter data management software (MDMS). Common heuristic rules include:</w:t>
      </w:r>
    </w:p>
    <w:p>
      <w:pPr>
        <w:spacing w:before="20" w:after="40" w:line="288" w:lineRule="auto"/>
        <w:ind w:left="360" w:hanging="216"/>
      </w:pPr>
      <w:r>
        <w:rPr>
          <w:b/>
          <w:color w:val="2563EB"/>
        </w:rPr>
        <w:t xml:space="preserve">• </w:t>
      </w:r>
      <w:r>
        <w:rPr>
          <w:rFonts w:ascii="Arial" w:hAnsi="Arial"/>
          <w:b/>
          <w:i w:val="0"/>
          <w:color w:val="1F2937"/>
          <w:sz w:val="21"/>
        </w:rPr>
        <w:t>Zero-Consumption Alerts</w:t>
      </w:r>
      <w:r>
        <w:rPr>
          <w:rFonts w:ascii="Arial" w:hAnsi="Arial"/>
          <w:i w:val="0"/>
          <w:color w:val="1F2937"/>
          <w:sz w:val="21"/>
        </w:rPr>
        <w:t>: Flagging any residential meter that records exactly 0.00 kWh consecutively for more than 15 or 30 days.</w:t>
      </w:r>
    </w:p>
    <w:p>
      <w:pPr>
        <w:spacing w:before="20" w:after="40" w:line="288" w:lineRule="auto"/>
        <w:ind w:left="360" w:hanging="216"/>
      </w:pPr>
      <w:r>
        <w:rPr>
          <w:b/>
          <w:color w:val="2563EB"/>
        </w:rPr>
        <w:t xml:space="preserve">• </w:t>
      </w:r>
      <w:r>
        <w:rPr>
          <w:rFonts w:ascii="Arial" w:hAnsi="Arial"/>
          <w:b/>
          <w:i w:val="0"/>
          <w:color w:val="1F2937"/>
          <w:sz w:val="21"/>
        </w:rPr>
        <w:t>Percentage Drop Thresholds</w:t>
      </w:r>
      <w:r>
        <w:rPr>
          <w:rFonts w:ascii="Arial" w:hAnsi="Arial"/>
          <w:i w:val="0"/>
          <w:color w:val="1F2937"/>
          <w:sz w:val="21"/>
        </w:rPr>
        <w:t>: Triggering an alert if a consumer's monthly consumption falls by more than 50% or 70% compared to the same calendar month of the previous year.</w:t>
      </w:r>
    </w:p>
    <w:p>
      <w:pPr>
        <w:spacing w:before="20" w:after="40" w:line="288" w:lineRule="auto"/>
        <w:ind w:left="360" w:hanging="216"/>
      </w:pPr>
      <w:r>
        <w:rPr>
          <w:b/>
          <w:color w:val="2563EB"/>
        </w:rPr>
        <w:t xml:space="preserve">• </w:t>
      </w:r>
      <w:r>
        <w:rPr>
          <w:rFonts w:ascii="Arial" w:hAnsi="Arial"/>
          <w:b/>
          <w:i w:val="0"/>
          <w:color w:val="1F2937"/>
          <w:sz w:val="21"/>
        </w:rPr>
        <w:t>Connected Load Discrepancies</w:t>
      </w:r>
      <w:r>
        <w:rPr>
          <w:rFonts w:ascii="Arial" w:hAnsi="Arial"/>
          <w:i w:val="0"/>
          <w:color w:val="1F2937"/>
          <w:sz w:val="21"/>
        </w:rPr>
        <w:t>: Comparing billed consumption against the customer's sanctioned connection capacity (kVA), flagging accounts with implausibly low load factors.</w:t>
      </w:r>
    </w:p>
    <w:p>
      <w:pPr/>
      <w:r>
        <w:rPr>
          <w:rFonts w:ascii="Arial" w:hAnsi="Arial"/>
          <w:i w:val="0"/>
          <w:color w:val="1F2937"/>
          <w:sz w:val="21"/>
        </w:rPr>
        <w:t>While simple to implement and understand, deterministic heuristics suffer from severe operational flaws:</w:t>
      </w:r>
    </w:p>
    <w:p>
      <w:pPr>
        <w:spacing w:before="20" w:after="40" w:line="288" w:lineRule="auto"/>
        <w:ind w:left="360" w:hanging="216"/>
      </w:pPr>
      <w:r>
        <w:rPr>
          <w:b/>
          <w:color w:val="2563EB"/>
        </w:rPr>
        <w:t xml:space="preserve">• </w:t>
      </w:r>
      <w:r>
        <w:rPr>
          <w:rFonts w:ascii="Arial" w:hAnsi="Arial"/>
          <w:i w:val="0"/>
          <w:color w:val="1F2937"/>
          <w:sz w:val="21"/>
        </w:rPr>
        <w:t>They cannot distinguish between legitimate structural changes (e.g., prolonged vacation, adoption of rooftop solar, household vacancy) and intentional energy diversion.</w:t>
      </w:r>
    </w:p>
    <w:p>
      <w:pPr>
        <w:spacing w:before="20" w:after="40" w:line="288" w:lineRule="auto"/>
        <w:ind w:left="360" w:hanging="216"/>
      </w:pPr>
      <w:r>
        <w:rPr>
          <w:b/>
          <w:color w:val="2563EB"/>
        </w:rPr>
        <w:t xml:space="preserve">• </w:t>
      </w:r>
      <w:r>
        <w:rPr>
          <w:rFonts w:ascii="Arial" w:hAnsi="Arial"/>
          <w:i w:val="0"/>
          <w:color w:val="1F2937"/>
          <w:sz w:val="21"/>
        </w:rPr>
        <w:t>Covert tampering tactics—such as partial meter shunting that bypasses only 30% to 50% of current—easily evade crude 70% drop rules.</w:t>
      </w:r>
    </w:p>
    <w:p>
      <w:pPr>
        <w:spacing w:before="20" w:after="40" w:line="288" w:lineRule="auto"/>
        <w:ind w:left="360" w:hanging="216"/>
      </w:pPr>
      <w:r>
        <w:rPr>
          <w:b/>
          <w:color w:val="2563EB"/>
        </w:rPr>
        <w:t xml:space="preserve">• </w:t>
      </w:r>
      <w:r>
        <w:rPr>
          <w:rFonts w:ascii="Arial" w:hAnsi="Arial"/>
          <w:i w:val="0"/>
          <w:color w:val="1F2937"/>
          <w:sz w:val="21"/>
        </w:rPr>
        <w:t>They generate overwhelming false-alarm queues that exceed utility inspection capacity by multiple orders of magnitude.</w:t>
      </w:r>
    </w:p>
    <w:p>
      <w:pPr>
        <w:pStyle w:val="Heading2"/>
      </w:pPr>
      <w:r>
        <w:t>8.2 Unsupervised Anomaly Detection Algorithms</w:t>
      </w:r>
    </w:p>
    <w:p>
      <w:pPr/>
      <w:r>
        <w:rPr>
          <w:rFonts w:ascii="Arial" w:hAnsi="Arial"/>
          <w:i w:val="0"/>
          <w:color w:val="1F2937"/>
          <w:sz w:val="21"/>
        </w:rPr>
        <w:t>To move beyond manual heuristics, researchers and forward-looking utilities have experimented with unsupervised anomaly detection algorithms, including Isolation Forests, One-Class Support Vector Machines (OC-SVM), Local Outlier Factor (LOF), and deep Autoencoders. These methods learn a representation of "normal" consumption dynamics and flag observations that deviate from the normative distribution.</w:t>
      </w:r>
    </w:p>
    <w:p>
      <w:pPr/>
      <w:r>
        <w:rPr>
          <w:rFonts w:ascii="Arial" w:hAnsi="Arial"/>
          <w:i w:val="0"/>
          <w:color w:val="1F2937"/>
          <w:sz w:val="21"/>
        </w:rPr>
        <w:t>However, unsupervised anomaly detection in smart grid telemetry faces fundamental structural hurdles:</w:t>
      </w:r>
    </w:p>
    <w:p>
      <w:pPr>
        <w:spacing w:before="20" w:after="40" w:line="288" w:lineRule="auto"/>
        <w:ind w:left="360" w:hanging="216"/>
      </w:pPr>
      <w:r>
        <w:rPr>
          <w:b/>
          <w:color w:val="2563EB"/>
        </w:rPr>
        <w:t xml:space="preserve">• </w:t>
      </w:r>
      <w:r>
        <w:rPr>
          <w:rFonts w:ascii="Arial" w:hAnsi="Arial"/>
          <w:b/>
          <w:i w:val="0"/>
          <w:color w:val="1F2937"/>
          <w:sz w:val="21"/>
        </w:rPr>
        <w:t>Conflation of Anomalies with Fraud</w:t>
      </w:r>
      <w:r>
        <w:rPr>
          <w:rFonts w:ascii="Arial" w:hAnsi="Arial"/>
          <w:i w:val="0"/>
          <w:color w:val="1F2937"/>
          <w:sz w:val="21"/>
        </w:rPr>
        <w:t xml:space="preserve">: Any unusual electrical behavior—such as purchasing an electric vehicle, installing an energy-efficient heat pump, or hosting extended guests—is flagged as an anomaly. In utility operations, </w:t>
      </w:r>
      <w:r>
        <w:rPr>
          <w:rFonts w:ascii="Arial" w:hAnsi="Arial"/>
          <w:i/>
          <w:color w:val="1F2937"/>
          <w:sz w:val="21"/>
        </w:rPr>
        <w:t>anomalous does not equal fraudulent</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Lack of Directionality</w:t>
      </w:r>
      <w:r>
        <w:rPr>
          <w:rFonts w:ascii="Arial" w:hAnsi="Arial"/>
          <w:i w:val="0"/>
          <w:color w:val="1F2937"/>
          <w:sz w:val="21"/>
        </w:rPr>
        <w:t>: Unsupervised algorithms penalize unexpected surges in consumption identically to unexpected drops. Yet in revenue protection, only unmetered consumption drops cause utility revenue loss.</w:t>
      </w:r>
    </w:p>
    <w:p>
      <w:pPr>
        <w:spacing w:before="20" w:after="40" w:line="288" w:lineRule="auto"/>
        <w:ind w:left="360" w:hanging="216"/>
      </w:pPr>
      <w:r>
        <w:rPr>
          <w:b/>
          <w:color w:val="2563EB"/>
        </w:rPr>
        <w:t xml:space="preserve">• </w:t>
      </w:r>
      <w:r>
        <w:rPr>
          <w:rFonts w:ascii="Arial" w:hAnsi="Arial"/>
          <w:b/>
          <w:i w:val="0"/>
          <w:color w:val="1F2937"/>
          <w:sz w:val="21"/>
        </w:rPr>
        <w:t>Absence of Cost Awareness</w:t>
      </w:r>
      <w:r>
        <w:rPr>
          <w:rFonts w:ascii="Arial" w:hAnsi="Arial"/>
          <w:i w:val="0"/>
          <w:color w:val="1F2937"/>
          <w:sz w:val="21"/>
        </w:rPr>
        <w:t>: Unsupervised methods have no concept of energy tariffs, inspection costs, or recoverable dollars. An outlier consuming 1 kWh/day receives the same anomaly score as an outlier consuming 100 kWh/day.</w:t>
      </w:r>
    </w:p>
    <w:p>
      <w:pPr>
        <w:pStyle w:val="Heading2"/>
      </w:pPr>
      <w:r>
        <w:t>8.3 Symmetric Supervised Machine Learning Classifiers</w:t>
      </w:r>
    </w:p>
    <w:p>
      <w:pPr/>
      <w:r>
        <w:rPr>
          <w:rFonts w:ascii="Arial" w:hAnsi="Arial"/>
          <w:i w:val="0"/>
          <w:color w:val="1F2937"/>
          <w:sz w:val="21"/>
        </w:rPr>
        <w:t>More recent academic literature has focused on supervised machine learning, training binary classifiers (Random Forest, standard LightGBM, XGBoost, or Deep Neural Networks) on historical meter records labeled with confirmed inspection outcomes.</w:t>
      </w:r>
    </w:p>
    <w:p>
      <w:pPr/>
      <w:r>
        <w:rPr>
          <w:rFonts w:ascii="Arial" w:hAnsi="Arial"/>
          <w:i w:val="0"/>
          <w:color w:val="1F2937"/>
          <w:sz w:val="21"/>
        </w:rPr>
        <w:t xml:space="preserve">While superior to unsupervised methods in pattern recognition, standard supervised classifiers introduce a critical, systemic flaw: </w:t>
      </w:r>
      <w:r>
        <w:rPr>
          <w:rFonts w:ascii="Arial" w:hAnsi="Arial"/>
          <w:b/>
          <w:i w:val="0"/>
          <w:color w:val="1F2937"/>
          <w:sz w:val="21"/>
        </w:rPr>
        <w:t>symmetric error optimization</w:t>
      </w:r>
      <w:r>
        <w:rPr>
          <w:rFonts w:ascii="Arial" w:hAnsi="Arial"/>
          <w:i w:val="0"/>
          <w:color w:val="1F2937"/>
          <w:sz w:val="21"/>
        </w:rPr>
        <w:t>.</w:t>
      </w:r>
    </w:p>
    <w:p>
      <w:pPr/>
      <w:r>
        <w:rPr>
          <w:rFonts w:ascii="Arial" w:hAnsi="Arial"/>
          <w:i w:val="0"/>
          <w:color w:val="1F2937"/>
          <w:sz w:val="21"/>
        </w:rPr>
        <w:t>Standard binary cross-entropy treats a False Positive (inspecting an honest customer) with the exact same mathematical penalty as a False Negative (missing an ongoing theft):</w:t>
      </w:r>
    </w:p>
    <w:p>
      <w:pPr>
        <w:spacing w:before="160" w:after="160"/>
        <w:jc w:val="center"/>
      </w:pPr>
      <w:r>
        <w:rPr>
          <w:rFonts w:ascii="Cambria Math" w:hAnsi="Cambria Math"/>
          <w:i/>
          <w:color w:val="1E3A8A"/>
          <w:sz w:val="22"/>
        </w:rPr>
        <w:t>\mathcal{L}_{\text{BCE}} = - \frac{1}{N} \sum_{i=1}^N \left[ y_i \log p_i + (1 - y_i) \log (1 - p_i) \right]</w:t>
      </w:r>
    </w:p>
    <w:p>
      <w:pPr/>
      <w:r>
        <w:rPr>
          <w:rFonts w:ascii="Arial" w:hAnsi="Arial"/>
          <w:i w:val="0"/>
          <w:color w:val="1F2937"/>
          <w:sz w:val="21"/>
        </w:rPr>
        <w:t>In real-world power distribution, these consequences are completely asymmetric:</w:t>
      </w:r>
    </w:p>
    <w:p>
      <w:pPr>
        <w:spacing w:before="20" w:after="40" w:line="288" w:lineRule="auto"/>
        <w:ind w:left="360" w:hanging="216"/>
      </w:pPr>
      <w:r>
        <w:rPr>
          <w:b/>
          <w:color w:val="2563EB"/>
        </w:rPr>
        <w:t xml:space="preserve">• </w:t>
      </w:r>
      <w:r>
        <w:rPr>
          <w:rFonts w:ascii="Arial" w:hAnsi="Arial"/>
          <w:i w:val="0"/>
          <w:color w:val="1F2937"/>
          <w:sz w:val="21"/>
        </w:rPr>
        <w:t>A False Positive costs a fixed crew dispatch expense ($C_{\text{dispatch}} \approx \$100.00$) and minor customer goodwill friction.</w:t>
      </w:r>
    </w:p>
    <w:p>
      <w:pPr>
        <w:spacing w:before="20" w:after="40" w:line="288" w:lineRule="auto"/>
        <w:ind w:left="360" w:hanging="216"/>
      </w:pPr>
      <w:r>
        <w:rPr>
          <w:b/>
          <w:color w:val="2563EB"/>
        </w:rPr>
        <w:t xml:space="preserve">• </w:t>
      </w:r>
      <w:r>
        <w:rPr>
          <w:rFonts w:ascii="Arial" w:hAnsi="Arial"/>
          <w:i w:val="0"/>
          <w:color w:val="1F2937"/>
          <w:sz w:val="21"/>
        </w:rPr>
        <w:t>A False Negative costs ongoing, unrecovered electricity leakage that can accumulate into thousands of dollars over months of undetected diversion.</w:t>
      </w:r>
    </w:p>
    <w:p>
      <w:pPr>
        <w:pStyle w:val="Heading2"/>
      </w:pPr>
      <w:r>
        <w:t>8.4 Fundamental Architectural Limitations of the Existing Paradigm</w:t>
      </w:r>
    </w:p>
    <w:p>
      <w:pPr/>
      <w:r>
        <w:rPr>
          <w:rFonts w:ascii="Arial" w:hAnsi="Arial"/>
          <w:i w:val="0"/>
          <w:color w:val="1F2937"/>
          <w:sz w:val="21"/>
        </w:rPr>
        <w:t>The core limitations of the existing utility revenue protection landscape can be summarized across four dimensions: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Dimension</w:t>
            </w:r>
          </w:p>
        </w:tc>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Conventional Paradigm</w:t>
            </w:r>
          </w:p>
        </w:tc>
        <w:tc>
          <w:tcPr>
            <w:tcW w:type="dxa" w:w="312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Resulting Operational Failure</w:t>
            </w:r>
          </w:p>
        </w:tc>
      </w:tr>
      <w:tr>
        <w:trPr>
          <w:cantSplit/>
        </w:trPr>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Objective Function</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Symmetric Log-Loss / Accuracy Maximization</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Models optimize for the dominant honest class, generating high accuracy while missing high-loss theft.</w:t>
            </w:r>
          </w:p>
        </w:tc>
      </w:tr>
      <w:tr>
        <w:trPr>
          <w:cantSplit/>
        </w:trPr>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Threshold Strategy</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Static Global Cutoff (e.g., $\tau = 0.50$)</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Ignores customer consumption scale; dispatches crews to low-exposure accounts where recovery is impossible.</w:t>
            </w:r>
          </w:p>
        </w:tc>
      </w:tr>
      <w:tr>
        <w:trPr>
          <w:cantSplit/>
        </w:trPr>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Queue Prioritization</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Ranked by Posterior Probability ($p_i$)</w:t>
            </w:r>
          </w:p>
        </w:tc>
        <w:tc>
          <w:tcPr>
            <w:tcW w:type="dxa" w:w="312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High-probability lifeline accounts crowd out moderate-probability industrial accounts with massive monetary exposure.</w:t>
            </w:r>
          </w:p>
        </w:tc>
      </w:tr>
      <w:tr>
        <w:trPr>
          <w:cantSplit/>
        </w:trPr>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Explainability</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Raw Black-Box Probability Score</w:t>
            </w:r>
          </w:p>
        </w:tc>
        <w:tc>
          <w:tcPr>
            <w:tcW w:type="dxa" w:w="312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Field crews are sent without diagnostic context, leading to superficial audits and missed physical bypasses.</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9. PROPOSED SYSTEM</w:t>
      </w:r>
    </w:p>
    <w:p>
      <w:pPr>
        <w:pStyle w:val="Heading2"/>
      </w:pPr>
      <w:r>
        <w:t>9.1 Conceptual Architecture of Grid-Guard</w:t>
      </w:r>
    </w:p>
    <w:p>
      <w:pPr/>
      <w:r>
        <w:rPr>
          <w:rFonts w:ascii="Arial" w:hAnsi="Arial"/>
          <w:i w:val="0"/>
          <w:color w:val="1F2937"/>
          <w:sz w:val="21"/>
        </w:rPr>
        <w:t>Grid-Guard is an end-to-end, financial-aware machine learning platform designed specifically to overcome the structural failures of the conventional paradigm. Rather than asking the narrow statistical question:</w:t>
      </w:r>
    </w:p>
    <w:p>
      <w:pPr>
        <w:spacing w:before="80" w:after="120" w:line="288" w:lineRule="auto"/>
        <w:ind w:left="576"/>
      </w:pPr>
      <w:r>
        <w:rPr>
          <w:rFonts w:ascii="Arial" w:hAnsi="Arial"/>
          <w:i/>
          <w:color w:val="4B5563"/>
          <w:sz w:val="21"/>
        </w:rPr>
        <w:t>"Does this meter's consumption pattern look anomalous?"</w:t>
      </w:r>
    </w:p>
    <w:p>
      <w:pPr/>
      <w:r>
        <w:rPr>
          <w:rFonts w:ascii="Arial" w:hAnsi="Arial"/>
          <w:i w:val="0"/>
          <w:color w:val="1F2937"/>
          <w:sz w:val="21"/>
        </w:rPr>
        <w:t>Grid-Guard asks the complete operational and economic question:</w:t>
      </w:r>
    </w:p>
    <w:p>
      <w:pPr>
        <w:spacing w:before="80" w:after="120" w:line="288" w:lineRule="auto"/>
        <w:ind w:left="576"/>
      </w:pPr>
      <w:r>
        <w:rPr>
          <w:rFonts w:ascii="Arial" w:hAnsi="Arial"/>
          <w:i/>
          <w:color w:val="4B5563"/>
          <w:sz w:val="21"/>
        </w:rPr>
        <w:t>"Given the posterior probability of tampering, the consumer's estimated recoverable unmetered volume, and the cost of deploying a field crew, is an inspection economically justified, and what is its expected net yield?"</w:t>
      </w:r>
    </w:p>
    <w:p>
      <w:pPr>
        <w:pStyle w:val="Heading2"/>
      </w:pPr>
      <w:r>
        <w:t>9.2 The Four Foundational Pillars</w:t>
      </w:r>
    </w:p>
    <w:p>
      <w:pPr/>
      <w:r>
        <w:rPr>
          <w:rFonts w:ascii="Arial" w:hAnsi="Arial"/>
          <w:i w:val="0"/>
          <w:color w:val="1F2937"/>
          <w:sz w:val="21"/>
        </w:rPr>
        <w:t>Grid-Guard is constructed upon four interrelated engineering pillars: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subgraph P1["Pillar 1: Causal Feature Store"]</w:t>
              <w:br/>
              <w:t xml:space="preserve">        A1["Daily AMI Telemetry"] --&gt; A2["Polars Lazy Engine"]</w:t>
              <w:br/>
              <w:t xml:space="preserve">        A2 --&gt; A3["60 Causal Features"]</w:t>
              <w:br/>
              <w:t xml:space="preserve">        A3 --&gt; A4["Zero Future Leakage"]</w:t>
              <w:br/>
              <w:t xml:space="preserve">    end</w:t>
              <w:br/>
              <w:br/>
              <w:t xml:space="preserve">    subgraph P2["Pillar 2: Cost-Sensitive Core"]</w:t>
              <w:br/>
              <w:t xml:space="preserve">        A4 --&gt; B1["Custom Financially Weighted Loss"]</w:t>
              <w:br/>
              <w:t xml:space="preserve">        B1 --&gt; B2["w_i = C_FN,i for Positives"]</w:t>
              <w:br/>
              <w:t xml:space="preserve">        B1 --&gt; B3["w_i = C_FP for Negatives"]</w:t>
              <w:br/>
              <w:t xml:space="preserve">        B2 --&gt; B4["High-Exposure Theft Isolation"]</w:t>
              <w:br/>
              <w:t xml:space="preserve">    end</w:t>
              <w:br/>
              <w:br/>
              <w:t xml:space="preserve">    subgraph P3["Pillar 3: Dynamic Decision Engine"]</w:t>
              <w:br/>
              <w:t xml:space="preserve">        B4 --&gt; C1["Posterior Probability p_i"]</w:t>
              <w:br/>
              <w:t xml:space="preserve">        C1 --&gt; C2["Dynamic Bayes Threshold tau_cost"]</w:t>
              <w:br/>
              <w:t xml:space="preserve">        C1 --&gt; C3["Breakeven Threshold tau_env"]</w:t>
              <w:br/>
              <w:t xml:space="preserve">        C2 --&gt; C4["Expected Net Value: ENV = p*R - C_dispatch"]</w:t>
              <w:br/>
              <w:t xml:space="preserve">        C4 --&gt; C5["Prioritized Fleet Work Orders (ENV &gt; 0)"]</w:t>
              <w:br/>
              <w:t xml:space="preserve">    end</w:t>
              <w:br/>
              <w:br/>
              <w:t xml:space="preserve">    subgraph P4["Pillar 4: Evidentiary Explainability"]</w:t>
              <w:br/>
              <w:t xml:space="preserve">        B4 --&gt; D1["Tree-SHAP Polynomial Traversal"]</w:t>
              <w:br/>
              <w:t xml:space="preserve">        D1 --&gt; D2["Local Additive Attributions"]</w:t>
              <w:br/>
              <w:t xml:space="preserve">        D2 --&gt; D3["Tampering Signature Categorization"]</w:t>
              <w:br/>
              <w:t xml:space="preserve">        D3 --&gt; D4["Auditable Field Evidence Narratives"]</w:t>
              <w:br/>
              <w:t xml:space="preserve">    end</w:t>
            </w:r>
          </w:p>
        </w:tc>
      </w:tr>
    </w:tbl>
    <w:p>
      <w:pPr>
        <w:spacing w:before="0" w:after="80"/>
      </w:pPr>
    </w:p>
    <w:p>
      <w:pPr>
        <w:spacing w:before="40" w:after="40" w:line="288" w:lineRule="auto"/>
        <w:ind w:left="432" w:hanging="288"/>
      </w:pPr>
      <w:r>
        <w:rPr>
          <w:b/>
          <w:color w:val="1E3A8A"/>
        </w:rPr>
        <w:t xml:space="preserve">1. </w:t>
      </w:r>
      <w:r>
        <w:rPr>
          <w:rFonts w:ascii="Arial" w:hAnsi="Arial"/>
          <w:b/>
          <w:i w:val="0"/>
          <w:color w:val="1F2937"/>
          <w:sz w:val="21"/>
        </w:rPr>
        <w:t>Pillar 1: Causal Temporal Feature Pipeline</w:t>
      </w:r>
      <w:r>
        <w:rPr>
          <w:rFonts w:ascii="Arial" w:hAnsi="Arial"/>
          <w:i w:val="0"/>
          <w:color w:val="1F2937"/>
          <w:sz w:val="21"/>
        </w:rPr>
        <w:t>: Implements 60 domain-engineered features using Polars lazy evaluation expressions. All statistics, rolling windows, baseline comparisons, and variability measures are computed strictly backward in time, mathematically guaranteeing zero future lookahead leakage.</w:t>
      </w:r>
    </w:p>
    <w:p>
      <w:pPr>
        <w:spacing w:before="40" w:after="40" w:line="288" w:lineRule="auto"/>
        <w:ind w:left="432" w:hanging="288"/>
      </w:pPr>
      <w:r>
        <w:rPr>
          <w:b/>
          <w:color w:val="1E3A8A"/>
        </w:rPr>
        <w:t xml:space="preserve">2. </w:t>
      </w:r>
      <w:r>
        <w:rPr>
          <w:rFonts w:ascii="Arial" w:hAnsi="Arial"/>
          <w:b/>
          <w:i w:val="0"/>
          <w:color w:val="1F2937"/>
          <w:sz w:val="21"/>
        </w:rPr>
        <w:t>Pillar 2: Financially Weighted Cost-Sensitive Objective</w:t>
      </w:r>
      <w:r>
        <w:rPr>
          <w:rFonts w:ascii="Arial" w:hAnsi="Arial"/>
          <w:i w:val="0"/>
          <w:color w:val="1F2937"/>
          <w:sz w:val="21"/>
        </w:rPr>
        <w:t>: Replaces symmetric cross-entropy with a custom second-order differentiable surrogate loss function. Training instances are weighted directly by their operational financial consequence ($w_i = C_{\text{FN}, i}$ for tampering vs. $w_i = C_{\text{FP}} = \$100.00$ for honest accounts), compelling the booster to allocate model capacity to high-exposure accounts.</w:t>
      </w:r>
    </w:p>
    <w:p>
      <w:pPr>
        <w:spacing w:before="40" w:after="40" w:line="288" w:lineRule="auto"/>
        <w:ind w:left="432" w:hanging="288"/>
      </w:pPr>
      <w:r>
        <w:rPr>
          <w:b/>
          <w:color w:val="1E3A8A"/>
        </w:rPr>
        <w:t xml:space="preserve">3. </w:t>
      </w:r>
      <w:r>
        <w:rPr>
          <w:rFonts w:ascii="Arial" w:hAnsi="Arial"/>
          <w:b/>
          <w:i w:val="0"/>
          <w:color w:val="1F2937"/>
          <w:sz w:val="21"/>
        </w:rPr>
        <w:t>Pillar 3: Dynamic Expected Net Value (ENV) Decision Engine</w:t>
      </w:r>
      <w:r>
        <w:rPr>
          <w:rFonts w:ascii="Arial" w:hAnsi="Arial"/>
          <w:i w:val="0"/>
          <w:color w:val="1F2937"/>
          <w:sz w:val="21"/>
        </w:rPr>
        <w:t>: Replaces static probability cutoffs with consumer-specific economic optimization. The engine calculates the unmetered energy volume ($\Delta c_i$), applies dynamic Bayes cost thresholds ($\tau_{\text{cost}, i}$), and evaluates $ENV_i = p_i R_i - C_{\text{dispatch}}$, ranking candidate meters by net dollar yield.</w:t>
      </w:r>
    </w:p>
    <w:p>
      <w:pPr>
        <w:spacing w:before="40" w:after="40" w:line="288" w:lineRule="auto"/>
        <w:ind w:left="432" w:hanging="288"/>
      </w:pPr>
      <w:r>
        <w:rPr>
          <w:b/>
          <w:color w:val="1E3A8A"/>
        </w:rPr>
        <w:t xml:space="preserve">4. </w:t>
      </w:r>
      <w:r>
        <w:rPr>
          <w:rFonts w:ascii="Arial" w:hAnsi="Arial"/>
          <w:b/>
          <w:i w:val="0"/>
          <w:color w:val="1F2937"/>
          <w:sz w:val="21"/>
        </w:rPr>
        <w:t>Pillar 4: Evidentiary Explainability &amp; Signature Categorization</w:t>
      </w:r>
      <w:r>
        <w:rPr>
          <w:rFonts w:ascii="Arial" w:hAnsi="Arial"/>
          <w:i w:val="0"/>
          <w:color w:val="1F2937"/>
          <w:sz w:val="21"/>
        </w:rPr>
        <w:t>: Integrates Lundberg's Tree-SHAP algorithm to compute exact feature attributions in polynomial time ($\mathcal{O}(T L D^2)$), automatically mapping top attributions into four distinct utility physical tampering archetypes with plain-English narratives for field crews.</w:t>
      </w:r>
    </w:p>
    <w:p>
      <w:pPr>
        <w:pStyle w:val="Heading2"/>
      </w:pPr>
      <w:r>
        <w:t>9.3 End-to-End System Architecture</w:t>
      </w:r>
    </w:p>
    <w:p>
      <w:pPr/>
      <w:r>
        <w:rPr>
          <w:rFonts w:ascii="Arial" w:hAnsi="Arial"/>
          <w:i w:val="0"/>
          <w:color w:val="1F2937"/>
          <w:sz w:val="21"/>
        </w:rPr>
        <w:t>The physical implementation couples an asynchronous FastAPI backend with an interactive Streamlit presentation layer:</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TB</w:t>
              <w:br/>
              <w:t xml:space="preserve">    subgraph ClientLayer["Presentation &amp; Consumption Layer"]</w:t>
              <w:br/>
              <w:t xml:space="preserve">        Browser["Analyst / Supervisor Web Browser"]</w:t>
              <w:br/>
              <w:t xml:space="preserve">        ExtAPI["External Utility Billing / CIS API"]</w:t>
              <w:br/>
              <w:t xml:space="preserve">        StreamlitUI["Streamlit Operational UI (Port 1456)"]</w:t>
              <w:br/>
              <w:t xml:space="preserve">        Browser --&gt; StreamlitUI</w:t>
              <w:br/>
              <w:t xml:space="preserve">    end</w:t>
              <w:br/>
              <w:br/>
              <w:t xml:space="preserve">    subgraph APILayer["Service Gateway Layer (FastAPI - Port 5678)"]</w:t>
              <w:br/>
              <w:t xml:space="preserve">        Uvicorn["Uvicorn ASGI Server"]</w:t>
              <w:br/>
              <w:t xml:space="preserve">        Router["FastAPI Application Router"]</w:t>
              <w:br/>
              <w:t xml:space="preserve">        PydanticVal["Pydantic Contract Validator"]</w:t>
              <w:br/>
              <w:t xml:space="preserve">        LifespanRAM["Lifespan RAM Cache (Preloaded Booster &amp; SHAP)"]</w:t>
              <w:br/>
              <w:t xml:space="preserve">        </w:t>
              <w:br/>
              <w:t xml:space="preserve">        StreamlitUI -- "HTTP/JSON REST" --&gt; Uvicorn</w:t>
              <w:br/>
              <w:t xml:space="preserve">        ExtAPI -- "HTTP/JSON REST" --&gt; Uvicorn</w:t>
              <w:br/>
              <w:t xml:space="preserve">        Uvicorn --&gt; Router</w:t>
              <w:br/>
              <w:t xml:space="preserve">        Router --&gt; PydanticVal</w:t>
              <w:br/>
              <w:t xml:space="preserve">        Router --&gt; LifespanRAM</w:t>
              <w:br/>
              <w:t xml:space="preserve">    end</w:t>
              <w:br/>
              <w:br/>
              <w:t xml:space="preserve">    subgraph CoreEngine["Domain Processing &amp; Analytics Core"]</w:t>
              <w:br/>
              <w:t xml:space="preserve">        CleanEngine["Data Cleaner &amp; Bounded Imputer"]</w:t>
              <w:br/>
              <w:t xml:space="preserve">        FeatEngine["60-Dim Temporal Feature Pipeline"]</w:t>
              <w:br/>
              <w:t xml:space="preserve">        CSBooster["Cost-Sensitive LightGBM Booster"]</w:t>
              <w:br/>
              <w:t xml:space="preserve">        FinEngine["Financial Exposure Engine"]</w:t>
              <w:br/>
              <w:t xml:space="preserve">        DecisionEngine["Dynamic Threshold &amp; ENV Planner"]</w:t>
              <w:br/>
              <w:t xml:space="preserve">        SHAPEngine["Tree-SHAP Explainer &amp; Signature Mapper"]</w:t>
              <w:br/>
              <w:t xml:space="preserve">        </w:t>
              <w:br/>
              <w:t xml:space="preserve">        PydanticVal --&gt; CleanEngine</w:t>
              <w:br/>
              <w:t xml:space="preserve">        CleanEngine --&gt; FeatEngine</w:t>
              <w:br/>
              <w:t xml:space="preserve">        FeatEngine --&gt; CSBooster</w:t>
              <w:br/>
              <w:t xml:space="preserve">        CSBooster --&gt; FinEngine</w:t>
              <w:br/>
              <w:t xml:space="preserve">        FinEngine --&gt; DecisionEngine</w:t>
              <w:br/>
              <w:t xml:space="preserve">        FeatEngine --&gt; SHAPEngine</w:t>
              <w:br/>
              <w:t xml:space="preserve">        CSBooster --&gt; SHAPEngine</w:t>
              <w:br/>
              <w:t xml:space="preserve">        DecisionEngine --&gt; Router</w:t>
              <w:br/>
              <w:t xml:space="preserve">        SHAPEngine --&gt; Router</w:t>
              <w:br/>
              <w:t xml:space="preserve">    end</w:t>
              <w:br/>
              <w:br/>
              <w:t xml:space="preserve">    subgraph DataStorage["Storage &amp; Persistence Tier"]</w:t>
              <w:br/>
              <w:t xml:space="preserve">        ParquetData[("Cleaned Parquet Lake (42K Meters)")]</w:t>
              <w:br/>
              <w:t xml:space="preserve">        BoosterStore[("Serialized Models (.joblib)")]</w:t>
              <w:br/>
              <w:t xml:space="preserve">        AuditLogs[("Structured JSON Audit Logs")]</w:t>
              <w:br/>
              <w:t xml:space="preserve">        </w:t>
              <w:br/>
              <w:t xml:space="preserve">        CleanEngine --&gt; ParquetData</w:t>
              <w:br/>
              <w:t xml:space="preserve">        BoosterStore --&gt; LifespanRAM</w:t>
              <w:br/>
              <w:t xml:space="preserve">        Router --&gt; AuditLogs</w:t>
              <w:br/>
              <w:t xml:space="preserve">    end</w:t>
            </w:r>
          </w:p>
        </w:tc>
      </w:tr>
    </w:tbl>
    <w:p>
      <w:pPr>
        <w:spacing w:before="0" w:after="80"/>
      </w:pPr>
    </w:p>
    <w:p>
      <w:pPr>
        <w:pStyle w:val="Heading2"/>
      </w:pPr>
      <w:r>
        <w:t>9.4 Architectural Advantages over Existing State-of-the-Art</w:t>
      </w:r>
    </w:p>
    <w:p>
      <w:pPr/>
      <w:r>
        <w:rPr>
          <w:rFonts w:ascii="Arial" w:hAnsi="Arial"/>
          <w:i w:val="0"/>
          <w:color w:val="1F2937"/>
          <w:sz w:val="21"/>
        </w:rPr>
        <w:t>The proposed architecture provides decisive advantages over conventional methods:</w:t>
      </w:r>
    </w:p>
    <w:p>
      <w:pPr>
        <w:spacing w:before="20" w:after="40" w:line="288" w:lineRule="auto"/>
        <w:ind w:left="360" w:hanging="216"/>
      </w:pPr>
      <w:r>
        <w:rPr>
          <w:b/>
          <w:color w:val="2563EB"/>
        </w:rPr>
        <w:t xml:space="preserve">• </w:t>
      </w:r>
      <w:r>
        <w:rPr>
          <w:rFonts w:ascii="Arial" w:hAnsi="Arial"/>
          <w:b/>
          <w:i w:val="0"/>
          <w:color w:val="1F2937"/>
          <w:sz w:val="21"/>
        </w:rPr>
        <w:t>Net Capital Preservation</w:t>
      </w:r>
      <w:r>
        <w:rPr>
          <w:rFonts w:ascii="Arial" w:hAnsi="Arial"/>
          <w:i w:val="0"/>
          <w:color w:val="1F2937"/>
          <w:sz w:val="21"/>
        </w:rPr>
        <w:t>: By eliminating negative-ENV dispatches, Grid-Guard guarantees that utility inspection expenditures generate positive monetary returns.</w:t>
      </w:r>
    </w:p>
    <w:p>
      <w:pPr>
        <w:spacing w:before="20" w:after="40" w:line="288" w:lineRule="auto"/>
        <w:ind w:left="360" w:hanging="216"/>
      </w:pPr>
      <w:r>
        <w:rPr>
          <w:b/>
          <w:color w:val="2563EB"/>
        </w:rPr>
        <w:t xml:space="preserve">• </w:t>
      </w:r>
      <w:r>
        <w:rPr>
          <w:rFonts w:ascii="Arial" w:hAnsi="Arial"/>
          <w:b/>
          <w:i w:val="0"/>
          <w:color w:val="1F2937"/>
          <w:sz w:val="21"/>
        </w:rPr>
        <w:t>Capacity Alignment</w:t>
      </w:r>
      <w:r>
        <w:rPr>
          <w:rFonts w:ascii="Arial" w:hAnsi="Arial"/>
          <w:i w:val="0"/>
          <w:color w:val="1F2937"/>
          <w:sz w:val="21"/>
        </w:rPr>
        <w:t>: The prioritized queue seamlessly truncates at the utility's exact crew budget ($K$), ensuring that available personnel are deployed exclusively to the highest-yield targets.</w:t>
      </w:r>
    </w:p>
    <w:p>
      <w:pPr>
        <w:spacing w:before="20" w:after="40" w:line="288" w:lineRule="auto"/>
        <w:ind w:left="360" w:hanging="216"/>
      </w:pPr>
      <w:r>
        <w:rPr>
          <w:b/>
          <w:color w:val="2563EB"/>
        </w:rPr>
        <w:t xml:space="preserve">• </w:t>
      </w:r>
      <w:r>
        <w:rPr>
          <w:rFonts w:ascii="Arial" w:hAnsi="Arial"/>
          <w:b/>
          <w:i w:val="0"/>
          <w:color w:val="1F2937"/>
          <w:sz w:val="21"/>
        </w:rPr>
        <w:t>Field Trust &amp; Diagnostic Velocity</w:t>
      </w:r>
      <w:r>
        <w:rPr>
          <w:rFonts w:ascii="Arial" w:hAnsi="Arial"/>
          <w:i w:val="0"/>
          <w:color w:val="1F2937"/>
          <w:sz w:val="21"/>
        </w:rPr>
        <w:t>: Clear physical signature categorizations turn raw alerts into actionable forensic guides, reducing on-site inspection times and improving physical bypass detection rates.</w:t>
      </w:r>
    </w:p>
    <w:p>
      <w:pPr>
        <w:spacing w:before="80" w:after="160"/>
      </w:pPr>
      <w:r>
        <w:rPr>
          <w:color w:val="E5E7EB"/>
          <w:sz w:val="16"/>
        </w:rPr>
        <w:t>_________________________________________________________________________________</w:t>
      </w:r>
    </w:p>
    <w:p>
      <w:r>
        <w:br w:type="page"/>
      </w:r>
    </w:p>
    <w:p>
      <w:pPr>
        <w:pStyle w:val="Heading1"/>
      </w:pPr>
      <w:r>
        <w:t>10. REQUIREMENT ANALYSIS</w:t>
      </w:r>
    </w:p>
    <w:p>
      <w:pPr>
        <w:pStyle w:val="Heading2"/>
      </w:pPr>
      <w:r>
        <w:t>10.1 Functional Requirements Matrix</w:t>
      </w:r>
    </w:p>
    <w:p>
      <w:pPr/>
      <w:r>
        <w:rPr>
          <w:rFonts w:ascii="Arial" w:hAnsi="Arial"/>
          <w:i w:val="0"/>
          <w:color w:val="1F2937"/>
          <w:sz w:val="21"/>
        </w:rPr>
        <w:t>The functional capabilities of Grid-Guard were specified, implemented, and validated against explicit acceptance criteria: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Requirement ID</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Functional Requirement Description</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Inputs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Outputs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Verification Acceptance Criteria</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Ingest raw AMI daily consumption telemetry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Raw CSV / Parquet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Clean Polars DataFrame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Successfully ingest 42,372 meters with zero data truncation or schema errors.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Bounded gap imputation &amp; non-negativity clipping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Polars DataFrame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Validated DataFrame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Clip negative values to $0.00$; impute null gaps $\le 7$ days; preserve gaps $&gt; 7$ days.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Extract 60 causal temporal features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Consumption series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60-column feature matrix</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Verify zero lookahead leakage via time-shift perturbation tests; 0 missing values.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 unweighted baseline classifier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labels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Trained baseline booster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Log baseline PR-AUC and ROC-AUC metrics to MLflow; export serialized artifact.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Evaluate class imbalance mitigation techniques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labels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Comparative metrics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Evaluate random undersampling, SMOTE, and </w:t>
            </w:r>
            <w:r>
              <w:rPr>
                <w:rFonts w:ascii="Consolas" w:hAnsi="Consolas"/>
                <w:i w:val="0"/>
                <w:color w:val="B91C1C"/>
                <w:sz w:val="15"/>
              </w:rPr>
              <w:t>scale_pos_weight</w:t>
            </w:r>
            <w:r>
              <w:rPr>
                <w:rFonts w:ascii="Arial" w:hAnsi="Arial"/>
                <w:i w:val="0"/>
                <w:color w:val="1F2937"/>
                <w:sz w:val="17"/>
              </w:rPr>
              <w:t xml:space="preserve"> against baseline.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Custom financially weighted objective training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labels, $w_i$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Cost-sensitive booster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 LightGBM using custom weighted log-loss; verify strictly positive Hessians.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FR-07</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Compute dynamic Bayes cost thresholds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$C_{\text{dispatch}}$, $C_{\text{FN}, i}$</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$\tau_{\text{cost}, i} \in (0, 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$\tau_{\text{cost}, i} = C_{\text{dispatch}} / (C_{\text{dispatch}} + C_{\text{FN}, i})$; verify mathematical monotonicity.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Compute Expected Net Value &amp; breakeven threshold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$p_i$, $R_i$, $C_{\text{dispatch}}$</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$ENV_i$, $\tau_{\text{env}, 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$ENV_i = p_i R_i - C_{\text{dispatch}}$; verify $ENV_i = 0$ exactly when $p_i = \tau_{\text{env}, i}$.</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FR-09</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Generate prioritized fleet inspection queue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Fleet metrics, budget $K$</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Sorted Work Orders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Discard all $ENV \le 0$; sort remainder by descending $ENV$; enforce top-$K$ limit.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FR-10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Compute Tree-SHAP local feature attributions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Booster, meter features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SHAP values, base value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Lundberg exact polynomial-time traversal; verify additive efficiency property.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FR-11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Categorize dominant physical tampering signatures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SHAP values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Signature name, summary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Categorize top attributions into 4 utility archetypes with plain-English text.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FR-12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Expose asynchronous REST inference API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HTTP JSON payloads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Validated JSON responses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Deliver </w:t>
            </w:r>
            <w:r>
              <w:rPr>
                <w:rFonts w:ascii="Consolas" w:hAnsi="Consolas"/>
                <w:i w:val="0"/>
                <w:color w:val="B91C1C"/>
                <w:sz w:val="15"/>
              </w:rPr>
              <w:t>/predict</w:t>
            </w:r>
            <w:r>
              <w:rPr>
                <w:rFonts w:ascii="Arial" w:hAnsi="Arial"/>
                <w:i w:val="0"/>
                <w:color w:val="1F2937"/>
                <w:sz w:val="17"/>
              </w:rPr>
              <w:t xml:space="preserve">, </w:t>
            </w:r>
            <w:r>
              <w:rPr>
                <w:rFonts w:ascii="Consolas" w:hAnsi="Consolas"/>
                <w:i w:val="0"/>
                <w:color w:val="B91C1C"/>
                <w:sz w:val="15"/>
              </w:rPr>
              <w:t>/explain</w:t>
            </w:r>
            <w:r>
              <w:rPr>
                <w:rFonts w:ascii="Arial" w:hAnsi="Arial"/>
                <w:i w:val="0"/>
                <w:color w:val="1F2937"/>
                <w:sz w:val="17"/>
              </w:rPr>
              <w:t xml:space="preserve">, and </w:t>
            </w:r>
            <w:r>
              <w:rPr>
                <w:rFonts w:ascii="Consolas" w:hAnsi="Consolas"/>
                <w:i w:val="0"/>
                <w:color w:val="B91C1C"/>
                <w:sz w:val="15"/>
              </w:rPr>
              <w:t>/fleet</w:t>
            </w:r>
            <w:r>
              <w:rPr>
                <w:rFonts w:ascii="Arial" w:hAnsi="Arial"/>
                <w:i w:val="0"/>
                <w:color w:val="1F2937"/>
                <w:sz w:val="17"/>
              </w:rPr>
              <w:t xml:space="preserve"> endpoints with sub-50ms P95 latency.</w:t>
            </w:r>
          </w:p>
        </w:tc>
      </w:tr>
    </w:tbl>
    <w:p>
      <w:pPr>
        <w:spacing w:before="40" w:after="80"/>
      </w:pPr>
    </w:p>
    <w:p>
      <w:pPr>
        <w:pStyle w:val="Heading2"/>
      </w:pPr>
      <w:r>
        <w:t>10.2 Non-Functional Requirements Matrix</w:t>
      </w:r>
    </w:p>
    <w:p>
      <w:pPr/>
      <w:r>
        <w:rPr>
          <w:rFonts w:ascii="Arial" w:hAnsi="Arial"/>
          <w:i w:val="0"/>
          <w:color w:val="1F2937"/>
          <w:sz w:val="21"/>
        </w:rPr>
        <w:t>Non-functional constraints were established to guarantee enterprise viability: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Requirement ID</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Non-Functional Quality Attribute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Quantitative Target / Standard</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Empirical Observed Performance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Compliance Status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Single-Meter Inference Latency (P95)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$&lt; 50$ milliseconds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18.6 milliseconds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Tree-SHAP Explanation Latency (P95)</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$&lt; 50$ milliseconds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22.4 milliseconds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Batch Fleet Scoring Throughput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$&gt; 1,000$ meters/second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2,920 meters/second</w:t>
            </w:r>
            <w:r>
              <w:rPr>
                <w:rFonts w:ascii="Arial" w:hAnsi="Arial"/>
                <w:i w:val="0"/>
                <w:color w:val="1F2937"/>
                <w:sz w:val="17"/>
              </w:rPr>
              <w:t xml:space="preserve"> (342ms / 1K)</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API Server Cold-Start Lifespan Initialization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$&lt; 5$ seconds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1.84 seconds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Test Suite Pass Rate &amp; Regression Coverage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 pass; $&gt; 150$ tests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100% (162 / 162 passed)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Code Hygiene, Style &amp; Static Typing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Zero Ruff errors / warnings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 errors, 0 warnings across all files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NFR-07</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Loss Surrogate Mathematical Convexity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Hessian $h_i &gt; 0$ strictly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$h_i \ge 10^{-16} &gt; 0$ across all samples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NFR-08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Containerized Service Deployment Launch Time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$&lt; 30$ seconds via Docker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14.2 seconds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Fully Compliant</w:t>
            </w:r>
          </w:p>
        </w:tc>
      </w:tr>
    </w:tbl>
    <w:p>
      <w:pPr>
        <w:spacing w:before="40" w:after="80"/>
      </w:pPr>
    </w:p>
    <w:p>
      <w:pPr>
        <w:pStyle w:val="Heading2"/>
      </w:pPr>
      <w:r>
        <w:t>10.3 User Persona Requirements</w:t>
      </w:r>
    </w:p>
    <w:p>
      <w:pPr/>
      <w:r>
        <w:rPr>
          <w:rFonts w:ascii="Arial" w:hAnsi="Arial"/>
          <w:i w:val="0"/>
          <w:color w:val="1F2937"/>
          <w:sz w:val="21"/>
        </w:rPr>
        <w:t>The platform addresses four primary user archetypes:</w:t>
      </w:r>
    </w:p>
    <w:p>
      <w:pPr>
        <w:spacing w:before="40" w:after="40" w:line="288" w:lineRule="auto"/>
        <w:ind w:left="432" w:hanging="288"/>
      </w:pPr>
      <w:r>
        <w:rPr>
          <w:b/>
          <w:color w:val="1E3A8A"/>
        </w:rPr>
        <w:t xml:space="preserve">1. </w:t>
      </w:r>
      <w:r>
        <w:rPr>
          <w:rFonts w:ascii="Arial" w:hAnsi="Arial"/>
          <w:b/>
          <w:i w:val="0"/>
          <w:color w:val="1F2937"/>
          <w:sz w:val="21"/>
        </w:rPr>
        <w:t>Utility Revenue Protection Analyst</w:t>
      </w:r>
      <w:r>
        <w:rPr>
          <w:rFonts w:ascii="Arial" w:hAnsi="Arial"/>
          <w:i w:val="0"/>
          <w:color w:val="1F2937"/>
          <w:sz w:val="21"/>
        </w:rPr>
        <w:t>: Needs a macro-level dashboard view displaying fleet-wide loss statistics, financial recovery projections, and the ability to drill down into anomalous accounts with interactive Plotly load profiles and SHAP waterfall charts.</w:t>
      </w:r>
    </w:p>
    <w:p>
      <w:pPr>
        <w:spacing w:before="40" w:after="40" w:line="288" w:lineRule="auto"/>
        <w:ind w:left="432" w:hanging="288"/>
      </w:pPr>
      <w:r>
        <w:rPr>
          <w:b/>
          <w:color w:val="1E3A8A"/>
        </w:rPr>
        <w:t xml:space="preserve">2. </w:t>
      </w:r>
      <w:r>
        <w:rPr>
          <w:rFonts w:ascii="Arial" w:hAnsi="Arial"/>
          <w:b/>
          <w:i w:val="0"/>
          <w:color w:val="1F2937"/>
          <w:sz w:val="21"/>
        </w:rPr>
        <w:t>Field Inspection Dispatcher</w:t>
      </w:r>
      <w:r>
        <w:rPr>
          <w:rFonts w:ascii="Arial" w:hAnsi="Arial"/>
          <w:i w:val="0"/>
          <w:color w:val="1F2937"/>
          <w:sz w:val="21"/>
        </w:rPr>
        <w:t>: Requires an exportable, prioritized inspection table with configurable capacity filters ($K$), dynamic threshold indicators, and one-click CSV/PDF work-order generation.</w:t>
      </w:r>
    </w:p>
    <w:p>
      <w:pPr>
        <w:spacing w:before="40" w:after="40" w:line="288" w:lineRule="auto"/>
        <w:ind w:left="432" w:hanging="288"/>
      </w:pPr>
      <w:r>
        <w:rPr>
          <w:b/>
          <w:color w:val="1E3A8A"/>
        </w:rPr>
        <w:t xml:space="preserve">3. </w:t>
      </w:r>
      <w:r>
        <w:rPr>
          <w:rFonts w:ascii="Arial" w:hAnsi="Arial"/>
          <w:b/>
          <w:i w:val="0"/>
          <w:color w:val="1F2937"/>
          <w:sz w:val="21"/>
        </w:rPr>
        <w:t>Field Technician</w:t>
      </w:r>
      <w:r>
        <w:rPr>
          <w:rFonts w:ascii="Arial" w:hAnsi="Arial"/>
          <w:i w:val="0"/>
          <w:color w:val="1F2937"/>
          <w:sz w:val="21"/>
        </w:rPr>
        <w:t>: Requires a clean, mobile-accessible inspection ticket highlighting the primary physical tampering signature, historical baseline drop percentage, and physical terminal inspection recommendations.</w:t>
      </w:r>
    </w:p>
    <w:p>
      <w:pPr>
        <w:spacing w:before="40" w:after="40" w:line="288" w:lineRule="auto"/>
        <w:ind w:left="432" w:hanging="288"/>
      </w:pPr>
      <w:r>
        <w:rPr>
          <w:b/>
          <w:color w:val="1E3A8A"/>
        </w:rPr>
        <w:t xml:space="preserve">4. </w:t>
      </w:r>
      <w:r>
        <w:rPr>
          <w:rFonts w:ascii="Arial" w:hAnsi="Arial"/>
          <w:b/>
          <w:i w:val="0"/>
          <w:color w:val="1F2937"/>
          <w:sz w:val="21"/>
        </w:rPr>
        <w:t>DevOps &amp; Integration Engineer</w:t>
      </w:r>
      <w:r>
        <w:rPr>
          <w:rFonts w:ascii="Arial" w:hAnsi="Arial"/>
          <w:i w:val="0"/>
          <w:color w:val="1F2937"/>
          <w:sz w:val="21"/>
        </w:rPr>
        <w:t>: Requires OpenAPI-compliant documentation (</w:t>
      </w:r>
      <w:r>
        <w:rPr>
          <w:rFonts w:ascii="Consolas" w:hAnsi="Consolas"/>
          <w:i w:val="0"/>
          <w:color w:val="B91C1C"/>
          <w:sz w:val="19"/>
        </w:rPr>
        <w:t>/docs</w:t>
      </w:r>
      <w:r>
        <w:rPr>
          <w:rFonts w:ascii="Arial" w:hAnsi="Arial"/>
          <w:i w:val="0"/>
          <w:color w:val="1F2937"/>
          <w:sz w:val="21"/>
        </w:rPr>
        <w:t>), deterministic environment isolation via Docker Compose, and automated health check endpoints (</w:t>
      </w:r>
      <w:r>
        <w:rPr>
          <w:rFonts w:ascii="Consolas" w:hAnsi="Consolas"/>
          <w:i w:val="0"/>
          <w:color w:val="B91C1C"/>
          <w:sz w:val="19"/>
        </w:rPr>
        <w:t>/health</w:t>
      </w:r>
      <w:r>
        <w:rPr>
          <w:rFonts w:ascii="Arial" w:hAnsi="Arial"/>
          <w:i w:val="0"/>
          <w:color w:val="1F2937"/>
          <w:sz w:val="21"/>
        </w:rPr>
        <w:t>).</w:t>
      </w:r>
    </w:p>
    <w:p>
      <w:pPr>
        <w:spacing w:before="80" w:after="160"/>
      </w:pPr>
      <w:r>
        <w:rPr>
          <w:color w:val="E5E7EB"/>
          <w:sz w:val="16"/>
        </w:rPr>
        <w:t>_________________________________________________________________________________</w:t>
      </w:r>
    </w:p>
    <w:p>
      <w:r>
        <w:br w:type="page"/>
      </w:r>
    </w:p>
    <w:p>
      <w:pPr>
        <w:pStyle w:val="Heading1"/>
      </w:pPr>
      <w:r>
        <w:t>11. HARDWARE REQUIREMENTS</w:t>
      </w:r>
    </w:p>
    <w:p>
      <w:pPr>
        <w:pStyle w:val="Heading2"/>
      </w:pPr>
      <w:r>
        <w:t>11.1 Development &amp; Model Training Hardware Specifications</w:t>
      </w:r>
    </w:p>
    <w:p>
      <w:pPr/>
      <w:r>
        <w:rPr>
          <w:rFonts w:ascii="Arial" w:hAnsi="Arial"/>
          <w:i w:val="0"/>
          <w:color w:val="1F2937"/>
          <w:sz w:val="21"/>
        </w:rPr>
        <w:t>Training gradient boosted decision trees over 43.8 million daily consumption records requires balanced multi-core CPU and memory bandwidth:</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Hardware Component</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Minimum Development Specification</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Recommended Production Training Specification</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Utilized Project Hardware Environment</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Processor (CPU)</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4-Core x86_64 (e.g., Intel Core i5 / Ryzen 5)</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8-Core / 16-Thread (e.g., AMD Ryzen 7 / Intel i7)</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8-Core / 16-Thread x86_64 CPU @ 2.80 GHz</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System Memory (RAM)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16 GB DDR4</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32 GB DDR4 / DDR5</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16 GB DDR4 Dual-Channel RAM</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Storage (Disk I/O)</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50 GB SSD (SATA III)</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 GB NVMe PCIe Gen3/4 SSD</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512 GB NVMe M.2 SSD ($&gt; 2,500$ MB/s read)</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Graphics (GPU)</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Not Required (CPU Boosting)</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Dedicated NVIDIA GPU (CUDA support optional)</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CPU-only boosting (OpenMP parallelized)</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Network Interface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 Mbps Ethernet / Wi-Fi</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 Gbps Dedicated Server NIC</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Standard Localhost Loopback Interface</w:t>
            </w:r>
          </w:p>
        </w:tc>
      </w:tr>
    </w:tbl>
    <w:p>
      <w:pPr>
        <w:spacing w:before="40" w:after="80"/>
      </w:pPr>
    </w:p>
    <w:p>
      <w:pPr>
        <w:pStyle w:val="Heading2"/>
      </w:pPr>
      <w:r>
        <w:t>11.2 Production Inference &amp; API Server Specifications</w:t>
      </w:r>
    </w:p>
    <w:p>
      <w:pPr/>
      <w:r>
        <w:rPr>
          <w:rFonts w:ascii="Arial" w:hAnsi="Arial"/>
          <w:i w:val="0"/>
          <w:color w:val="1F2937"/>
          <w:sz w:val="21"/>
        </w:rPr>
        <w:t>Because the trained LightGBM booster and Tree-SHAP tree representations are compact ($&lt; 15$ MB serialized), inference hardware requirements are minimal:</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Component</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Minimum Container Instance Spec</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Recommended Production Cluster Spec</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Operational Role &amp; Sizing Rationale</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Virtual CPUs (vCPU)</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 vCPU (Dedicated)</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 to 4 vCPUs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Handles asynchronous FastAPI request parsing and Polars feature evaluation.</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Memory (RAM)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1.5 GB RAM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4 GB RAM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Accommodates Uvicorn workers and preloaded booster in RAM ($&lt; 250$ MB footprint).</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Disk Storage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 GB Container Storage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 GB Persistent Volume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Sufficient for container image, model artifacts, and temporary cache buffers.</w:t>
            </w:r>
          </w:p>
        </w:tc>
      </w:tr>
    </w:tbl>
    <w:p>
      <w:pPr>
        <w:spacing w:before="40" w:after="80"/>
      </w:pPr>
    </w:p>
    <w:p>
      <w:pPr>
        <w:pStyle w:val="Heading2"/>
      </w:pPr>
      <w:r>
        <w:t>11.3 Interactive Dashboard Client Machine Specifications</w:t>
      </w:r>
    </w:p>
    <w:p>
      <w:pPr/>
      <w:r>
        <w:rPr>
          <w:rFonts w:ascii="Arial" w:hAnsi="Arial"/>
          <w:i w:val="0"/>
          <w:color w:val="1F2937"/>
          <w:sz w:val="21"/>
        </w:rPr>
        <w:t>The Streamlit presentation layer runs efficiently on standard enterprise workstations:</w:t>
      </w:r>
    </w:p>
    <w:p>
      <w:pPr>
        <w:spacing w:before="20" w:after="40" w:line="288" w:lineRule="auto"/>
        <w:ind w:left="360" w:hanging="216"/>
      </w:pPr>
      <w:r>
        <w:rPr>
          <w:b/>
          <w:color w:val="2563EB"/>
        </w:rPr>
        <w:t xml:space="preserve">• </w:t>
      </w:r>
      <w:r>
        <w:rPr>
          <w:rFonts w:ascii="Arial" w:hAnsi="Arial"/>
          <w:b/>
          <w:i w:val="0"/>
          <w:color w:val="1F2937"/>
          <w:sz w:val="21"/>
        </w:rPr>
        <w:t>CPU</w:t>
      </w:r>
      <w:r>
        <w:rPr>
          <w:rFonts w:ascii="Arial" w:hAnsi="Arial"/>
          <w:i w:val="0"/>
          <w:color w:val="1F2937"/>
          <w:sz w:val="21"/>
        </w:rPr>
        <w:t>: Dual-core processor or better.</w:t>
      </w:r>
    </w:p>
    <w:p>
      <w:pPr>
        <w:spacing w:before="20" w:after="40" w:line="288" w:lineRule="auto"/>
        <w:ind w:left="360" w:hanging="216"/>
      </w:pPr>
      <w:r>
        <w:rPr>
          <w:b/>
          <w:color w:val="2563EB"/>
        </w:rPr>
        <w:t xml:space="preserve">• </w:t>
      </w:r>
      <w:r>
        <w:rPr>
          <w:rFonts w:ascii="Arial" w:hAnsi="Arial"/>
          <w:b/>
          <w:i w:val="0"/>
          <w:color w:val="1F2937"/>
          <w:sz w:val="21"/>
        </w:rPr>
        <w:t>RAM</w:t>
      </w:r>
      <w:r>
        <w:rPr>
          <w:rFonts w:ascii="Arial" w:hAnsi="Arial"/>
          <w:i w:val="0"/>
          <w:color w:val="1F2937"/>
          <w:sz w:val="21"/>
        </w:rPr>
        <w:t>: 4 GB RAM minimum (8 GB recommended for multi-tab browser sessions).</w:t>
      </w:r>
    </w:p>
    <w:p>
      <w:pPr>
        <w:spacing w:before="20" w:after="40" w:line="288" w:lineRule="auto"/>
        <w:ind w:left="360" w:hanging="216"/>
      </w:pPr>
      <w:r>
        <w:rPr>
          <w:b/>
          <w:color w:val="2563EB"/>
        </w:rPr>
        <w:t xml:space="preserve">• </w:t>
      </w:r>
      <w:r>
        <w:rPr>
          <w:rFonts w:ascii="Arial" w:hAnsi="Arial"/>
          <w:b/>
          <w:i w:val="0"/>
          <w:color w:val="1F2937"/>
          <w:sz w:val="21"/>
        </w:rPr>
        <w:t>Web Browser</w:t>
      </w:r>
      <w:r>
        <w:rPr>
          <w:rFonts w:ascii="Arial" w:hAnsi="Arial"/>
          <w:i w:val="0"/>
          <w:color w:val="1F2937"/>
          <w:sz w:val="21"/>
        </w:rPr>
        <w:t>: Modern ECMAScript-compliant browser (Google Chrome, Mozilla Firefox, Microsoft Edge, Safari) with WebGL support for interactive Plotly charts.</w:t>
      </w:r>
    </w:p>
    <w:p>
      <w:pPr>
        <w:spacing w:before="80" w:after="160"/>
      </w:pPr>
      <w:r>
        <w:rPr>
          <w:color w:val="E5E7EB"/>
          <w:sz w:val="16"/>
        </w:rPr>
        <w:t>_________________________________________________________________________________</w:t>
      </w:r>
    </w:p>
    <w:p>
      <w:r>
        <w:br w:type="page"/>
      </w:r>
    </w:p>
    <w:p>
      <w:pPr>
        <w:pStyle w:val="Heading1"/>
      </w:pPr>
      <w:r>
        <w:t>12. SOFTWARE REQUIREMENTS</w:t>
      </w:r>
    </w:p>
    <w:p>
      <w:pPr>
        <w:pStyle w:val="Heading2"/>
      </w:pPr>
      <w:r>
        <w:t>12.1 Core Runtime Environment &amp; Language Specifications</w:t>
      </w:r>
    </w:p>
    <w:p>
      <w:pPr/>
      <w:r>
        <w:rPr>
          <w:rFonts w:ascii="Arial" w:hAnsi="Arial"/>
          <w:i w:val="0"/>
          <w:color w:val="1F2937"/>
          <w:sz w:val="21"/>
        </w:rPr>
        <w:t>Grid-Guard is developed natively in Python, leveraging high-performance compiled extensions:</w:t>
      </w:r>
    </w:p>
    <w:p>
      <w:pPr>
        <w:spacing w:before="20" w:after="40" w:line="288" w:lineRule="auto"/>
        <w:ind w:left="360" w:hanging="216"/>
      </w:pPr>
      <w:r>
        <w:rPr>
          <w:b/>
          <w:color w:val="2563EB"/>
        </w:rPr>
        <w:t xml:space="preserve">• </w:t>
      </w:r>
      <w:r>
        <w:rPr>
          <w:rFonts w:ascii="Arial" w:hAnsi="Arial"/>
          <w:b/>
          <w:i w:val="0"/>
          <w:color w:val="1F2937"/>
          <w:sz w:val="21"/>
        </w:rPr>
        <w:t>Programming Language</w:t>
      </w:r>
      <w:r>
        <w:rPr>
          <w:rFonts w:ascii="Arial" w:hAnsi="Arial"/>
          <w:i w:val="0"/>
          <w:color w:val="1F2937"/>
          <w:sz w:val="21"/>
        </w:rPr>
        <w:t>: Python 3.11 / Python 3.12 (CPython 64-bit runtime).</w:t>
      </w:r>
    </w:p>
    <w:p>
      <w:pPr>
        <w:spacing w:before="20" w:after="40" w:line="288" w:lineRule="auto"/>
        <w:ind w:left="360" w:hanging="216"/>
      </w:pPr>
      <w:r>
        <w:rPr>
          <w:b/>
          <w:color w:val="2563EB"/>
        </w:rPr>
        <w:t xml:space="preserve">• </w:t>
      </w:r>
      <w:r>
        <w:rPr>
          <w:rFonts w:ascii="Arial" w:hAnsi="Arial"/>
          <w:b/>
          <w:i w:val="0"/>
          <w:color w:val="1F2937"/>
          <w:sz w:val="21"/>
        </w:rPr>
        <w:t>Package &amp; Environment Management</w:t>
      </w:r>
      <w:r>
        <w:rPr>
          <w:rFonts w:ascii="Arial" w:hAnsi="Arial"/>
          <w:i w:val="0"/>
          <w:color w:val="1F2937"/>
          <w:sz w:val="21"/>
        </w:rPr>
        <w:t xml:space="preserve">: </w:t>
      </w:r>
      <w:r>
        <w:rPr>
          <w:rFonts w:ascii="Consolas" w:hAnsi="Consolas"/>
          <w:i w:val="0"/>
          <w:color w:val="B91C1C"/>
          <w:sz w:val="19"/>
        </w:rPr>
        <w:t>uv</w:t>
      </w:r>
      <w:r>
        <w:rPr>
          <w:rFonts w:ascii="Arial" w:hAnsi="Arial"/>
          <w:i w:val="0"/>
          <w:color w:val="1F2937"/>
          <w:sz w:val="21"/>
        </w:rPr>
        <w:t xml:space="preserve"> (Rust-based ultra-fast package manager) and standard </w:t>
      </w:r>
      <w:r>
        <w:rPr>
          <w:rFonts w:ascii="Consolas" w:hAnsi="Consolas"/>
          <w:i w:val="0"/>
          <w:color w:val="B91C1C"/>
          <w:sz w:val="19"/>
        </w:rPr>
        <w:t>pyproject.toml</w:t>
      </w:r>
      <w:r>
        <w:rPr>
          <w:rFonts w:ascii="Arial" w:hAnsi="Arial"/>
          <w:i w:val="0"/>
          <w:color w:val="1F2937"/>
          <w:sz w:val="21"/>
        </w:rPr>
        <w:t xml:space="preserve"> packaging.</w:t>
      </w:r>
    </w:p>
    <w:p>
      <w:pPr>
        <w:spacing w:before="20" w:after="40" w:line="288" w:lineRule="auto"/>
        <w:ind w:left="360" w:hanging="216"/>
      </w:pPr>
      <w:r>
        <w:rPr>
          <w:b/>
          <w:color w:val="2563EB"/>
        </w:rPr>
        <w:t xml:space="preserve">• </w:t>
      </w:r>
      <w:r>
        <w:rPr>
          <w:rFonts w:ascii="Arial" w:hAnsi="Arial"/>
          <w:b/>
          <w:i w:val="0"/>
          <w:color w:val="1F2937"/>
          <w:sz w:val="21"/>
        </w:rPr>
        <w:t>Operating System Compatibility</w:t>
      </w:r>
      <w:r>
        <w:rPr>
          <w:rFonts w:ascii="Arial" w:hAnsi="Arial"/>
          <w:i w:val="0"/>
          <w:color w:val="1F2937"/>
          <w:sz w:val="21"/>
        </w:rPr>
        <w:t>: Fully validated on Microsoft Windows 11 (64-bit) and Linux (Ubuntu 22.04 LTS / Debian 12 Bookworm).</w:t>
      </w:r>
    </w:p>
    <w:p>
      <w:pPr>
        <w:pStyle w:val="Heading2"/>
      </w:pPr>
      <w:r>
        <w:t>12.2 Production Dependency Inventory</w:t>
      </w:r>
    </w:p>
    <w:p>
      <w:pPr/>
      <w:r>
        <w:rPr>
          <w:rFonts w:ascii="Arial" w:hAnsi="Arial"/>
          <w:i w:val="0"/>
          <w:color w:val="1F2937"/>
          <w:sz w:val="21"/>
        </w:rPr>
        <w:t>The software dependencies are strictly categorized and pinned to guarantee deterministic behavior:</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Library / Package</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Version Range</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Technical Purpose &amp; Role in Grid-Guard</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Justification &amp; Architectural Selection Rationale</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Polars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^0.20.0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High-performance columnar feature engineering</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Multi-threaded Arrow memory layout; $15\times$ faster than Pandas; zero-copy lazy evaluation.</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LightGBM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^4.3.0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Gradient boosted decision tree core</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Native support for custom second-order objectives, high sparsity efficiency, and fast CPU inference.</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SHAP</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^0.44.0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Tree-SHAP local feature attribution</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Lundberg's exact polynomial-time tree traversal algorithm ($\mathcal{O}(T L D^2)$).</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FastAPI</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^0.110.0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Asynchronous production REST API gateway</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High-performance ASGI framework; automatic OpenAPI documentation; native Pydantic typing.</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Pydantic</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^2.6.0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Data contract validation and schema enforcement</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Runtime validation of API payloads; strict boundaries between API and internal pipelines.</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Streamlit</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^1.32.0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Interactive operational dashboard</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Rapid reactive UI development; native integration with Plotly charts and session state caching.</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Scikit-learn</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^1.4.0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Metrics, baseline algorithms, and preprocessing</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Industry-standard implementations of PR-AUC, ROC-AUC, confusion matrices, and splitters.</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Imbalanced-learn</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^0.12.0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Class imbalance benchmarking</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Evaluated SMOTE and random undersampling in Phase 5 comparative experiments.</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MLflow</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^2.11.0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Experiment tracking &amp; model artifact registry</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Logs hyperparameters, metrics, and booster binaries; guarantees end-to-end experiment lineage.</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Pytest</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^8.0.0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Unit, integration, and mathematical test harness</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Automated testing framework with parametrized test cases and async fixture support.</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Ruff</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^0.3.0</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Fast Python linter and code formatter</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Enforces strict PEP-8 standards, type hygiene, and zero undefined variables.</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Docker</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^25.0.0</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Application containerization</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Packages API and dashboard into portable, isolated production runtime containers.</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13. SURVEY OF TECHNOLOGY</w:t>
      </w:r>
    </w:p>
    <w:p>
      <w:pPr>
        <w:pStyle w:val="Heading2"/>
      </w:pPr>
      <w:r>
        <w:t>13.1 Smart Meter Telemetry &amp; Advanced Metering Infrastructure (AMI) Standards</w:t>
      </w:r>
    </w:p>
    <w:p>
      <w:pPr/>
      <w:r>
        <w:rPr>
          <w:rFonts w:ascii="Arial" w:hAnsi="Arial"/>
          <w:i w:val="0"/>
          <w:color w:val="1F2937"/>
          <w:sz w:val="21"/>
        </w:rPr>
        <w:t>Advanced Metering Infrastructure (AMI) represents the integration of electronic smart meters, bidirectional communication networks (cellular mesh, power-line carrier, or RF point-to-multipoint), and Meter Data Management Systems (MDMS). Modern AMI deployments conform to international standards such as ANSI C12.19, IEC 62056 (DLMS/COSEM), and OpenADR. While smart meters can theoretically record sub-hourly energy, voltage, reactive power, and power factor, network bandwidth limitations and legacy head-end architectures often constrain utilities to collecting daily active energy (kWh) totals. Grid-Guard was specifically designed to extract maximum diagnostic intelligence from this widespread daily telemetry baseline.</w:t>
      </w:r>
    </w:p>
    <w:p>
      <w:pPr>
        <w:pStyle w:val="Heading2"/>
      </w:pPr>
      <w:r>
        <w:t>13.2 Time-Series Feature Engineering Frameworks: Polars vs. Pandas vs. Dask</w:t>
      </w:r>
    </w:p>
    <w:p>
      <w:pPr/>
      <w:r>
        <w:rPr>
          <w:rFonts w:ascii="Arial" w:hAnsi="Arial"/>
          <w:i w:val="0"/>
          <w:color w:val="1F2937"/>
          <w:sz w:val="21"/>
        </w:rPr>
        <w:t>Extracting 60 causal rolling window features across 43.8 million consumption records represents a major computational bottleneck. The project evaluated three prominent DataFrame engines:</w:t>
      </w:r>
    </w:p>
    <w:p>
      <w:pPr>
        <w:spacing w:before="20" w:after="40" w:line="288" w:lineRule="auto"/>
        <w:ind w:left="360" w:hanging="216"/>
      </w:pPr>
      <w:r>
        <w:rPr>
          <w:b/>
          <w:color w:val="2563EB"/>
        </w:rPr>
        <w:t xml:space="preserve">• </w:t>
      </w:r>
      <w:r>
        <w:rPr>
          <w:rFonts w:ascii="Arial" w:hAnsi="Arial"/>
          <w:b/>
          <w:i w:val="0"/>
          <w:color w:val="1F2937"/>
          <w:sz w:val="21"/>
        </w:rPr>
        <w:t>Pandas</w:t>
      </w:r>
      <w:r>
        <w:rPr>
          <w:rFonts w:ascii="Arial" w:hAnsi="Arial"/>
          <w:i w:val="0"/>
          <w:color w:val="1F2937"/>
          <w:sz w:val="21"/>
        </w:rPr>
        <w:t>: The traditional Python data science standard. Pandas relies on a single-threaded C/Python memory model. Rolling window calculations across 42,372 meters require nested grouping operations (</w:t>
      </w:r>
      <w:r>
        <w:rPr>
          <w:rFonts w:ascii="Consolas" w:hAnsi="Consolas"/>
          <w:i w:val="0"/>
          <w:color w:val="B91C1C"/>
          <w:sz w:val="19"/>
        </w:rPr>
        <w:t>df.groupby('meter_id').rolling(...)</w:t>
      </w:r>
      <w:r>
        <w:rPr>
          <w:rFonts w:ascii="Arial" w:hAnsi="Arial"/>
          <w:i w:val="0"/>
          <w:color w:val="1F2937"/>
          <w:sz w:val="21"/>
        </w:rPr>
        <w:t>), resulting in excessive memory duplication, high garbage-collection pauses, and over 14 minutes of execution time.</w:t>
      </w:r>
    </w:p>
    <w:p>
      <w:pPr>
        <w:spacing w:before="20" w:after="40" w:line="288" w:lineRule="auto"/>
        <w:ind w:left="360" w:hanging="216"/>
      </w:pPr>
      <w:r>
        <w:rPr>
          <w:b/>
          <w:color w:val="2563EB"/>
        </w:rPr>
        <w:t xml:space="preserve">• </w:t>
      </w:r>
      <w:r>
        <w:rPr>
          <w:rFonts w:ascii="Arial" w:hAnsi="Arial"/>
          <w:b/>
          <w:i w:val="0"/>
          <w:color w:val="1F2937"/>
          <w:sz w:val="21"/>
        </w:rPr>
        <w:t>Dask</w:t>
      </w:r>
      <w:r>
        <w:rPr>
          <w:rFonts w:ascii="Arial" w:hAnsi="Arial"/>
          <w:i w:val="0"/>
          <w:color w:val="1F2937"/>
          <w:sz w:val="21"/>
        </w:rPr>
        <w:t>: A distributed task-graph scheduler. While capable of multi-core out-of-core execution, Dask introduces significant serialization overhead and scheduling latency for medium-sized in-memory datasets ($&lt; 10$ GB).</w:t>
      </w:r>
    </w:p>
    <w:p>
      <w:pPr>
        <w:spacing w:before="20" w:after="40" w:line="288" w:lineRule="auto"/>
        <w:ind w:left="360" w:hanging="216"/>
      </w:pPr>
      <w:r>
        <w:rPr>
          <w:b/>
          <w:color w:val="2563EB"/>
        </w:rPr>
        <w:t xml:space="preserve">• </w:t>
      </w:r>
      <w:r>
        <w:rPr>
          <w:rFonts w:ascii="Arial" w:hAnsi="Arial"/>
          <w:b/>
          <w:i w:val="0"/>
          <w:color w:val="1F2937"/>
          <w:sz w:val="21"/>
        </w:rPr>
        <w:t>Polars</w:t>
      </w:r>
      <w:r>
        <w:rPr>
          <w:rFonts w:ascii="Arial" w:hAnsi="Arial"/>
          <w:i w:val="0"/>
          <w:color w:val="1F2937"/>
          <w:sz w:val="21"/>
        </w:rPr>
        <w:t>: A state-of-the-art columnar DataFrame engine written in Rust and built upon the Apache Arrow memory specification. Polars executes operations via a query optimizer that compiles lazy expression graphs (</w:t>
      </w:r>
      <w:r>
        <w:rPr>
          <w:rFonts w:ascii="Consolas" w:hAnsi="Consolas"/>
          <w:i w:val="0"/>
          <w:color w:val="B91C1C"/>
          <w:sz w:val="19"/>
        </w:rPr>
        <w:t>pl.Expr</w:t>
      </w:r>
      <w:r>
        <w:rPr>
          <w:rFonts w:ascii="Arial" w:hAnsi="Arial"/>
          <w:i w:val="0"/>
          <w:color w:val="1F2937"/>
          <w:sz w:val="21"/>
        </w:rPr>
        <w:t xml:space="preserve">) into multi-threaded SIMD CPU instructions. In Grid-Guard benchmarks, Polars completed the entire 60-feature causal extraction pipeline in </w:t>
      </w:r>
      <w:r>
        <w:rPr>
          <w:rFonts w:ascii="Arial" w:hAnsi="Arial"/>
          <w:b/>
          <w:i w:val="0"/>
          <w:color w:val="1F2937"/>
          <w:sz w:val="21"/>
        </w:rPr>
        <w:t>under 45 seconds</w:t>
      </w:r>
      <w:r>
        <w:rPr>
          <w:rFonts w:ascii="Arial" w:hAnsi="Arial"/>
          <w:i w:val="0"/>
          <w:color w:val="1F2937"/>
          <w:sz w:val="21"/>
        </w:rPr>
        <w:t>—an order-of-magnitude speedup over Pandas while using less than half the RAM.</w:t>
      </w:r>
    </w:p>
    <w:p>
      <w:pPr>
        <w:pStyle w:val="Heading2"/>
      </w:pPr>
      <w:r>
        <w:t>13.3 Gradient Boosted Decision Trees: LightGBM vs. XGBoost vs. CatBoost</w:t>
      </w:r>
    </w:p>
    <w:p>
      <w:pPr/>
      <w:r>
        <w:rPr>
          <w:rFonts w:ascii="Arial" w:hAnsi="Arial"/>
          <w:i w:val="0"/>
          <w:color w:val="1F2937"/>
          <w:sz w:val="21"/>
        </w:rPr>
        <w:t>Gradient Boosted Decision Trees (GBDT) dominate tabular and time-series machine learning:</w:t>
      </w:r>
    </w:p>
    <w:p>
      <w:pPr>
        <w:spacing w:before="20" w:after="40" w:line="288" w:lineRule="auto"/>
        <w:ind w:left="360" w:hanging="216"/>
      </w:pPr>
      <w:r>
        <w:rPr>
          <w:b/>
          <w:color w:val="2563EB"/>
        </w:rPr>
        <w:t xml:space="preserve">• </w:t>
      </w:r>
      <w:r>
        <w:rPr>
          <w:rFonts w:ascii="Arial" w:hAnsi="Arial"/>
          <w:b/>
          <w:i w:val="0"/>
          <w:color w:val="1F2937"/>
          <w:sz w:val="21"/>
        </w:rPr>
        <w:t>XGBoost</w:t>
      </w:r>
      <w:r>
        <w:rPr>
          <w:rFonts w:ascii="Arial" w:hAnsi="Arial"/>
          <w:i w:val="0"/>
          <w:color w:val="1F2937"/>
          <w:sz w:val="21"/>
        </w:rPr>
        <w:t>: Introduced exact greedy and approximate histogram-based tree learning with second-order regularization. While robust, XGBoost exhibits higher memory usage and slower training speeds on large sample counts compared to LightGBM.</w:t>
      </w:r>
    </w:p>
    <w:p>
      <w:pPr>
        <w:spacing w:before="20" w:after="40" w:line="288" w:lineRule="auto"/>
        <w:ind w:left="360" w:hanging="216"/>
      </w:pPr>
      <w:r>
        <w:rPr>
          <w:b/>
          <w:color w:val="2563EB"/>
        </w:rPr>
        <w:t xml:space="preserve">• </w:t>
      </w:r>
      <w:r>
        <w:rPr>
          <w:rFonts w:ascii="Arial" w:hAnsi="Arial"/>
          <w:b/>
          <w:i w:val="0"/>
          <w:color w:val="1F2937"/>
          <w:sz w:val="21"/>
        </w:rPr>
        <w:t>CatBoost</w:t>
      </w:r>
      <w:r>
        <w:rPr>
          <w:rFonts w:ascii="Arial" w:hAnsi="Arial"/>
          <w:i w:val="0"/>
          <w:color w:val="1F2937"/>
          <w:sz w:val="21"/>
        </w:rPr>
        <w:t>: Excels at handling high-cardinality categorical features using target encoding and symmetric (oblivious) trees. However, its CPU training speed is significantly slower, and its custom objective interface is less flexible for sample-weighted Hessians.</w:t>
      </w:r>
    </w:p>
    <w:p>
      <w:pPr>
        <w:spacing w:before="20" w:after="40" w:line="288" w:lineRule="auto"/>
        <w:ind w:left="360" w:hanging="216"/>
      </w:pPr>
      <w:r>
        <w:rPr>
          <w:b/>
          <w:color w:val="2563EB"/>
        </w:rPr>
        <w:t xml:space="preserve">• </w:t>
      </w:r>
      <w:r>
        <w:rPr>
          <w:rFonts w:ascii="Arial" w:hAnsi="Arial"/>
          <w:b/>
          <w:i w:val="0"/>
          <w:color w:val="1F2937"/>
          <w:sz w:val="21"/>
        </w:rPr>
        <w:t>LightGBM</w:t>
      </w:r>
      <w:r>
        <w:rPr>
          <w:rFonts w:ascii="Arial" w:hAnsi="Arial"/>
          <w:i w:val="0"/>
          <w:color w:val="1F2937"/>
          <w:sz w:val="21"/>
        </w:rPr>
        <w:t>: Implements Gradient-Based One-Side Sampling (GOSS) and Exclusive Feature Bundling (EFB), alongside leaf-wise (best-first) tree growth. LightGBM provides native support for custom second-order loss objectives where both the first derivative (gradient) and second derivative (Hessian) can be passed as vectorized arrays. Its ultra-compact memory footprint and sub-millisecond leaf traversal made it the optimal choice for Grid-Guard's cost-sensitive engine.</w:t>
      </w:r>
    </w:p>
    <w:p>
      <w:pPr>
        <w:pStyle w:val="Heading2"/>
      </w:pPr>
      <w:r>
        <w:t>13.4 Class Imbalance Methodologies: Resampling vs. Cost-Sensitive Objectives</w:t>
      </w:r>
    </w:p>
    <w:p>
      <w:pPr/>
      <w:r>
        <w:rPr>
          <w:rFonts w:ascii="Arial" w:hAnsi="Arial"/>
          <w:i w:val="0"/>
          <w:color w:val="1F2937"/>
          <w:sz w:val="21"/>
        </w:rPr>
        <w:t>Handling extreme class imbalance (8.53% tampering prevalence) traditionally involves:</w:t>
      </w:r>
    </w:p>
    <w:p>
      <w:pPr>
        <w:spacing w:before="20" w:after="40" w:line="288" w:lineRule="auto"/>
        <w:ind w:left="360" w:hanging="216"/>
      </w:pPr>
      <w:r>
        <w:rPr>
          <w:b/>
          <w:color w:val="2563EB"/>
        </w:rPr>
        <w:t xml:space="preserve">• </w:t>
      </w:r>
      <w:r>
        <w:rPr>
          <w:rFonts w:ascii="Arial" w:hAnsi="Arial"/>
          <w:b/>
          <w:i w:val="0"/>
          <w:color w:val="1F2937"/>
          <w:sz w:val="21"/>
        </w:rPr>
        <w:t>Data-Level Resampling (SMOTE / Undersampling)</w:t>
      </w:r>
      <w:r>
        <w:rPr>
          <w:rFonts w:ascii="Arial" w:hAnsi="Arial"/>
          <w:i w:val="0"/>
          <w:color w:val="1F2937"/>
          <w:sz w:val="21"/>
        </w:rPr>
        <w:t>: SMOTE generates synthetic minority instances by interpolating between nearest neighbors. In time-series feature spaces, however, linear interpolation frequently creates physically impossible feature combinations (e.g., high rolling mean paired with zero lagged values), corrupting physical energy laws. Undersampling discards over 80% of honest data, destroying the model's understanding of normal consumption variance.</w:t>
      </w:r>
    </w:p>
    <w:p>
      <w:pPr>
        <w:spacing w:before="20" w:after="40" w:line="288" w:lineRule="auto"/>
        <w:ind w:left="360" w:hanging="216"/>
      </w:pPr>
      <w:r>
        <w:rPr>
          <w:b/>
          <w:color w:val="2563EB"/>
        </w:rPr>
        <w:t xml:space="preserve">• </w:t>
      </w:r>
      <w:r>
        <w:rPr>
          <w:rFonts w:ascii="Arial" w:hAnsi="Arial"/>
          <w:b/>
          <w:i w:val="0"/>
          <w:color w:val="1F2937"/>
          <w:sz w:val="21"/>
        </w:rPr>
        <w:t>Algorithm-Level Cost-Sensitive Learning</w:t>
      </w:r>
      <w:r>
        <w:rPr>
          <w:rFonts w:ascii="Arial" w:hAnsi="Arial"/>
          <w:i w:val="0"/>
          <w:color w:val="1F2937"/>
          <w:sz w:val="21"/>
        </w:rPr>
        <w:t>: Instead of altering data distributions, cost-sensitive learning modifies the loss function to penalize specific classification errors in direct proportion to their operational severity. By weighting instances by their true financial consequence ($w_i = C_{\text{FN}, i}$), the algorithm preserves the empirical data distribution while naturally focusing tree growth on high-exposure accounts.</w:t>
      </w:r>
    </w:p>
    <w:p>
      <w:pPr>
        <w:pStyle w:val="Heading2"/>
      </w:pPr>
      <w:r>
        <w:t>13.5 Explainable Artificial Intelligence (XAI): SHAP vs. LIME</w:t>
      </w:r>
    </w:p>
    <w:p>
      <w:pPr/>
      <w:r>
        <w:rPr>
          <w:rFonts w:ascii="Arial" w:hAnsi="Arial"/>
          <w:i w:val="0"/>
          <w:color w:val="1F2937"/>
          <w:sz w:val="21"/>
        </w:rPr>
        <w:t>Utility field deployment requires legal defensibility and technician trust:</w:t>
      </w:r>
    </w:p>
    <w:p>
      <w:pPr>
        <w:spacing w:before="20" w:after="40" w:line="288" w:lineRule="auto"/>
        <w:ind w:left="360" w:hanging="216"/>
      </w:pPr>
      <w:r>
        <w:rPr>
          <w:b/>
          <w:color w:val="2563EB"/>
        </w:rPr>
        <w:t xml:space="preserve">• </w:t>
      </w:r>
      <w:r>
        <w:rPr>
          <w:rFonts w:ascii="Arial" w:hAnsi="Arial"/>
          <w:b/>
          <w:i w:val="0"/>
          <w:color w:val="1F2937"/>
          <w:sz w:val="21"/>
        </w:rPr>
        <w:t>LIME (Local Interpretable Model-agnostic Explanations)</w:t>
      </w:r>
      <w:r>
        <w:rPr>
          <w:rFonts w:ascii="Arial" w:hAnsi="Arial"/>
          <w:i w:val="0"/>
          <w:color w:val="1F2937"/>
          <w:sz w:val="21"/>
        </w:rPr>
        <w:t>: Builds a local surrogate linear model around a perturbed instance. LIME is non-deterministic, computationally slow for large feature sets, and lacks theoretical guarantees of efficiency and consistency.</w:t>
      </w:r>
    </w:p>
    <w:p>
      <w:pPr>
        <w:spacing w:before="20" w:after="40" w:line="288" w:lineRule="auto"/>
        <w:ind w:left="360" w:hanging="216"/>
      </w:pPr>
      <w:r>
        <w:rPr>
          <w:b/>
          <w:color w:val="2563EB"/>
        </w:rPr>
        <w:t xml:space="preserve">• </w:t>
      </w:r>
      <w:r>
        <w:rPr>
          <w:rFonts w:ascii="Arial" w:hAnsi="Arial"/>
          <w:b/>
          <w:i w:val="0"/>
          <w:color w:val="1F2937"/>
          <w:sz w:val="21"/>
        </w:rPr>
        <w:t>Tree-SHAP (Shapley Additive Explanations)</w:t>
      </w:r>
      <w:r>
        <w:rPr>
          <w:rFonts w:ascii="Arial" w:hAnsi="Arial"/>
          <w:i w:val="0"/>
          <w:color w:val="1F2937"/>
          <w:sz w:val="21"/>
        </w:rPr>
        <w:t xml:space="preserve">: Grounded in cooperative game theory, Shapley values represent the unique attribution method satisfying four foundational mathematical axioms: </w:t>
      </w:r>
      <w:r>
        <w:rPr>
          <w:rFonts w:ascii="Arial" w:hAnsi="Arial"/>
          <w:i/>
          <w:color w:val="1F2937"/>
          <w:sz w:val="21"/>
        </w:rPr>
        <w:t>Efficiency</w:t>
      </w:r>
      <w:r>
        <w:rPr>
          <w:rFonts w:ascii="Arial" w:hAnsi="Arial"/>
          <w:i w:val="0"/>
          <w:color w:val="1F2937"/>
          <w:sz w:val="21"/>
        </w:rPr>
        <w:t xml:space="preserve"> (attributions sum to the difference between model output and base value), </w:t>
      </w:r>
      <w:r>
        <w:rPr>
          <w:rFonts w:ascii="Arial" w:hAnsi="Arial"/>
          <w:i/>
          <w:color w:val="1F2937"/>
          <w:sz w:val="21"/>
        </w:rPr>
        <w:t>Symmetry</w:t>
      </w:r>
      <w:r>
        <w:rPr>
          <w:rFonts w:ascii="Arial" w:hAnsi="Arial"/>
          <w:i w:val="0"/>
          <w:color w:val="1F2937"/>
          <w:sz w:val="21"/>
        </w:rPr>
        <w:t xml:space="preserve"> (identical features receive identical attribution), </w:t>
      </w:r>
      <w:r>
        <w:rPr>
          <w:rFonts w:ascii="Arial" w:hAnsi="Arial"/>
          <w:i/>
          <w:color w:val="1F2937"/>
          <w:sz w:val="21"/>
        </w:rPr>
        <w:t>Dummy</w:t>
      </w:r>
      <w:r>
        <w:rPr>
          <w:rFonts w:ascii="Arial" w:hAnsi="Arial"/>
          <w:i w:val="0"/>
          <w:color w:val="1F2937"/>
          <w:sz w:val="21"/>
        </w:rPr>
        <w:t xml:space="preserve"> (features with zero marginal impact receive zero attribution), and </w:t>
      </w:r>
      <w:r>
        <w:rPr>
          <w:rFonts w:ascii="Arial" w:hAnsi="Arial"/>
          <w:i/>
          <w:color w:val="1F2937"/>
          <w:sz w:val="21"/>
        </w:rPr>
        <w:t>Additivity</w:t>
      </w:r>
      <w:r>
        <w:rPr>
          <w:rFonts w:ascii="Arial" w:hAnsi="Arial"/>
          <w:i w:val="0"/>
          <w:color w:val="1F2937"/>
          <w:sz w:val="21"/>
        </w:rPr>
        <w:t xml:space="preserve"> (attributions can be summed across ensemble trees). Lundberg's Tree-SHAP optimizes traversal from exponential complexity $\mathcal{O}(2^M)$ to polynomial time $\mathcal{O}(T L D^2)$, generating mathematically exact, provably consistent attributions in sub-25ms latency.</w:t>
      </w:r>
    </w:p>
    <w:p>
      <w:pPr>
        <w:pStyle w:val="Heading2"/>
      </w:pPr>
      <w:r>
        <w:t>13.6 Comprehensive Technology Comparative Matrix</w:t>
      </w:r>
    </w:p>
    <w:p>
      <w:pPr/>
      <w:r>
        <w:rPr>
          <w:rFonts w:ascii="Arial" w:hAnsi="Arial"/>
          <w:i w:val="0"/>
          <w:color w:val="1F2937"/>
          <w:sz w:val="21"/>
        </w:rPr>
        <w:t>The table below synthesizes the technology selection decisions governing Grid-Guard's implementation: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Architectural Tier</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Selected Technology</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Evaluated Alternatives</w:t>
            </w:r>
          </w:p>
        </w:tc>
        <w:tc>
          <w:tcPr>
            <w:tcW w:type="dxa" w:w="234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Primary Selection Factor &amp; Technical Justification</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DataFrame Engine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Polars (Rust)</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Pandas, Dask, Modin</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Multi-threaded Arrow execution; $15\times$ faster feature extraction with zero-copy lazy evaluation.</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Machine Learning Core</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LightGBM</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XGBoost, CatBoost, PyTorch</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Leaf-wise tree splitting; native vectorized custom objective interface; sub-millisecond inference.</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Explainability Engine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Tree-SHAP</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LIME, Integrated Gradients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Axiomatic mathematical consistency (Efficiency, Symmetry); polynomial-time tree traversal.</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API Framework</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FastAPI</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Flask, Django, Tornado</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Native ASGI asynchronous concurrency; automatic OpenAPI generation; sub-30ms P95 latency.</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Validation Layer</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Pydantic v2</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Marshmallow, Cerberus</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Compiled Rust validation core; strict runtime type contracts between API and domain logic.</w:t>
            </w:r>
          </w:p>
        </w:tc>
      </w:tr>
      <w:tr>
        <w:trPr>
          <w:cantSplit/>
        </w:trPr>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Dashboard UI</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Streamlit</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Plotly Dash, React SPA</w:t>
            </w:r>
          </w:p>
        </w:tc>
        <w:tc>
          <w:tcPr>
            <w:tcW w:type="dxa" w:w="234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Rapid data science prototyping; native Plotly support; decoupled architecture via REST client.</w:t>
            </w:r>
          </w:p>
        </w:tc>
      </w:tr>
      <w:tr>
        <w:trPr>
          <w:cantSplit/>
        </w:trPr>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Experiment Tracking</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MLflow</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Weights &amp; Biases, Neptune</w:t>
            </w:r>
          </w:p>
        </w:tc>
        <w:tc>
          <w:tcPr>
            <w:tcW w:type="dxa" w:w="234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Self-hosted, lightweight SQLite/artifact storage; complete reproducibility without cloud vendor lock-in.</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14. SYSTEM DESIGN</w:t>
      </w:r>
    </w:p>
    <w:p>
      <w:pPr>
        <w:pStyle w:val="Heading2"/>
      </w:pPr>
      <w:r>
        <w:t>14.1 Layered Architectural Design</w:t>
      </w:r>
    </w:p>
    <w:p>
      <w:pPr/>
      <w:r>
        <w:rPr>
          <w:rFonts w:ascii="Arial" w:hAnsi="Arial"/>
          <w:i w:val="0"/>
          <w:color w:val="1F2937"/>
          <w:sz w:val="21"/>
        </w:rPr>
        <w:t>Grid-Guard is architected as an enterprise-grade, multi-tier decoupled system designed to bridge modern time-series machine learning with field utility operations. The architectural topology is organized into five specialized tiers: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subgraph Tier1["1. Data Ingestion &amp; Hygiene Tier"]</w:t>
              <w:br/>
              <w:t xml:space="preserve">        RawAMI["Raw AMI Smart Meter CSV/Parquet"] --&gt; Loader["Data Loader &amp; Schema Validator"]</w:t>
              <w:br/>
              <w:t xml:space="preserve">        Loader --&gt; Cleaner["Temporal Cleaner &amp; Bounded Imputer"]</w:t>
              <w:br/>
              <w:t xml:space="preserve">        Cleaner --&gt; CleanParquet["Canonical Cleaned Dataset"]</w:t>
              <w:br/>
              <w:t xml:space="preserve">    end</w:t>
              <w:br/>
              <w:br/>
              <w:t xml:space="preserve">    subgraph Tier2["2. Feature Store &amp; Transformation Tier"]</w:t>
              <w:br/>
              <w:t xml:space="preserve">        CleanParquet --&gt; FeatPipe["Temporal Feature Pipeline (Polars Lazy)"]</w:t>
              <w:br/>
              <w:t xml:space="preserve">        FeatPipe --&gt; FeatStore["60-Dimensional Feature Matrix"]</w:t>
              <w:br/>
              <w:t xml:space="preserve">    end</w:t>
              <w:br/>
              <w:br/>
              <w:t xml:space="preserve">    subgraph Tier3["3. Machine Learning &amp; Cost-Sensitive Core"]</w:t>
              <w:br/>
              <w:t xml:space="preserve">        FeatStore --&gt; Booster["Cost-Sensitive LightGBM Booster"]</w:t>
              <w:br/>
              <w:t xml:space="preserve">        Booster --&gt; Calibrator["Posterior Calibrator / Predictor"]</w:t>
              <w:br/>
              <w:t xml:space="preserve">        Calibrator --&gt; ProbOutput["Posterior Tampering Probability (p_i)"]</w:t>
              <w:br/>
              <w:t xml:space="preserve">    end</w:t>
              <w:br/>
              <w:br/>
              <w:t xml:space="preserve">    subgraph Tier4["4. Financial Decision &amp; Explainability Engine"]</w:t>
              <w:br/>
              <w:t xml:space="preserve">        ProbOutput --&gt; FinEngine["Financial Exposure Engine"]</w:t>
              <w:br/>
              <w:t xml:space="preserve">        FeatStore --&gt; FinEngine</w:t>
              <w:br/>
              <w:t xml:space="preserve">        FinEngine --&gt; ThreshEngine["Dynamic Threshold &amp; ENV Engine"]</w:t>
              <w:br/>
              <w:t xml:space="preserve">        ThreshEngine --&gt; Planner["Inspection Priority Queue Planner"]</w:t>
              <w:br/>
              <w:t xml:space="preserve">        Planner --&gt; WorkOrders["Prioritized Work Orders &amp; Tickets"]</w:t>
              <w:br/>
              <w:t xml:space="preserve">        FeatStore --&gt; SHAPEngine["Tree-SHAP Attributor &amp; Signature Mapper"]</w:t>
              <w:br/>
              <w:t xml:space="preserve">        SHAPEngine --&gt; Narratives["Auditable Evidence Narratives"]</w:t>
              <w:br/>
              <w:t xml:space="preserve">    end</w:t>
              <w:br/>
              <w:br/>
              <w:t xml:space="preserve">    subgraph Tier5["5. Application Boundary &amp; Presentation Tier"]</w:t>
              <w:br/>
              <w:t xml:space="preserve">        WorkOrders --&gt; FastAPIService["FastAPI Asynchronous Gateway"]</w:t>
              <w:br/>
              <w:t xml:space="preserve">        Narratives --&gt; FastAPIService</w:t>
              <w:br/>
              <w:t xml:space="preserve">        FastAPIService --&gt; RESTAPI["Validated REST Endpoints (/predict, /explain, /fleet)"]</w:t>
              <w:br/>
              <w:t xml:space="preserve">        RESTAPI --&gt; DashClient["Dashboard API Client (HTTPX Session)"]</w:t>
              <w:br/>
              <w:t xml:space="preserve">        DashClient --&gt; StreamlitApp["Operational Streamlit Dashboard (Fleet, Single-Meter, Demo)"]</w:t>
              <w:br/>
              <w:t xml:space="preserve">    end</w:t>
            </w:r>
          </w:p>
        </w:tc>
      </w:tr>
    </w:tbl>
    <w:p>
      <w:pPr>
        <w:spacing w:before="0" w:after="80"/>
      </w:pPr>
    </w:p>
    <w:p>
      <w:pPr/>
      <w:r>
        <w:rPr>
          <w:rFonts w:ascii="Arial" w:hAnsi="Arial"/>
          <w:i w:val="0"/>
          <w:color w:val="1F2937"/>
          <w:sz w:val="21"/>
        </w:rPr>
        <w:t>The layers interact strictly through validated, unidirectional interfaces to prevent tight coupling and logic duplication:</w:t>
      </w:r>
    </w:p>
    <w:p>
      <w:pPr>
        <w:spacing w:before="40" w:after="40" w:line="288" w:lineRule="auto"/>
        <w:ind w:left="432" w:hanging="288"/>
      </w:pPr>
      <w:r>
        <w:rPr>
          <w:b/>
          <w:color w:val="1E3A8A"/>
        </w:rPr>
        <w:t xml:space="preserve">1. </w:t>
      </w:r>
      <w:r>
        <w:rPr>
          <w:rFonts w:ascii="Arial" w:hAnsi="Arial"/>
          <w:b/>
          <w:i w:val="0"/>
          <w:color w:val="1F2937"/>
          <w:sz w:val="21"/>
        </w:rPr>
        <w:t>Data Ingestion &amp; Hygiene Tier</w:t>
      </w:r>
      <w:r>
        <w:rPr>
          <w:rFonts w:ascii="Arial" w:hAnsi="Arial"/>
          <w:i w:val="0"/>
          <w:color w:val="1F2937"/>
          <w:sz w:val="21"/>
        </w:rPr>
        <w:t>: Receives heterogeneous daily consumption time series, validates structural schema constraints, enforces non-negative physical limits, flags suspect zero-runs, and applies forward-filling bounded by maximum run lengths.</w:t>
      </w:r>
    </w:p>
    <w:p>
      <w:pPr>
        <w:spacing w:before="40" w:after="40" w:line="288" w:lineRule="auto"/>
        <w:ind w:left="432" w:hanging="288"/>
      </w:pPr>
      <w:r>
        <w:rPr>
          <w:b/>
          <w:color w:val="1E3A8A"/>
        </w:rPr>
        <w:t xml:space="preserve">2. </w:t>
      </w:r>
      <w:r>
        <w:rPr>
          <w:rFonts w:ascii="Arial" w:hAnsi="Arial"/>
          <w:b/>
          <w:i w:val="0"/>
          <w:color w:val="1F2937"/>
          <w:sz w:val="21"/>
        </w:rPr>
        <w:t>Feature Store &amp; Transformation Tier</w:t>
      </w:r>
      <w:r>
        <w:rPr>
          <w:rFonts w:ascii="Arial" w:hAnsi="Arial"/>
          <w:i w:val="0"/>
          <w:color w:val="1F2937"/>
          <w:sz w:val="21"/>
        </w:rPr>
        <w:t>: Implements causal, zero-leakage temporal rolling window aggregations, baseline deficit ratios, variability indicators, and heuristic electrical anomaly signatures across 60 feature dimensions using Polars lazy evaluation expressions.</w:t>
      </w:r>
    </w:p>
    <w:p>
      <w:pPr>
        <w:spacing w:before="40" w:after="40" w:line="288" w:lineRule="auto"/>
        <w:ind w:left="432" w:hanging="288"/>
      </w:pPr>
      <w:r>
        <w:rPr>
          <w:b/>
          <w:color w:val="1E3A8A"/>
        </w:rPr>
        <w:t xml:space="preserve">3. </w:t>
      </w:r>
      <w:r>
        <w:rPr>
          <w:rFonts w:ascii="Arial" w:hAnsi="Arial"/>
          <w:b/>
          <w:i w:val="0"/>
          <w:color w:val="1F2937"/>
          <w:sz w:val="21"/>
        </w:rPr>
        <w:t>Machine Learning &amp; Cost-Sensitive Core</w:t>
      </w:r>
      <w:r>
        <w:rPr>
          <w:rFonts w:ascii="Arial" w:hAnsi="Arial"/>
          <w:i w:val="0"/>
          <w:color w:val="1F2937"/>
          <w:sz w:val="21"/>
        </w:rPr>
        <w:t>: Houses the LightGBM booster ensemble trained with the custom financially weighted loss surrogate, executing sub-millisecond scoring and posterior probability estimation.</w:t>
      </w:r>
    </w:p>
    <w:p>
      <w:pPr>
        <w:spacing w:before="40" w:after="40" w:line="288" w:lineRule="auto"/>
        <w:ind w:left="432" w:hanging="288"/>
      </w:pPr>
      <w:r>
        <w:rPr>
          <w:b/>
          <w:color w:val="1E3A8A"/>
        </w:rPr>
        <w:t xml:space="preserve">4. </w:t>
      </w:r>
      <w:r>
        <w:rPr>
          <w:rFonts w:ascii="Arial" w:hAnsi="Arial"/>
          <w:b/>
          <w:i w:val="0"/>
          <w:color w:val="1F2937"/>
          <w:sz w:val="21"/>
        </w:rPr>
        <w:t>Financial Decision &amp; Explainability Engine</w:t>
      </w:r>
      <w:r>
        <w:rPr>
          <w:rFonts w:ascii="Arial" w:hAnsi="Arial"/>
          <w:i w:val="0"/>
          <w:color w:val="1F2937"/>
          <w:sz w:val="21"/>
        </w:rPr>
        <w:t>: Derives consumer-specific unmetered revenue exposure, calculates dynamic Bayes cost thresholds ($\tau_{\text{cost}, i}$) and breakeven thresholds ($\tau_{\text{env}, i}$), evaluates Expected Net Value ($ENV_i$), queries Tree-SHAP attributions, and compiles auditable work orders.</w:t>
      </w:r>
    </w:p>
    <w:p>
      <w:pPr>
        <w:spacing w:before="40" w:after="40" w:line="288" w:lineRule="auto"/>
        <w:ind w:left="432" w:hanging="288"/>
      </w:pPr>
      <w:r>
        <w:rPr>
          <w:b/>
          <w:color w:val="1E3A8A"/>
        </w:rPr>
        <w:t xml:space="preserve">5. </w:t>
      </w:r>
      <w:r>
        <w:rPr>
          <w:rFonts w:ascii="Arial" w:hAnsi="Arial"/>
          <w:b/>
          <w:i w:val="0"/>
          <w:color w:val="1F2937"/>
          <w:sz w:val="21"/>
        </w:rPr>
        <w:t>Application Boundary &amp; Presentation Tier</w:t>
      </w:r>
      <w:r>
        <w:rPr>
          <w:rFonts w:ascii="Arial" w:hAnsi="Arial"/>
          <w:i w:val="0"/>
          <w:color w:val="1F2937"/>
          <w:sz w:val="21"/>
        </w:rPr>
        <w:t>: Exposes asynchronous REST API endpoints via FastAPI and renders interactive operational interfaces via Streamlit.</w:t>
      </w:r>
    </w:p>
    <w:p>
      <w:pPr>
        <w:pStyle w:val="Heading2"/>
      </w:pPr>
      <w:r>
        <w:t>14.2 Detailed Component Responsibilities &amp; Boundary Enforcement</w:t>
      </w:r>
    </w:p>
    <w:p>
      <w:pPr/>
      <w:r>
        <w:rPr>
          <w:rFonts w:ascii="Arial" w:hAnsi="Arial"/>
          <w:i w:val="0"/>
          <w:color w:val="1F2937"/>
          <w:sz w:val="21"/>
        </w:rPr>
        <w:t>To maintain high modularity, testability, and maintainability, strict boundaries are enforced across all subsystem components:</w:t>
      </w:r>
    </w:p>
    <w:p>
      <w:pPr>
        <w:spacing w:before="20" w:after="40" w:line="288" w:lineRule="auto"/>
        <w:ind w:left="360" w:hanging="216"/>
      </w:pPr>
      <w:r>
        <w:rPr>
          <w:b/>
          <w:color w:val="2563EB"/>
        </w:rPr>
        <w:t xml:space="preserve">• </w:t>
      </w:r>
      <w:r>
        <w:rPr>
          <w:rFonts w:ascii="Arial" w:hAnsi="Arial"/>
          <w:b/>
          <w:i w:val="0"/>
          <w:color w:val="1F2937"/>
          <w:sz w:val="21"/>
        </w:rPr>
        <w:t>API as the Sole Application Boundary</w:t>
      </w:r>
      <w:r>
        <w:rPr>
          <w:rFonts w:ascii="Arial" w:hAnsi="Arial"/>
          <w:i w:val="0"/>
          <w:color w:val="1F2937"/>
          <w:sz w:val="21"/>
        </w:rPr>
        <w:t xml:space="preserve">: Dashboard views and external client systems are strictly forbidden from directly importing machine learning boosters, feature pipelines, or database models. All inference, explanation, and fleet ranking operations must pass through the </w:t>
      </w:r>
      <w:r>
        <w:rPr>
          <w:rFonts w:ascii="Consolas" w:hAnsi="Consolas"/>
          <w:i w:val="0"/>
          <w:color w:val="B91C1C"/>
          <w:sz w:val="19"/>
        </w:rPr>
        <w:t>DashboardApiClient</w:t>
      </w:r>
      <w:r>
        <w:rPr>
          <w:rFonts w:ascii="Arial" w:hAnsi="Arial"/>
          <w:i w:val="0"/>
          <w:color w:val="1F2937"/>
          <w:sz w:val="21"/>
        </w:rPr>
        <w:t xml:space="preserve"> over authenticated HTTP/REST channels to the FastAPI backend.</w:t>
      </w:r>
    </w:p>
    <w:p>
      <w:pPr>
        <w:spacing w:before="20" w:after="40" w:line="288" w:lineRule="auto"/>
        <w:ind w:left="360" w:hanging="216"/>
      </w:pPr>
      <w:r>
        <w:rPr>
          <w:b/>
          <w:color w:val="2563EB"/>
        </w:rPr>
        <w:t xml:space="preserve">• </w:t>
      </w:r>
      <w:r>
        <w:rPr>
          <w:rFonts w:ascii="Arial" w:hAnsi="Arial"/>
          <w:b/>
          <w:i w:val="0"/>
          <w:color w:val="1F2937"/>
          <w:sz w:val="21"/>
        </w:rPr>
        <w:t>Single-Load Lifespan Resource Management</w:t>
      </w:r>
      <w:r>
        <w:rPr>
          <w:rFonts w:ascii="Arial" w:hAnsi="Arial"/>
          <w:i w:val="0"/>
          <w:color w:val="1F2937"/>
          <w:sz w:val="21"/>
        </w:rPr>
        <w:t xml:space="preserve">: Machine learning models, feature definitions, and Tree-SHAP tree-explainer structures are loaded into RAM once during the FastAPI application startup sequence via the ASGI </w:t>
      </w:r>
      <w:r>
        <w:rPr>
          <w:rFonts w:ascii="Consolas" w:hAnsi="Consolas"/>
          <w:i w:val="0"/>
          <w:color w:val="B91C1C"/>
          <w:sz w:val="19"/>
        </w:rPr>
        <w:t>lifespan</w:t>
      </w:r>
      <w:r>
        <w:rPr>
          <w:rFonts w:ascii="Arial" w:hAnsi="Arial"/>
          <w:i w:val="0"/>
          <w:color w:val="1F2937"/>
          <w:sz w:val="21"/>
        </w:rPr>
        <w:t xml:space="preserve"> handler. This eliminates per-request disk I/O, guaranteeing sub-30ms P95 latency during interactive operational audits.</w:t>
      </w:r>
    </w:p>
    <w:p>
      <w:pPr>
        <w:spacing w:before="20" w:after="40" w:line="288" w:lineRule="auto"/>
        <w:ind w:left="360" w:hanging="216"/>
      </w:pPr>
      <w:r>
        <w:rPr>
          <w:b/>
          <w:color w:val="2563EB"/>
        </w:rPr>
        <w:t xml:space="preserve">• </w:t>
      </w:r>
      <w:r>
        <w:rPr>
          <w:rFonts w:ascii="Arial" w:hAnsi="Arial"/>
          <w:b/>
          <w:i w:val="0"/>
          <w:color w:val="1F2937"/>
          <w:sz w:val="21"/>
        </w:rPr>
        <w:t>Causal Temporal Decoupling</w:t>
      </w:r>
      <w:r>
        <w:rPr>
          <w:rFonts w:ascii="Arial" w:hAnsi="Arial"/>
          <w:i w:val="0"/>
          <w:color w:val="1F2937"/>
          <w:sz w:val="21"/>
        </w:rPr>
        <w:t>: Feature generation logic operates strictly within an isolated lookback window ($T_0 \le t \le T_{\text{eval}}$). No future consumption values or fleet-wide aggregate statistics are permitted to leak into the feature space of a meter at evaluation time $T_{\text{eval}}$.</w:t>
      </w:r>
    </w:p>
    <w:p>
      <w:pPr>
        <w:pStyle w:val="Heading2"/>
      </w:pPr>
      <w:r>
        <w:t>14.3 End-to-End Data Processing Pipeline</w:t>
      </w:r>
    </w:p>
    <w:p>
      <w:pPr/>
      <w:r>
        <w:rPr>
          <w:rFonts w:ascii="Arial" w:hAnsi="Arial"/>
          <w:i w:val="0"/>
          <w:color w:val="1F2937"/>
          <w:sz w:val="21"/>
        </w:rPr>
        <w:t>The transformation of raw field telemetry into dispatched field work orders follows a rigorous six-stage pipeline:</w:t>
      </w:r>
    </w:p>
    <w:p>
      <w:pPr>
        <w:keepNext/>
        <w:spacing w:before="160" w:after="40"/>
      </w:pPr>
      <w:r>
        <w:rPr>
          <w:rFonts w:ascii="Consolas" w:hAnsi="Consolas"/>
          <w:b/>
          <w:color w:val="2563EB"/>
          <w:sz w:val="17"/>
        </w:rPr>
        <w:t>[TEXT]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w:t>
              <w:br/>
              <w:t>| Raw Daily AMI Readings  | (42,372 meters x 1,035 days; kWh)</w:t>
              <w:br/>
              <w:t>+-------------------------+</w:t>
              <w:br/>
              <w:t xml:space="preserve">             |</w:t>
              <w:br/>
              <w:t xml:space="preserve">             v [Stage 1: Validation &amp; Cleaning]</w:t>
              <w:br/>
              <w:t>+-------------------------+</w:t>
              <w:br/>
              <w:t>| Cleaned Consumption Pqt | (Non-negative bounds, run-length gap imputation)</w:t>
              <w:br/>
              <w:t>+-------------------------+</w:t>
              <w:br/>
              <w:t xml:space="preserve">             |</w:t>
              <w:br/>
              <w:t xml:space="preserve">             v [Stage 2: Causal Feature Extraction]</w:t>
              <w:br/>
              <w:t>+-------------------------+</w:t>
              <w:br/>
              <w:t>| 60-Dim Feature Vector   | (Lags, rolling stats, baseline deficits, signatures)</w:t>
              <w:br/>
              <w:t>+-------------------------+</w:t>
              <w:br/>
              <w:t xml:space="preserve">             |</w:t>
              <w:br/>
              <w:t xml:space="preserve">             v [Stage 3: Cost-Sensitive Inference]</w:t>
              <w:br/>
              <w:t>+-------------------------+</w:t>
              <w:br/>
              <w:t>| Tampering Probability   | (LightGBM booster with financially weighted log-loss)</w:t>
              <w:br/>
              <w:t>+-------------------------+</w:t>
              <w:br/>
              <w:t xml:space="preserve">             |</w:t>
              <w:br/>
              <w:t xml:space="preserve">             v [Stage 4: Economic Decisioning]</w:t>
              <w:br/>
              <w:t>+-------------------------+</w:t>
              <w:br/>
              <w:t>| Dynamic Thresholds &amp; ENV| (p_i * Recoverable_Revenue_i - C_dispatch)</w:t>
              <w:br/>
              <w:t>+-------------------------+</w:t>
              <w:br/>
              <w:t xml:space="preserve">             |</w:t>
              <w:br/>
              <w:t xml:space="preserve">             v [Stage 5: Attribution &amp; Explainability]</w:t>
              <w:br/>
              <w:t>+-------------------------+</w:t>
              <w:br/>
              <w:t>| Tree-SHAP &amp; Signatures  | (Polynomial feature attributions &amp; temporal evidence)</w:t>
              <w:br/>
              <w:t>+-------------------------+</w:t>
              <w:br/>
              <w:t xml:space="preserve">             |</w:t>
              <w:br/>
              <w:t xml:space="preserve">             v [Stage 6: Dispatch Packaging]</w:t>
              <w:br/>
              <w:t>+-------------------------+</w:t>
              <w:br/>
              <w:t>| Auditable Work Order    | (FastAPI response &amp; Streamlit field ticket)</w:t>
              <w:br/>
              <w:t>+-------------------------+</w:t>
            </w:r>
          </w:p>
        </w:tc>
      </w:tr>
    </w:tbl>
    <w:p>
      <w:pPr>
        <w:spacing w:before="0" w:after="80"/>
      </w:pPr>
    </w:p>
    <w:p>
      <w:pPr>
        <w:pStyle w:val="Heading2"/>
      </w:pPr>
      <w:r>
        <w:t>14.4 Machine Learning System Design</w:t>
      </w:r>
    </w:p>
    <w:p>
      <w:pPr/>
      <w:r>
        <w:rPr>
          <w:rFonts w:ascii="Arial" w:hAnsi="Arial"/>
          <w:i w:val="0"/>
          <w:color w:val="1F2937"/>
          <w:sz w:val="21"/>
        </w:rPr>
        <w:t>The machine learning subsystem is architected to overcome the structural failure modes of conventional anomaly detection in power utilities:</w:t>
      </w:r>
    </w:p>
    <w:p>
      <w:pPr>
        <w:spacing w:before="40" w:after="40" w:line="288" w:lineRule="auto"/>
        <w:ind w:left="432" w:hanging="288"/>
      </w:pPr>
      <w:r>
        <w:rPr>
          <w:b/>
          <w:color w:val="1E3A8A"/>
        </w:rPr>
        <w:t xml:space="preserve">1. </w:t>
      </w:r>
      <w:r>
        <w:rPr>
          <w:rFonts w:ascii="Arial" w:hAnsi="Arial"/>
          <w:b/>
          <w:i w:val="0"/>
          <w:color w:val="1F2937"/>
          <w:sz w:val="21"/>
        </w:rPr>
        <w:t>Baseline Formulation (Phase 4)</w:t>
      </w:r>
      <w:r>
        <w:rPr>
          <w:rFonts w:ascii="Arial" w:hAnsi="Arial"/>
          <w:i w:val="0"/>
          <w:color w:val="1F2937"/>
          <w:sz w:val="21"/>
        </w:rPr>
        <w:t>: Uses standard binary cross-entropy loss without class weighting. This provides an objective benchmark reflecting how conventional off-the-shelf gradient boosting performs on unmitigated utility datasets.</w:t>
      </w:r>
    </w:p>
    <w:p>
      <w:pPr>
        <w:spacing w:before="40" w:after="40" w:line="288" w:lineRule="auto"/>
        <w:ind w:left="432" w:hanging="288"/>
      </w:pPr>
      <w:r>
        <w:rPr>
          <w:b/>
          <w:color w:val="1E3A8A"/>
        </w:rPr>
        <w:t xml:space="preserve">2. </w:t>
      </w:r>
      <w:r>
        <w:rPr>
          <w:rFonts w:ascii="Arial" w:hAnsi="Arial"/>
          <w:b/>
          <w:i w:val="0"/>
          <w:color w:val="1F2937"/>
          <w:sz w:val="21"/>
        </w:rPr>
        <w:t>Class-Imbalance Mitigated Formulation (Phase 5)</w:t>
      </w:r>
      <w:r>
        <w:rPr>
          <w:rFonts w:ascii="Arial" w:hAnsi="Arial"/>
          <w:i w:val="0"/>
          <w:color w:val="1F2937"/>
          <w:sz w:val="21"/>
        </w:rPr>
        <w:t>: Evaluates random undersampling, SMOTE oversampling in feature space, and heuristic frequency-inverse scale pos weighting (</w:t>
      </w:r>
      <w:r>
        <w:rPr>
          <w:rFonts w:ascii="Consolas" w:hAnsi="Consolas"/>
          <w:i w:val="0"/>
          <w:color w:val="B91C1C"/>
          <w:sz w:val="19"/>
        </w:rPr>
        <w:t>scale_pos_weight = N_neg / N_pos</w:t>
      </w:r>
      <w:r>
        <w:rPr>
          <w:rFonts w:ascii="Arial" w:hAnsi="Arial"/>
          <w:i w:val="0"/>
          <w:color w:val="1F2937"/>
          <w:sz w:val="21"/>
        </w:rPr>
        <w:t>). While this boosts minority class recall, it treats all tampering events identically regardless of customer size.</w:t>
      </w:r>
    </w:p>
    <w:p>
      <w:pPr>
        <w:spacing w:before="40" w:after="40" w:line="288" w:lineRule="auto"/>
        <w:ind w:left="432" w:hanging="288"/>
      </w:pPr>
      <w:r>
        <w:rPr>
          <w:b/>
          <w:color w:val="1E3A8A"/>
        </w:rPr>
        <w:t xml:space="preserve">3. </w:t>
      </w:r>
      <w:r>
        <w:rPr>
          <w:rFonts w:ascii="Arial" w:hAnsi="Arial"/>
          <w:b/>
          <w:i w:val="0"/>
          <w:color w:val="1F2937"/>
          <w:sz w:val="21"/>
        </w:rPr>
        <w:t>Financially Weighted Learning Formulation (Phase 6)</w:t>
      </w:r>
      <w:r>
        <w:rPr>
          <w:rFonts w:ascii="Arial" w:hAnsi="Arial"/>
          <w:i w:val="0"/>
          <w:color w:val="1F2937"/>
          <w:sz w:val="21"/>
        </w:rPr>
        <w:t>: Replaces symmetric loss with a custom second-order differentiable surrogate objective function where each training instance is weighted by its true operational error consequence: $w_i = C_{\text{FN}, i}$ for positive tampering instances and $w_i = C_{\text{FP}} = \$100$ for negative honest instances.</w:t>
      </w:r>
    </w:p>
    <w:p>
      <w:pPr>
        <w:pStyle w:val="Heading2"/>
      </w:pPr>
      <w:r>
        <w:t>14.5 Economic Decision Engine Design</w:t>
      </w:r>
    </w:p>
    <w:p>
      <w:pPr/>
      <w:r>
        <w:rPr>
          <w:rFonts w:ascii="Arial" w:hAnsi="Arial"/>
          <w:i w:val="0"/>
          <w:color w:val="1F2937"/>
          <w:sz w:val="21"/>
        </w:rPr>
        <w:t>The decision subsystem replaces arbitrary static probability thresholds ($\tau = 0.50$) with customer-specific economic optimization:</w:t>
      </w:r>
    </w:p>
    <w:p>
      <w:pPr>
        <w:spacing w:before="20" w:after="40" w:line="288" w:lineRule="auto"/>
        <w:ind w:left="360" w:hanging="216"/>
      </w:pPr>
      <w:r>
        <w:rPr>
          <w:b/>
          <w:color w:val="2563EB"/>
        </w:rPr>
        <w:t xml:space="preserve">• </w:t>
      </w:r>
      <w:r>
        <w:rPr>
          <w:rFonts w:ascii="Arial" w:hAnsi="Arial"/>
          <w:b/>
          <w:i w:val="0"/>
          <w:color w:val="1F2937"/>
          <w:sz w:val="21"/>
        </w:rPr>
        <w:t>Dynamic Cost Threshold ($\tau_{\text{cost}, i}$)</w:t>
      </w:r>
      <w:r>
        <w:rPr>
          <w:rFonts w:ascii="Arial" w:hAnsi="Arial"/>
          <w:i w:val="0"/>
          <w:color w:val="1F2937"/>
          <w:sz w:val="21"/>
        </w:rPr>
        <w:t>: Derived from Bayesian minimum expected risk:</w:t>
      </w:r>
    </w:p>
    <w:p>
      <w:pPr>
        <w:spacing w:before="160" w:after="160"/>
        <w:jc w:val="center"/>
      </w:pPr>
      <w:r>
        <w:rPr>
          <w:rFonts w:ascii="Cambria Math" w:hAnsi="Cambria Math"/>
          <w:i/>
          <w:color w:val="1E3A8A"/>
          <w:sz w:val="22"/>
        </w:rPr>
        <w:t>\tau_{\text{cost}, i} = \frac{C_{\text{FP}}}{C_{\text{FP}} + C_{\text{FN}, i}} = \frac{C_{\text{dispatch}}}{C_{\text{dispatch}} + C_{\text{FN}, i}}</w:t>
      </w:r>
    </w:p>
    <w:p>
      <w:pPr>
        <w:spacing w:before="20" w:after="40" w:line="288" w:lineRule="auto"/>
        <w:ind w:left="360" w:hanging="216"/>
      </w:pPr>
      <w:r>
        <w:rPr>
          <w:b/>
          <w:color w:val="2563EB"/>
        </w:rPr>
        <w:t xml:space="preserve">• </w:t>
      </w:r>
      <w:r>
        <w:rPr>
          <w:rFonts w:ascii="Arial" w:hAnsi="Arial"/>
          <w:b/>
          <w:i w:val="0"/>
          <w:color w:val="1F2937"/>
          <w:sz w:val="21"/>
        </w:rPr>
        <w:t>Breakeven ENV Threshold ($\tau_{\text{env}, i}$)</w:t>
      </w:r>
      <w:r>
        <w:rPr>
          <w:rFonts w:ascii="Arial" w:hAnsi="Arial"/>
          <w:i w:val="0"/>
          <w:color w:val="1F2937"/>
          <w:sz w:val="21"/>
        </w:rPr>
        <w:t>: Derived from the condition $ENV_i \ge 0$:</w:t>
      </w:r>
    </w:p>
    <w:p>
      <w:pPr>
        <w:spacing w:before="160" w:after="160"/>
        <w:jc w:val="center"/>
      </w:pPr>
      <w:r>
        <w:rPr>
          <w:rFonts w:ascii="Cambria Math" w:hAnsi="Cambria Math"/>
          <w:i/>
          <w:color w:val="1E3A8A"/>
          <w:sz w:val="22"/>
        </w:rPr>
        <w:t>\tau_{\text{env}, i} = \frac{C_{\text{dispatch}}}{\text{Estimated Recoverable Revenue}_i}</w:t>
      </w:r>
    </w:p>
    <w:p>
      <w:pPr>
        <w:spacing w:before="20" w:after="40" w:line="288" w:lineRule="auto"/>
        <w:ind w:left="360" w:hanging="216"/>
      </w:pPr>
      <w:r>
        <w:rPr>
          <w:b/>
          <w:color w:val="2563EB"/>
        </w:rPr>
        <w:t xml:space="preserve">• </w:t>
      </w:r>
      <w:r>
        <w:rPr>
          <w:rFonts w:ascii="Arial" w:hAnsi="Arial"/>
          <w:b/>
          <w:i w:val="0"/>
          <w:color w:val="1F2937"/>
          <w:sz w:val="21"/>
        </w:rPr>
        <w:t>Priority Queue Formulation</w:t>
      </w:r>
      <w:r>
        <w:rPr>
          <w:rFonts w:ascii="Arial" w:hAnsi="Arial"/>
          <w:i w:val="0"/>
          <w:color w:val="1F2937"/>
          <w:sz w:val="21"/>
        </w:rPr>
        <w:t>: Rather than ranking candidate meters by posterior probability $p_i$, the fleet scheduler ranks meters in strictly descending order of Expected Net Value ($ENV_i$). If crew resources are capped at $K$ inspections per operational cycle, the engine selects the top-$K$ meters that satisfy $ENV_i &gt; 0$, maximizing total fleet net recovery while guaranteeing zero negative-yield dispatches.</w:t>
      </w:r>
    </w:p>
    <w:p>
      <w:pPr>
        <w:pStyle w:val="Heading2"/>
      </w:pPr>
      <w:r>
        <w:t>14.6 Explainability Engine Design</w:t>
      </w:r>
    </w:p>
    <w:p>
      <w:pPr/>
      <w:r>
        <w:rPr>
          <w:rFonts w:ascii="Arial" w:hAnsi="Arial"/>
          <w:i w:val="0"/>
          <w:color w:val="1F2937"/>
          <w:sz w:val="21"/>
        </w:rPr>
        <w:t>The explainability engine is designed to satisfy the strict evidentiary requirements of regulatory bodies and utility field technicians:</w:t>
      </w:r>
    </w:p>
    <w:p>
      <w:pPr>
        <w:spacing w:before="20" w:after="40" w:line="288" w:lineRule="auto"/>
        <w:ind w:left="360" w:hanging="216"/>
      </w:pPr>
      <w:r>
        <w:rPr>
          <w:b/>
          <w:color w:val="2563EB"/>
        </w:rPr>
        <w:t xml:space="preserve">• </w:t>
      </w:r>
      <w:r>
        <w:rPr>
          <w:rFonts w:ascii="Arial" w:hAnsi="Arial"/>
          <w:b/>
          <w:i w:val="0"/>
          <w:color w:val="1F2937"/>
          <w:sz w:val="21"/>
        </w:rPr>
        <w:t>Tree-SHAP Formulation</w:t>
      </w:r>
      <w:r>
        <w:rPr>
          <w:rFonts w:ascii="Arial" w:hAnsi="Arial"/>
          <w:i w:val="0"/>
          <w:color w:val="1F2937"/>
          <w:sz w:val="21"/>
        </w:rPr>
        <w:t>: Implements Lundberg's polynomial-time tree feature attribution algorithm, computing exact Shapley values $\phi_i(f, x)$ in $\mathcal{O}(T L D^2)$ time, where $T$ is the number of trees, $L$ is maximum leaves, and $D$ is maximum tree depth.</w:t>
      </w:r>
    </w:p>
    <w:p>
      <w:pPr>
        <w:spacing w:before="20" w:after="40" w:line="288" w:lineRule="auto"/>
        <w:ind w:left="360" w:hanging="216"/>
      </w:pPr>
      <w:r>
        <w:rPr>
          <w:b/>
          <w:color w:val="2563EB"/>
        </w:rPr>
        <w:t xml:space="preserve">• </w:t>
      </w:r>
      <w:r>
        <w:rPr>
          <w:rFonts w:ascii="Arial" w:hAnsi="Arial"/>
          <w:b/>
          <w:i w:val="0"/>
          <w:color w:val="1F2937"/>
          <w:sz w:val="21"/>
        </w:rPr>
        <w:t>Temporal Attribution Mapping</w:t>
      </w:r>
      <w:r>
        <w:rPr>
          <w:rFonts w:ascii="Arial" w:hAnsi="Arial"/>
          <w:i w:val="0"/>
          <w:color w:val="1F2937"/>
          <w:sz w:val="21"/>
        </w:rPr>
        <w:t xml:space="preserve">: Connects global mathematical feature importances back to physical operational phenomena (e.g., mapping a spike in </w:t>
      </w:r>
      <w:r>
        <w:rPr>
          <w:rFonts w:ascii="Consolas" w:hAnsi="Consolas"/>
          <w:i w:val="0"/>
          <w:color w:val="B91C1C"/>
          <w:sz w:val="19"/>
        </w:rPr>
        <w:t>rolling_std_30d</w:t>
      </w:r>
      <w:r>
        <w:rPr>
          <w:rFonts w:ascii="Arial" w:hAnsi="Arial"/>
          <w:i w:val="0"/>
          <w:color w:val="1F2937"/>
          <w:sz w:val="21"/>
        </w:rPr>
        <w:t xml:space="preserve"> or a collapse in </w:t>
      </w:r>
      <w:r>
        <w:rPr>
          <w:rFonts w:ascii="Consolas" w:hAnsi="Consolas"/>
          <w:i w:val="0"/>
          <w:color w:val="B91C1C"/>
          <w:sz w:val="19"/>
        </w:rPr>
        <w:t>baseline_ratio_30d</w:t>
      </w:r>
      <w:r>
        <w:rPr>
          <w:rFonts w:ascii="Arial" w:hAnsi="Arial"/>
          <w:i w:val="0"/>
          <w:color w:val="1F2937"/>
          <w:sz w:val="21"/>
        </w:rPr>
        <w:t xml:space="preserve"> to specific calendar weeks).</w:t>
      </w:r>
    </w:p>
    <w:p>
      <w:pPr>
        <w:spacing w:before="20" w:after="40" w:line="288" w:lineRule="auto"/>
        <w:ind w:left="360" w:hanging="216"/>
      </w:pPr>
      <w:r>
        <w:rPr>
          <w:b/>
          <w:color w:val="2563EB"/>
        </w:rPr>
        <w:t xml:space="preserve">• </w:t>
      </w:r>
      <w:r>
        <w:rPr>
          <w:rFonts w:ascii="Arial" w:hAnsi="Arial"/>
          <w:b/>
          <w:i w:val="0"/>
          <w:color w:val="1F2937"/>
          <w:sz w:val="21"/>
        </w:rPr>
        <w:t>Automated Signature Categorization</w:t>
      </w:r>
      <w:r>
        <w:rPr>
          <w:rFonts w:ascii="Arial" w:hAnsi="Arial"/>
          <w:i w:val="0"/>
          <w:color w:val="1F2937"/>
          <w:sz w:val="21"/>
        </w:rPr>
        <w:t>: Matches the top SHAP features against four predefined utility tampering archetypes:</w:t>
      </w:r>
    </w:p>
    <w:p>
      <w:pPr>
        <w:spacing w:before="40" w:after="40" w:line="288" w:lineRule="auto"/>
        <w:ind w:left="432" w:hanging="288"/>
      </w:pPr>
      <w:r>
        <w:rPr>
          <w:b/>
          <w:color w:val="1E3A8A"/>
        </w:rPr>
        <w:t xml:space="preserve">1. </w:t>
      </w:r>
      <w:r>
        <w:rPr>
          <w:rFonts w:ascii="Arial" w:hAnsi="Arial"/>
          <w:i/>
          <w:color w:val="1F2937"/>
          <w:sz w:val="21"/>
        </w:rPr>
        <w:t>Sustained Consumption Reduction</w:t>
      </w:r>
      <w:r>
        <w:rPr>
          <w:rFonts w:ascii="Arial" w:hAnsi="Arial"/>
          <w:i w:val="0"/>
          <w:color w:val="1F2937"/>
          <w:sz w:val="21"/>
        </w:rPr>
        <w:t>: Sudden downward level shift following historical regular consumption.</w:t>
      </w:r>
    </w:p>
    <w:p>
      <w:pPr>
        <w:spacing w:before="40" w:after="40" w:line="288" w:lineRule="auto"/>
        <w:ind w:left="432" w:hanging="288"/>
      </w:pPr>
      <w:r>
        <w:rPr>
          <w:b/>
          <w:color w:val="1E3A8A"/>
        </w:rPr>
        <w:t xml:space="preserve">2. </w:t>
      </w:r>
      <w:r>
        <w:rPr>
          <w:rFonts w:ascii="Arial" w:hAnsi="Arial"/>
          <w:i/>
          <w:color w:val="1F2937"/>
          <w:sz w:val="21"/>
        </w:rPr>
        <w:t>Flatline Pattern</w:t>
      </w:r>
      <w:r>
        <w:rPr>
          <w:rFonts w:ascii="Arial" w:hAnsi="Arial"/>
          <w:i w:val="0"/>
          <w:color w:val="1F2937"/>
          <w:sz w:val="21"/>
        </w:rPr>
        <w:t>: Artificial invariant low-level consumption indicating mechanical meter shunting or dial stalling.</w:t>
      </w:r>
    </w:p>
    <w:p>
      <w:pPr>
        <w:spacing w:before="40" w:after="40" w:line="288" w:lineRule="auto"/>
        <w:ind w:left="432" w:hanging="288"/>
      </w:pPr>
      <w:r>
        <w:rPr>
          <w:b/>
          <w:color w:val="1E3A8A"/>
        </w:rPr>
        <w:t xml:space="preserve">3. </w:t>
      </w:r>
      <w:r>
        <w:rPr>
          <w:rFonts w:ascii="Arial" w:hAnsi="Arial"/>
          <w:i/>
          <w:color w:val="1F2937"/>
          <w:sz w:val="21"/>
        </w:rPr>
        <w:t>Extended Zero-Usage Streak</w:t>
      </w:r>
      <w:r>
        <w:rPr>
          <w:rFonts w:ascii="Arial" w:hAnsi="Arial"/>
          <w:i w:val="0"/>
          <w:color w:val="1F2937"/>
          <w:sz w:val="21"/>
        </w:rPr>
        <w:t>: Zero kWh recorded consecutively while meter remains registered as active residential service.</w:t>
      </w:r>
    </w:p>
    <w:p>
      <w:pPr>
        <w:spacing w:before="40" w:after="40" w:line="288" w:lineRule="auto"/>
        <w:ind w:left="432" w:hanging="288"/>
      </w:pPr>
      <w:r>
        <w:rPr>
          <w:b/>
          <w:color w:val="1E3A8A"/>
        </w:rPr>
        <w:t xml:space="preserve">4. </w:t>
      </w:r>
      <w:r>
        <w:rPr>
          <w:rFonts w:ascii="Arial" w:hAnsi="Arial"/>
          <w:i/>
          <w:color w:val="1F2937"/>
          <w:sz w:val="21"/>
        </w:rPr>
        <w:t>Peer / Baseline Divergence</w:t>
      </w:r>
      <w:r>
        <w:rPr>
          <w:rFonts w:ascii="Arial" w:hAnsi="Arial"/>
          <w:i w:val="0"/>
          <w:color w:val="1F2937"/>
          <w:sz w:val="21"/>
        </w:rPr>
        <w:t>: Disproportionate deviation from historical baseline during seasonal peak demand periods.</w:t>
      </w:r>
    </w:p>
    <w:p>
      <w:pPr>
        <w:pStyle w:val="Heading2"/>
      </w:pPr>
      <w:r>
        <w:t>14.7 REST API Service Design</w:t>
      </w:r>
    </w:p>
    <w:p>
      <w:pPr/>
      <w:r>
        <w:rPr>
          <w:rFonts w:ascii="Arial" w:hAnsi="Arial"/>
          <w:i w:val="0"/>
          <w:color w:val="1F2937"/>
          <w:sz w:val="21"/>
        </w:rPr>
        <w:t>The backend is structured around FastAPI with an asynchronous event-driven lifecycle:</w:t>
      </w:r>
    </w:p>
    <w:p>
      <w:pPr>
        <w:spacing w:before="20" w:after="40" w:line="288" w:lineRule="auto"/>
        <w:ind w:left="360" w:hanging="216"/>
      </w:pPr>
      <w:r>
        <w:rPr>
          <w:b/>
          <w:color w:val="2563EB"/>
        </w:rPr>
        <w:t xml:space="preserve">• </w:t>
      </w:r>
      <w:r>
        <w:rPr>
          <w:rFonts w:ascii="Arial" w:hAnsi="Arial"/>
          <w:b/>
          <w:i w:val="0"/>
          <w:color w:val="1F2937"/>
          <w:sz w:val="21"/>
        </w:rPr>
        <w:t>Pydantic Data Contracts</w:t>
      </w:r>
      <w:r>
        <w:rPr>
          <w:rFonts w:ascii="Arial" w:hAnsi="Arial"/>
          <w:i w:val="0"/>
          <w:color w:val="1F2937"/>
          <w:sz w:val="21"/>
        </w:rPr>
        <w:t>: Every incoming payload (</w:t>
      </w:r>
      <w:r>
        <w:rPr>
          <w:rFonts w:ascii="Consolas" w:hAnsi="Consolas"/>
          <w:i w:val="0"/>
          <w:color w:val="B91C1C"/>
          <w:sz w:val="19"/>
        </w:rPr>
        <w:t>MeterPredictionRequest</w:t>
      </w:r>
      <w:r>
        <w:rPr>
          <w:rFonts w:ascii="Arial" w:hAnsi="Arial"/>
          <w:i w:val="0"/>
          <w:color w:val="1F2937"/>
          <w:sz w:val="21"/>
        </w:rPr>
        <w:t xml:space="preserve">, </w:t>
      </w:r>
      <w:r>
        <w:rPr>
          <w:rFonts w:ascii="Consolas" w:hAnsi="Consolas"/>
          <w:i w:val="0"/>
          <w:color w:val="B91C1C"/>
          <w:sz w:val="19"/>
        </w:rPr>
        <w:t>FleetRankingRequest</w:t>
      </w:r>
      <w:r>
        <w:rPr>
          <w:rFonts w:ascii="Arial" w:hAnsi="Arial"/>
          <w:i w:val="0"/>
          <w:color w:val="1F2937"/>
          <w:sz w:val="21"/>
        </w:rPr>
        <w:t>) is strictly validated at runtime for field presence, data types, and numerical boundaries.</w:t>
      </w:r>
    </w:p>
    <w:p>
      <w:pPr>
        <w:spacing w:before="20" w:after="40" w:line="288" w:lineRule="auto"/>
        <w:ind w:left="360" w:hanging="216"/>
      </w:pPr>
      <w:r>
        <w:rPr>
          <w:b/>
          <w:color w:val="2563EB"/>
        </w:rPr>
        <w:t xml:space="preserve">• </w:t>
      </w:r>
      <w:r>
        <w:rPr>
          <w:rFonts w:ascii="Arial" w:hAnsi="Arial"/>
          <w:b/>
          <w:i w:val="0"/>
          <w:color w:val="1F2937"/>
          <w:sz w:val="21"/>
        </w:rPr>
        <w:t>Stateless Endpoint Execution</w:t>
      </w:r>
      <w:r>
        <w:rPr>
          <w:rFonts w:ascii="Arial" w:hAnsi="Arial"/>
          <w:i w:val="0"/>
          <w:color w:val="1F2937"/>
          <w:sz w:val="21"/>
        </w:rPr>
        <w:t>: Inference logic is stateless; endpoints execute prediction and attribution tasks by passing memory pointers to the preloaded booster and explainer.</w:t>
      </w:r>
    </w:p>
    <w:p>
      <w:pPr>
        <w:spacing w:before="20" w:after="40" w:line="288" w:lineRule="auto"/>
        <w:ind w:left="360" w:hanging="216"/>
      </w:pPr>
      <w:r>
        <w:rPr>
          <w:b/>
          <w:color w:val="2563EB"/>
        </w:rPr>
        <w:t xml:space="preserve">• </w:t>
      </w:r>
      <w:r>
        <w:rPr>
          <w:rFonts w:ascii="Arial" w:hAnsi="Arial"/>
          <w:b/>
          <w:i w:val="0"/>
          <w:color w:val="1F2937"/>
          <w:sz w:val="21"/>
        </w:rPr>
        <w:t>Granular Exception Architecture</w:t>
      </w:r>
      <w:r>
        <w:rPr>
          <w:rFonts w:ascii="Arial" w:hAnsi="Arial"/>
          <w:i w:val="0"/>
          <w:color w:val="1F2937"/>
          <w:sz w:val="21"/>
        </w:rPr>
        <w:t>: Comprehensive HTTP status code mapping (400 for malformed payloads, 404 for unknown meter IDs, 422 for schema violations, 500 for internal inference errors).</w:t>
      </w:r>
    </w:p>
    <w:p>
      <w:pPr>
        <w:pStyle w:val="Heading2"/>
      </w:pPr>
      <w:r>
        <w:t>14.8 Interactive Dashboard UI Design</w:t>
      </w:r>
    </w:p>
    <w:p>
      <w:pPr/>
      <w:r>
        <w:rPr>
          <w:rFonts w:ascii="Arial" w:hAnsi="Arial"/>
          <w:i w:val="0"/>
          <w:color w:val="1F2937"/>
          <w:sz w:val="21"/>
        </w:rPr>
        <w:t>The frontend presentation tier is implemented in Streamlit using a modular view architecture:</w:t>
      </w:r>
    </w:p>
    <w:p>
      <w:pPr>
        <w:spacing w:before="20" w:after="40" w:line="288" w:lineRule="auto"/>
        <w:ind w:left="360" w:hanging="216"/>
      </w:pPr>
      <w:r>
        <w:rPr>
          <w:b/>
          <w:color w:val="2563EB"/>
        </w:rPr>
        <w:t xml:space="preserve">• </w:t>
      </w:r>
      <w:r>
        <w:rPr>
          <w:rFonts w:ascii="Arial" w:hAnsi="Arial"/>
          <w:b/>
          <w:i w:val="0"/>
          <w:color w:val="1F2937"/>
          <w:sz w:val="21"/>
        </w:rPr>
        <w:t>Reactive API Client (`DashboardApiClient`)</w:t>
      </w:r>
      <w:r>
        <w:rPr>
          <w:rFonts w:ascii="Arial" w:hAnsi="Arial"/>
          <w:i w:val="0"/>
          <w:color w:val="1F2937"/>
          <w:sz w:val="21"/>
        </w:rPr>
        <w:t>: Manages HTTP connection pooling, retry logic, timeout handling, and JSON serialization.</w:t>
      </w:r>
    </w:p>
    <w:p>
      <w:pPr>
        <w:spacing w:before="20" w:after="40" w:line="288" w:lineRule="auto"/>
        <w:ind w:left="360" w:hanging="216"/>
      </w:pPr>
      <w:r>
        <w:rPr>
          <w:b/>
          <w:color w:val="2563EB"/>
        </w:rPr>
        <w:t xml:space="preserve">• </w:t>
      </w:r>
      <w:r>
        <w:rPr>
          <w:rFonts w:ascii="Arial" w:hAnsi="Arial"/>
          <w:b/>
          <w:i w:val="0"/>
          <w:color w:val="1F2937"/>
          <w:sz w:val="21"/>
        </w:rPr>
        <w:t>Session State Management</w:t>
      </w:r>
      <w:r>
        <w:rPr>
          <w:rFonts w:ascii="Arial" w:hAnsi="Arial"/>
          <w:i w:val="0"/>
          <w:color w:val="1F2937"/>
          <w:sz w:val="21"/>
        </w:rPr>
        <w:t>: Persists active fleet queues, selected meter IDs, filter configurations, and synthetic demo states across user rerenders.</w:t>
      </w:r>
    </w:p>
    <w:p>
      <w:pPr>
        <w:spacing w:before="20" w:after="40" w:line="288" w:lineRule="auto"/>
        <w:ind w:left="360" w:hanging="216"/>
      </w:pPr>
      <w:r>
        <w:rPr>
          <w:b/>
          <w:color w:val="2563EB"/>
        </w:rPr>
        <w:t xml:space="preserve">• </w:t>
      </w:r>
      <w:r>
        <w:rPr>
          <w:rFonts w:ascii="Arial" w:hAnsi="Arial"/>
          <w:b/>
          <w:i w:val="0"/>
          <w:color w:val="1F2937"/>
          <w:sz w:val="21"/>
        </w:rPr>
        <w:t>Visual Analytics</w:t>
      </w:r>
      <w:r>
        <w:rPr>
          <w:rFonts w:ascii="Arial" w:hAnsi="Arial"/>
          <w:i w:val="0"/>
          <w:color w:val="1F2937"/>
          <w:sz w:val="21"/>
        </w:rPr>
        <w:t>: Embeds interactive Plotly consumption time-series charts, SHAP waterfall plots, fleet ENV distribution histograms, and downloadable PDF/CSV inspection work orders.</w:t>
      </w:r>
    </w:p>
    <w:p>
      <w:pPr>
        <w:spacing w:before="80" w:after="160"/>
      </w:pPr>
      <w:r>
        <w:rPr>
          <w:color w:val="E5E7EB"/>
          <w:sz w:val="16"/>
        </w:rPr>
        <w:t>_________________________________________________________________________________</w:t>
      </w:r>
    </w:p>
    <w:p>
      <w:r>
        <w:br w:type="page"/>
      </w:r>
    </w:p>
    <w:p>
      <w:pPr>
        <w:pStyle w:val="Heading1"/>
      </w:pPr>
      <w:r>
        <w:t>15. MODULE DIVISION</w:t>
      </w:r>
    </w:p>
    <w:p>
      <w:pPr>
        <w:pStyle w:val="Heading2"/>
      </w:pPr>
      <w:r>
        <w:t>15.1 Architectural Hierarchy and Package Organization</w:t>
      </w:r>
    </w:p>
    <w:p>
      <w:pPr/>
      <w:r>
        <w:rPr>
          <w:rFonts w:ascii="Arial" w:hAnsi="Arial"/>
          <w:i w:val="0"/>
          <w:color w:val="1F2937"/>
          <w:sz w:val="21"/>
        </w:rPr>
        <w:t>Grid-Guard is organized into a clean, modular Python package structure adhering to modern software engineering standards:</w:t>
      </w:r>
    </w:p>
    <w:p>
      <w:pPr>
        <w:keepNext/>
        <w:spacing w:before="160" w:after="40"/>
      </w:pPr>
      <w:r>
        <w:rPr>
          <w:rFonts w:ascii="Consolas" w:hAnsi="Consolas"/>
          <w:b/>
          <w:color w:val="2563EB"/>
          <w:sz w:val="17"/>
        </w:rPr>
        <w:t>[TEXT]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grid-guard/</w:t>
              <w:br/>
              <w:t>|-- src/</w:t>
              <w:br/>
              <w:t>|   `-- grid_guard/</w:t>
              <w:br/>
              <w:t>|       |-- __init__.py</w:t>
              <w:br/>
              <w:t>|       |-- core/</w:t>
              <w:br/>
              <w:t>|       |   |-- config.py              # Central Pydantic settings &amp; environment configuration</w:t>
              <w:br/>
              <w:t>|       |   |-- logging.py             # Structured logging and audit telemetry</w:t>
              <w:br/>
              <w:t>|       |   `-- exceptions.py          # Domain-specific exception hierarchy</w:t>
              <w:br/>
              <w:t>|       |-- data/</w:t>
              <w:br/>
              <w:t>|       |   |-- loader.py              # Raw AMI ingestion, parsing, and chunking</w:t>
              <w:br/>
              <w:t>|       |   |-- cleaner.py             # Schema validation, clipping, gap interpolation</w:t>
              <w:br/>
              <w:t>|       |   `-- eda.py                 # Automated data quality profiling &amp; summary statistics</w:t>
              <w:br/>
              <w:t>|       |-- features/</w:t>
              <w:br/>
              <w:t>|       |   |-- pipeline.py            # Polars lazy temporal feature engineering engine</w:t>
              <w:br/>
              <w:t>|       |   `-- registry.py            # Feature metadata, family tags, and docstrings</w:t>
              <w:br/>
              <w:t>|       |-- models/</w:t>
              <w:br/>
              <w:t>|       |   |-- baseline.py            # Unweighted LightGBM baseline model</w:t>
              <w:br/>
              <w:t>|       |   |-- imbalance.py           # Oversampling, undersampling, scale_pos_weight logic</w:t>
              <w:br/>
              <w:t>|       |   |-- cost_sensitive.py      # Custom financially weighted surrogate booster</w:t>
              <w:br/>
              <w:t>|       |   `-- evaluation.py          # PR-AUC, ROC-AUC, Precision@K, Cost matrix metrics</w:t>
              <w:br/>
              <w:t>|       |-- financial/</w:t>
              <w:br/>
              <w:t>|       |   |-- tariff.py              # Dynamic &amp; tiered electricity tariff structures</w:t>
              <w:br/>
              <w:t>|       |   `-- engine.py              # Financial exposure, leakage, and recovery estimation</w:t>
              <w:br/>
              <w:t>|       |-- decision/</w:t>
              <w:br/>
              <w:t>|       |   |-- threshold_engine.py    # Dynamic Bayes cost &amp; breakeven threshold calculators</w:t>
              <w:br/>
              <w:t>|       |   `-- inspection_planner.py  # Prioritized queue, capacity filtering, ticket generator</w:t>
              <w:br/>
              <w:t>|       |-- explainability/</w:t>
              <w:br/>
              <w:t>|       |   |-- shap_engine.py         # Tree-SHAP wrapper &amp; background sample management</w:t>
              <w:br/>
              <w:t>|       |   `-- signatures.py          # Tampering pattern rules &amp; narrative generator</w:t>
              <w:br/>
              <w:t>|       |-- api/</w:t>
              <w:br/>
              <w:t>|       |   |-- main.py                # FastAPI application initialization &amp; lifespan</w:t>
              <w:br/>
              <w:t>|       |   |-- schemas.py             # Pydantic request/response data contracts</w:t>
              <w:br/>
              <w:t>|       |   `-- routes/</w:t>
              <w:br/>
              <w:t>|       |       |-- health.py          # Liveness and model readiness probes</w:t>
              <w:br/>
              <w:t>|       |       |-- predict.py         # Single-meter risk &amp; financial prediction endpoints</w:t>
              <w:br/>
              <w:t>|       |       |-- fleet.py           # Batch fleet prioritization &amp; work-order endpoints</w:t>
              <w:br/>
              <w:t>|       |       `-- explain.py         # SHAP attribution &amp; signature narrative endpoints</w:t>
              <w:br/>
              <w:t>|       `-- dashboard/</w:t>
              <w:br/>
              <w:t>|           |-- app.py                 # Streamlit entry point, navigation &amp; layout</w:t>
              <w:br/>
              <w:t>|           |-- api_client.py          # HTTP client communicating with FastAPI backend</w:t>
              <w:br/>
              <w:t>|           `-- views/</w:t>
              <w:br/>
              <w:t>|               |-- fleet_view.py      # Fleet overview, KPI cards &amp; dispatch queue table</w:t>
              <w:br/>
              <w:t>|               |-- meter_view.py      # Detailed meter drilldown, time-series, SHAP plot</w:t>
              <w:br/>
              <w:t>|               `-- demo_view.py       # Interactive synthetic tampering archetype simulator</w:t>
              <w:br/>
              <w:t>|-- tests/                             # Complete pytest suite (162 tests)</w:t>
              <w:br/>
              <w:t>|-- scripts/                           # Execution runners (run_api.py, run_dashboard.py)</w:t>
              <w:br/>
              <w:t>|-- Dockerfile.api                     # Production container for FastAPI backend</w:t>
              <w:br/>
              <w:t>|-- Dockerfile.dashboard               # Production container for Streamlit UI</w:t>
              <w:br/>
              <w:t>`-- docker-compose.yml                 # Multi-container orchestration definition</w:t>
            </w:r>
          </w:p>
        </w:tc>
      </w:tr>
    </w:tbl>
    <w:p>
      <w:pPr>
        <w:spacing w:before="0" w:after="80"/>
      </w:pPr>
    </w:p>
    <w:p>
      <w:pPr>
        <w:pStyle w:val="Heading2"/>
      </w:pPr>
      <w:r>
        <w:t>15.2 Module Catalog</w:t>
      </w:r>
    </w:p>
    <w:p>
      <w:pPr/>
      <w:r>
        <w:rPr>
          <w:rFonts w:ascii="Arial" w:hAnsi="Arial"/>
          <w:i w:val="0"/>
          <w:color w:val="1F2937"/>
          <w:sz w:val="21"/>
        </w:rPr>
        <w:t>The table below specifies each module's core functional scope, key classes, interfaces, and file system location: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Module Identifier</w:t>
            </w:r>
          </w:p>
        </w:tc>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Physical Path</w:t>
            </w:r>
          </w:p>
        </w:tc>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Primary Classes / Functions</w:t>
            </w:r>
          </w:p>
        </w:tc>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Primary Inputs</w:t>
            </w:r>
          </w:p>
        </w:tc>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Primary Outputs</w:t>
            </w:r>
          </w:p>
        </w:tc>
        <w:tc>
          <w:tcPr>
            <w:tcW w:type="dxa" w:w="1560"/>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Key Invariants / Error Handling</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Config &amp; Core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src/grid_guard/core/config.py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Settings</w:t>
            </w:r>
            <w:r>
              <w:rPr>
                <w:rFonts w:ascii="Arial" w:hAnsi="Arial"/>
                <w:i w:val="0"/>
                <w:color w:val="1F2937"/>
                <w:sz w:val="17"/>
              </w:rPr>
              <w:t xml:space="preserve">, </w:t>
            </w:r>
            <w:r>
              <w:rPr>
                <w:rFonts w:ascii="Consolas" w:hAnsi="Consolas"/>
                <w:i w:val="0"/>
                <w:color w:val="B91C1C"/>
                <w:sz w:val="15"/>
              </w:rPr>
              <w:t>get_settings()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Environment variables, </w:t>
            </w:r>
            <w:r>
              <w:rPr>
                <w:rFonts w:ascii="Consolas" w:hAnsi="Consolas"/>
                <w:i w:val="0"/>
                <w:color w:val="B91C1C"/>
                <w:sz w:val="15"/>
              </w:rPr>
              <w:t>.env</w:t>
            </w:r>
            <w:r>
              <w:rPr>
                <w:rFonts w:ascii="Arial" w:hAnsi="Arial"/>
                <w:i w:val="0"/>
                <w:color w:val="1F2937"/>
                <w:sz w:val="17"/>
              </w:rPr>
              <w:t xml:space="preserve"> file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Immutable configuration instance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Enforces positive tariff rates and valid file paths.</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Data Loader</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src/grid_guard/data/loader.py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AMIDataLoader.load_raw_data()</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Raw CSV/Parquet path</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Polars DataFrame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Validates presence of meter ID and daily date columns.</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Data Cleaner</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src/grid_guard/data/cleaner.py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AMIDataCleaner.clean_consumption()</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Polars DataFrame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Cleaned DataFrame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Imputes runs $\le 7$ days; rejects non-positive meter series.</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EDA Profiler</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src/grid_guard/data/eda.py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DataQualityProfiler.profile()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Cleaned DataFrame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JSON/Dict summary report</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Computes missingness rates, sparsity, and zero streaks.</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Feature Pipeline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src/grid_guard/features/pipeline.py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FeaturePipeline.transform()</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Daily consumption matrix</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60-feature Polars matrix</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Strict temporal causality; zero lookahead leakage.</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Feature Registry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src/grid_guard/features/registry.py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FeatureRegistry.get_families()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None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Metadata schema dictionary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Maps all 60 features to one of 10 defined categories.</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Baseline Model</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src/grid_guard/models/baseline.py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BaselineLGBM.fit()</w:t>
            </w:r>
            <w:r>
              <w:rPr>
                <w:rFonts w:ascii="Arial" w:hAnsi="Arial"/>
                <w:i w:val="0"/>
                <w:color w:val="1F2937"/>
                <w:sz w:val="17"/>
              </w:rPr>
              <w:t xml:space="preserve">, </w:t>
            </w:r>
            <w:r>
              <w:rPr>
                <w:rFonts w:ascii="Consolas" w:hAnsi="Consolas"/>
                <w:i w:val="0"/>
                <w:color w:val="B91C1C"/>
                <w:sz w:val="15"/>
              </w:rPr>
              <w:t>predict()</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 matrix, binary labels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Trained booster, $p_i$ predictions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Standard unweighted logarithmic cross-entropy.</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Imbalance Model</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src/grid_guard/models/imbalance.py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ImbalanceLGBM.fit()</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 matrix, binary labels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Trained booster, $p_i$ predictions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Supports SMOTE and </w:t>
            </w:r>
            <w:r>
              <w:rPr>
                <w:rFonts w:ascii="Consolas" w:hAnsi="Consolas"/>
                <w:i w:val="0"/>
                <w:color w:val="B91C1C"/>
                <w:sz w:val="15"/>
              </w:rPr>
              <w:t>scale_pos_weight</w:t>
            </w:r>
            <w:r>
              <w:rPr>
                <w:rFonts w:ascii="Arial" w:hAnsi="Arial"/>
                <w:i w:val="0"/>
                <w:color w:val="1F2937"/>
                <w:sz w:val="17"/>
              </w:rPr>
              <w:t>.</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Cost-Sensitive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src/grid_guard/models/cost_sensitive.py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CostSensitiveLGBM.fit()</w:t>
            </w:r>
            <w:r>
              <w:rPr>
                <w:rFonts w:ascii="Arial" w:hAnsi="Arial"/>
                <w:i w:val="0"/>
                <w:color w:val="1F2937"/>
                <w:sz w:val="17"/>
              </w:rPr>
              <w:t>, custom objective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labels, $C_{\text{FN}, i}$, $C_{\text{FP}}$</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Cost-sensitive booster</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Weighted binary log-loss surrogate; strictly positive weights.</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Financial Engine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src/grid_guard/financial/engine.py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FinancialEngine.estimate_exposure()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Consumption series, tariff, duration</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$C_{\text{FN}, i}$, Gross Recovery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Clamps recoverable revenue to non-negative values.</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Threshold Engine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src/grid_guard/decision/threshold_engine.py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DynamicThresholdEngine.compute()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$C_{\text{dispatch}}$, $C_{\text{FN}, i}$, Gross Recovery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$\tau_{\text{cost}, i}$, $\tau_{\text{env}, i}$, $ENV_i$</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Prevents division by zero when recovery is zero.</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Inspection Plan</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src/grid_guard/decision/inspection_planner.py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InspectionPlanner.rank_fleet()</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Fleet metrics, budget $K$</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Sorted Work Order Queue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Enforces $ENV_i &gt; 0$ filtering; ranks by descending ENV.</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SHAP Explainer</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src/grid_guard/explainability/shap_engine.py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TreeSHAPEngine.explain_instance()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Model booster, meter features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SHAP value vector, base value</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Lundberg polynomial Tree-SHAP; additive efficiency sum.</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Signatures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src/grid_guard/explainability/signatures.py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SignatureDetector.detect()</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Features, SHAP values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Dominant signature, narrative</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Categorizes top attributions into 4 utility archetypes.</w:t>
            </w:r>
          </w:p>
        </w:tc>
      </w:tr>
      <w:tr>
        <w:trPr>
          <w:cantSplit/>
        </w:trPr>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FastAPI Backend</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src/grid_guard/api/main.py</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app</w:t>
            </w:r>
            <w:r>
              <w:rPr>
                <w:rFonts w:ascii="Arial" w:hAnsi="Arial"/>
                <w:i w:val="0"/>
                <w:color w:val="1F2937"/>
                <w:sz w:val="17"/>
              </w:rPr>
              <w:t>, lifespan handler, routes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HTTP REST JSON payloads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Serialized JSON responses</w:t>
            </w:r>
          </w:p>
        </w:tc>
        <w:tc>
          <w:tcPr>
            <w:tcW w:type="dxa" w:w="1560"/>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Runtime Pydantic validation; ASGI lifespan preloading.</w:t>
            </w:r>
          </w:p>
        </w:tc>
      </w:tr>
      <w:tr>
        <w:trPr>
          <w:cantSplit/>
        </w:trPr>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Dashboard UI</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src/grid_guard/dashboard/app.py</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Multi-view layout, Plotly charts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User clicks, filter inputs</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Interactive HTML/Canvas UI</w:t>
            </w:r>
          </w:p>
        </w:tc>
        <w:tc>
          <w:tcPr>
            <w:tcW w:type="dxa" w:w="1560"/>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Asynchronous HTTP polling via </w:t>
            </w:r>
            <w:r>
              <w:rPr>
                <w:rFonts w:ascii="Consolas" w:hAnsi="Consolas"/>
                <w:i w:val="0"/>
                <w:color w:val="B91C1C"/>
                <w:sz w:val="15"/>
              </w:rPr>
              <w:t>DashboardApiClient</w:t>
            </w:r>
            <w:r>
              <w:rPr>
                <w:rFonts w:ascii="Arial" w:hAnsi="Arial"/>
                <w:i w:val="0"/>
                <w:color w:val="1F2937"/>
                <w:sz w:val="17"/>
              </w:rPr>
              <w:t>.</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16. GANTT CHART</w:t>
      </w:r>
    </w:p>
    <w:p>
      <w:pPr>
        <w:pStyle w:val="Heading2"/>
      </w:pPr>
      <w:r>
        <w:t>16.1 Implementation Timeline &amp; 10-Phase Project Execution</w:t>
      </w:r>
    </w:p>
    <w:p>
      <w:pPr/>
      <w:r>
        <w:rPr>
          <w:rFonts w:ascii="Arial" w:hAnsi="Arial"/>
          <w:i w:val="0"/>
          <w:color w:val="1F2937"/>
          <w:sz w:val="21"/>
        </w:rPr>
        <w:t>The development lifecycle of Grid-Guard was structured into ten sequential, milestone-driven phases. The project spanned an intensive 18-week engineering trajectory, moving systematically from raw telemetry ingestion to containerized full-stack deployment:</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gantt</w:t>
              <w:br/>
              <w:t xml:space="preserve">    title Grid-Guard 10-Phase Implementation Trajectory</w:t>
              <w:br/>
              <w:t xml:space="preserve">    dateFormat  YYYY-MM-DD</w:t>
              <w:br/>
              <w:t xml:space="preserve">    section Phase 1-3: Data &amp; Features</w:t>
              <w:br/>
              <w:t xml:space="preserve">    Phase 1: Environment &amp; Project Setup          :done, p1, 2026-05-01, 2026-05-14</w:t>
              <w:br/>
              <w:t xml:space="preserve">    Phase 2: Data Ingestion, EDA &amp; Hygiene        :done, p2, 2026-05-15, 2026-05-28</w:t>
              <w:br/>
              <w:t xml:space="preserve">    Phase 3: Causal Temporal Feature Engineering  :done, p3, 2026-05-29, 2026-06-15</w:t>
              <w:br/>
              <w:t xml:space="preserve">    section Phase 4-6: Modeling Core</w:t>
              <w:br/>
              <w:t xml:space="preserve">    Phase 4: Cost Matrix &amp; Unweighted Baseline    :done, p4, 2026-06-16, 2026-06-30</w:t>
              <w:br/>
              <w:t xml:space="preserve">    Phase 5: Class Imbalance Formulations         :done, p5, 2026-07-01, 2026-07-15</w:t>
              <w:br/>
              <w:t xml:space="preserve">    Phase 6: Cost-Sensitive Custom Objective      :done, p6, 2026-07-16, 2026-07-31</w:t>
              <w:br/>
              <w:t xml:space="preserve">    section Phase 7-8: Decision &amp; Explainability</w:t>
              <w:br/>
              <w:t xml:space="preserve">    Phase 7: Dynamic Thresholding &amp; ENV Decision  :done, p7, 2026-08-01, 2026-08-14</w:t>
              <w:br/>
              <w:t xml:space="preserve">    Phase 8: Tree-SHAP &amp; Tampering Signatures     :done, p8, 2026-08-15, 2026-08-28</w:t>
              <w:br/>
              <w:t xml:space="preserve">    section Phase 9-10: API &amp; UI Delivery</w:t>
              <w:br/>
              <w:t xml:space="preserve">    Phase 9: FastAPI Async Production Backend     :done, p9, 2026-08-29, 2026-09-12</w:t>
              <w:br/>
              <w:t xml:space="preserve">    Phase 10: Streamlit Dashboard &amp; Docker Polish :done, p10, 2026-09-13, 2026-10-02</w:t>
            </w:r>
          </w:p>
        </w:tc>
      </w:tr>
    </w:tbl>
    <w:p>
      <w:pPr>
        <w:spacing w:before="0" w:after="80"/>
      </w:pPr>
    </w:p>
    <w:p>
      <w:pPr>
        <w:pStyle w:val="Heading2"/>
      </w:pPr>
      <w:r>
        <w:t>16.2 Phase-by-Phase Milestone Deliverables</w:t>
      </w:r>
    </w:p>
    <w:p>
      <w:pPr>
        <w:spacing w:before="40" w:after="40" w:line="288" w:lineRule="auto"/>
        <w:ind w:left="432" w:hanging="288"/>
      </w:pPr>
      <w:r>
        <w:rPr>
          <w:b/>
          <w:color w:val="1E3A8A"/>
        </w:rPr>
        <w:t xml:space="preserve">1. </w:t>
      </w:r>
      <w:r>
        <w:rPr>
          <w:rFonts w:ascii="Arial" w:hAnsi="Arial"/>
          <w:b/>
          <w:i w:val="0"/>
          <w:color w:val="1F2937"/>
          <w:sz w:val="21"/>
        </w:rPr>
        <w:t>Phase 1 (Weeks 1–2)</w:t>
      </w:r>
      <w:r>
        <w:rPr>
          <w:rFonts w:ascii="Arial" w:hAnsi="Arial"/>
          <w:i w:val="0"/>
          <w:color w:val="1F2937"/>
          <w:sz w:val="21"/>
        </w:rPr>
        <w:t>: Established Git repository, poetry/uv packaging, strict Ruff linting, test harnesses, and MLflow tracking server setup.</w:t>
      </w:r>
    </w:p>
    <w:p>
      <w:pPr>
        <w:spacing w:before="40" w:after="40" w:line="288" w:lineRule="auto"/>
        <w:ind w:left="432" w:hanging="288"/>
      </w:pPr>
      <w:r>
        <w:rPr>
          <w:b/>
          <w:color w:val="1E3A8A"/>
        </w:rPr>
        <w:t xml:space="preserve">2. </w:t>
      </w:r>
      <w:r>
        <w:rPr>
          <w:rFonts w:ascii="Arial" w:hAnsi="Arial"/>
          <w:b/>
          <w:i w:val="0"/>
          <w:color w:val="1F2937"/>
          <w:sz w:val="21"/>
        </w:rPr>
        <w:t>Phase 2 (Weeks 3–4)</w:t>
      </w:r>
      <w:r>
        <w:rPr>
          <w:rFonts w:ascii="Arial" w:hAnsi="Arial"/>
          <w:i w:val="0"/>
          <w:color w:val="1F2937"/>
          <w:sz w:val="21"/>
        </w:rPr>
        <w:t>: Ingested State Grid Corporation of China (SGCC) AMI benchmark (42,372 meters over 1,035 days). Developed missing-gap run-length analysis and bounded forward-fill cleaning.</w:t>
      </w:r>
    </w:p>
    <w:p>
      <w:pPr>
        <w:spacing w:before="40" w:after="40" w:line="288" w:lineRule="auto"/>
        <w:ind w:left="432" w:hanging="288"/>
      </w:pPr>
      <w:r>
        <w:rPr>
          <w:b/>
          <w:color w:val="1E3A8A"/>
        </w:rPr>
        <w:t xml:space="preserve">3. </w:t>
      </w:r>
      <w:r>
        <w:rPr>
          <w:rFonts w:ascii="Arial" w:hAnsi="Arial"/>
          <w:b/>
          <w:i w:val="0"/>
          <w:color w:val="1F2937"/>
          <w:sz w:val="21"/>
        </w:rPr>
        <w:t>Phase 3 (Weeks 5–7)</w:t>
      </w:r>
      <w:r>
        <w:rPr>
          <w:rFonts w:ascii="Arial" w:hAnsi="Arial"/>
          <w:i w:val="0"/>
          <w:color w:val="1F2937"/>
          <w:sz w:val="21"/>
        </w:rPr>
        <w:t>: Designed and validated 60 causal temporal features using Polars lazy expressions, ensuring strict leakage-safe historical rolling windows.</w:t>
      </w:r>
    </w:p>
    <w:p>
      <w:pPr>
        <w:spacing w:before="40" w:after="40" w:line="288" w:lineRule="auto"/>
        <w:ind w:left="432" w:hanging="288"/>
      </w:pPr>
      <w:r>
        <w:rPr>
          <w:b/>
          <w:color w:val="1E3A8A"/>
        </w:rPr>
        <w:t xml:space="preserve">4. </w:t>
      </w:r>
      <w:r>
        <w:rPr>
          <w:rFonts w:ascii="Arial" w:hAnsi="Arial"/>
          <w:b/>
          <w:i w:val="0"/>
          <w:color w:val="1F2937"/>
          <w:sz w:val="21"/>
        </w:rPr>
        <w:t>Phase 4 (Weeks 8–9)</w:t>
      </w:r>
      <w:r>
        <w:rPr>
          <w:rFonts w:ascii="Arial" w:hAnsi="Arial"/>
          <w:i w:val="0"/>
          <w:color w:val="1F2937"/>
          <w:sz w:val="21"/>
        </w:rPr>
        <w:t>: Formalized utility cost matrix ($C_{\text{FP}} = \$100$, $C_{\text{FN}, i}$ proportional to consumption). Trained unweighted LightGBM baseline achieving PR-AUC 0.3035.</w:t>
      </w:r>
    </w:p>
    <w:p>
      <w:pPr>
        <w:spacing w:before="40" w:after="40" w:line="288" w:lineRule="auto"/>
        <w:ind w:left="432" w:hanging="288"/>
      </w:pPr>
      <w:r>
        <w:rPr>
          <w:b/>
          <w:color w:val="1E3A8A"/>
        </w:rPr>
        <w:t xml:space="preserve">5. </w:t>
      </w:r>
      <w:r>
        <w:rPr>
          <w:rFonts w:ascii="Arial" w:hAnsi="Arial"/>
          <w:b/>
          <w:i w:val="0"/>
          <w:color w:val="1F2937"/>
          <w:sz w:val="21"/>
        </w:rPr>
        <w:t>Phase 5 (Weeks 10–11)</w:t>
      </w:r>
      <w:r>
        <w:rPr>
          <w:rFonts w:ascii="Arial" w:hAnsi="Arial"/>
          <w:i w:val="0"/>
          <w:color w:val="1F2937"/>
          <w:sz w:val="21"/>
        </w:rPr>
        <w:t xml:space="preserve">: Implemented SMOTE, random undersampling, and </w:t>
      </w:r>
      <w:r>
        <w:rPr>
          <w:rFonts w:ascii="Consolas" w:hAnsi="Consolas"/>
          <w:i w:val="0"/>
          <w:color w:val="B91C1C"/>
          <w:sz w:val="19"/>
        </w:rPr>
        <w:t>scale_pos_weight</w:t>
      </w:r>
      <w:r>
        <w:rPr>
          <w:rFonts w:ascii="Arial" w:hAnsi="Arial"/>
          <w:i w:val="0"/>
          <w:color w:val="1F2937"/>
          <w:sz w:val="21"/>
        </w:rPr>
        <w:t>. Demonstrated improvement in PR-AUC (0.3131) but high false-positive dispatch rates.</w:t>
      </w:r>
    </w:p>
    <w:p>
      <w:pPr>
        <w:spacing w:before="40" w:after="40" w:line="288" w:lineRule="auto"/>
        <w:ind w:left="432" w:hanging="288"/>
      </w:pPr>
      <w:r>
        <w:rPr>
          <w:b/>
          <w:color w:val="1E3A8A"/>
        </w:rPr>
        <w:t xml:space="preserve">6. </w:t>
      </w:r>
      <w:r>
        <w:rPr>
          <w:rFonts w:ascii="Arial" w:hAnsi="Arial"/>
          <w:b/>
          <w:i w:val="0"/>
          <w:color w:val="1F2937"/>
          <w:sz w:val="21"/>
        </w:rPr>
        <w:t>Phase 6 (Weeks 12–13)</w:t>
      </w:r>
      <w:r>
        <w:rPr>
          <w:rFonts w:ascii="Arial" w:hAnsi="Arial"/>
          <w:i w:val="0"/>
          <w:color w:val="1F2937"/>
          <w:sz w:val="21"/>
        </w:rPr>
        <w:t>: Derived and implemented mathematically rigorous, second-order differentiable financially weighted log-loss surrogate. Established 51.2% reduction in total operational loss.</w:t>
      </w:r>
    </w:p>
    <w:p>
      <w:pPr>
        <w:spacing w:before="40" w:after="40" w:line="288" w:lineRule="auto"/>
        <w:ind w:left="432" w:hanging="288"/>
      </w:pPr>
      <w:r>
        <w:rPr>
          <w:b/>
          <w:color w:val="1E3A8A"/>
        </w:rPr>
        <w:t xml:space="preserve">7. </w:t>
      </w:r>
      <w:r>
        <w:rPr>
          <w:rFonts w:ascii="Arial" w:hAnsi="Arial"/>
          <w:b/>
          <w:i w:val="0"/>
          <w:color w:val="1F2937"/>
          <w:sz w:val="21"/>
        </w:rPr>
        <w:t>Phase 7 (Weeks 14–15)</w:t>
      </w:r>
      <w:r>
        <w:rPr>
          <w:rFonts w:ascii="Arial" w:hAnsi="Arial"/>
          <w:i w:val="0"/>
          <w:color w:val="1F2937"/>
          <w:sz w:val="21"/>
        </w:rPr>
        <w:t>: Built dynamic Bayes cost thresholding ($\tau_{\text{cost}, i}$) and Expected Net Value ($ENV_i$) engine. Generated prioritized fleet inspection tickets.</w:t>
      </w:r>
    </w:p>
    <w:p>
      <w:pPr>
        <w:spacing w:before="40" w:after="40" w:line="288" w:lineRule="auto"/>
        <w:ind w:left="432" w:hanging="288"/>
      </w:pPr>
      <w:r>
        <w:rPr>
          <w:b/>
          <w:color w:val="1E3A8A"/>
        </w:rPr>
        <w:t xml:space="preserve">8. </w:t>
      </w:r>
      <w:r>
        <w:rPr>
          <w:rFonts w:ascii="Arial" w:hAnsi="Arial"/>
          <w:b/>
          <w:i w:val="0"/>
          <w:color w:val="1F2937"/>
          <w:sz w:val="21"/>
        </w:rPr>
        <w:t>Phase 8 (Weeks 16–17)</w:t>
      </w:r>
      <w:r>
        <w:rPr>
          <w:rFonts w:ascii="Arial" w:hAnsi="Arial"/>
          <w:i w:val="0"/>
          <w:color w:val="1F2937"/>
          <w:sz w:val="21"/>
        </w:rPr>
        <w:t>: Integrated Lundberg Tree-SHAP library. Mapped attributions to four distinct utility tampering signatures with plain-English explanation narratives.</w:t>
      </w:r>
    </w:p>
    <w:p>
      <w:pPr>
        <w:spacing w:before="40" w:after="40" w:line="288" w:lineRule="auto"/>
        <w:ind w:left="432" w:hanging="288"/>
      </w:pPr>
      <w:r>
        <w:rPr>
          <w:b/>
          <w:color w:val="1E3A8A"/>
        </w:rPr>
        <w:t xml:space="preserve">9. </w:t>
      </w:r>
      <w:r>
        <w:rPr>
          <w:rFonts w:ascii="Arial" w:hAnsi="Arial"/>
          <w:b/>
          <w:i w:val="0"/>
          <w:color w:val="1F2937"/>
          <w:sz w:val="21"/>
        </w:rPr>
        <w:t>Phase 9 (Weeks 18–19)</w:t>
      </w:r>
      <w:r>
        <w:rPr>
          <w:rFonts w:ascii="Arial" w:hAnsi="Arial"/>
          <w:i w:val="0"/>
          <w:color w:val="1F2937"/>
          <w:sz w:val="21"/>
        </w:rPr>
        <w:t xml:space="preserve">: Built production FastAPI backend exposing </w:t>
      </w:r>
      <w:r>
        <w:rPr>
          <w:rFonts w:ascii="Consolas" w:hAnsi="Consolas"/>
          <w:i w:val="0"/>
          <w:color w:val="B91C1C"/>
          <w:sz w:val="19"/>
        </w:rPr>
        <w:t>/predict</w:t>
      </w:r>
      <w:r>
        <w:rPr>
          <w:rFonts w:ascii="Arial" w:hAnsi="Arial"/>
          <w:i w:val="0"/>
          <w:color w:val="1F2937"/>
          <w:sz w:val="21"/>
        </w:rPr>
        <w:t xml:space="preserve">, </w:t>
      </w:r>
      <w:r>
        <w:rPr>
          <w:rFonts w:ascii="Consolas" w:hAnsi="Consolas"/>
          <w:i w:val="0"/>
          <w:color w:val="B91C1C"/>
          <w:sz w:val="19"/>
        </w:rPr>
        <w:t>/explain</w:t>
      </w:r>
      <w:r>
        <w:rPr>
          <w:rFonts w:ascii="Arial" w:hAnsi="Arial"/>
          <w:i w:val="0"/>
          <w:color w:val="1F2937"/>
          <w:sz w:val="21"/>
        </w:rPr>
        <w:t xml:space="preserve">, and </w:t>
      </w:r>
      <w:r>
        <w:rPr>
          <w:rFonts w:ascii="Consolas" w:hAnsi="Consolas"/>
          <w:i w:val="0"/>
          <w:color w:val="B91C1C"/>
          <w:sz w:val="19"/>
        </w:rPr>
        <w:t>/fleet</w:t>
      </w:r>
      <w:r>
        <w:rPr>
          <w:rFonts w:ascii="Arial" w:hAnsi="Arial"/>
          <w:i w:val="0"/>
          <w:color w:val="1F2937"/>
          <w:sz w:val="21"/>
        </w:rPr>
        <w:t xml:space="preserve"> endpoints with sub-30ms P95 latency and lifespan booster caching.</w:t>
      </w:r>
    </w:p>
    <w:p>
      <w:pPr>
        <w:spacing w:before="40" w:after="40" w:line="288" w:lineRule="auto"/>
        <w:ind w:left="432" w:hanging="288"/>
      </w:pPr>
      <w:r>
        <w:rPr>
          <w:b/>
          <w:color w:val="1E3A8A"/>
        </w:rPr>
        <w:t xml:space="preserve">10. </w:t>
      </w:r>
      <w:r>
        <w:rPr>
          <w:rFonts w:ascii="Arial" w:hAnsi="Arial"/>
          <w:b/>
          <w:i w:val="0"/>
          <w:color w:val="1F2937"/>
          <w:sz w:val="21"/>
        </w:rPr>
        <w:t>Phase 10 (Weeks 20–22)</w:t>
      </w:r>
      <w:r>
        <w:rPr>
          <w:rFonts w:ascii="Arial" w:hAnsi="Arial"/>
          <w:i w:val="0"/>
          <w:color w:val="1F2937"/>
          <w:sz w:val="21"/>
        </w:rPr>
        <w:t>: Created multi-view operational Streamlit dashboard, integrated synthetic demo scenarios, Dockerized all services, and finalized 162-test verification suite.</w:t>
      </w:r>
    </w:p>
    <w:p>
      <w:pPr>
        <w:spacing w:before="80" w:after="160"/>
      </w:pPr>
      <w:r>
        <w:rPr>
          <w:color w:val="E5E7EB"/>
          <w:sz w:val="16"/>
        </w:rPr>
        <w:t>_________________________________________________________________________________</w:t>
      </w:r>
    </w:p>
    <w:p>
      <w:r>
        <w:br w:type="page"/>
      </w:r>
    </w:p>
    <w:p>
      <w:pPr>
        <w:pStyle w:val="Heading1"/>
      </w:pPr>
      <w:r>
        <w:t>17. DATA DESIGN</w:t>
      </w:r>
    </w:p>
    <w:p>
      <w:pPr>
        <w:pStyle w:val="Heading2"/>
      </w:pPr>
      <w:r>
        <w:t>17.1 Raw AMI Smart Meter Data Schema</w:t>
      </w:r>
    </w:p>
    <w:p>
      <w:pPr/>
      <w:r>
        <w:rPr>
          <w:rFonts w:ascii="Arial" w:hAnsi="Arial"/>
          <w:i w:val="0"/>
          <w:color w:val="1F2937"/>
          <w:sz w:val="21"/>
        </w:rPr>
        <w:t>The ingestion pipeline processes daily consumption readings sourced from smart meters adhering to standard utility telemetry structures: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Attribute Name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Physical Data Type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Measurement Unit</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Value Constraints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Description &amp; Semantics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meter_id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 / Utf8</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Identifier</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Non-null, Alphanumeric</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Unique global identifier of the physical smart meter.</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date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Date / Utf8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ISO-8601 (YYYY-MM-DD)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$2014\text{-}01\text{-}01 \le t \le 2016\text{-}10\text{-}31$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Timestamp representing the daily 24-hour metering interval.</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consumption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Float64 / Float32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Kilowatt-hours (kWh)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$\ge 0.0$, Non-null</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Total active energy consumed during the 24-hour window.</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label</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Int8 / Boolean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Binary Flag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 \in \{0, 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Supervised ground truth: 0 = Honest, 1 = Verified Tampering.</w:t>
            </w:r>
          </w:p>
        </w:tc>
      </w:tr>
    </w:tbl>
    <w:p>
      <w:pPr>
        <w:spacing w:before="40" w:after="80"/>
      </w:pPr>
    </w:p>
    <w:p>
      <w:pPr>
        <w:pStyle w:val="Heading2"/>
      </w:pPr>
      <w:r>
        <w:t>17.2 Cleaned Dataset Schema</w:t>
      </w:r>
    </w:p>
    <w:p>
      <w:pPr/>
      <w:r>
        <w:rPr>
          <w:rFonts w:ascii="Arial" w:hAnsi="Arial"/>
          <w:i w:val="0"/>
          <w:color w:val="1F2937"/>
          <w:sz w:val="21"/>
        </w:rPr>
        <w:t xml:space="preserve">Following ingestion through </w:t>
      </w:r>
      <w:r>
        <w:rPr>
          <w:rFonts w:ascii="Consolas" w:hAnsi="Consolas"/>
          <w:i w:val="0"/>
          <w:color w:val="B91C1C"/>
          <w:sz w:val="19"/>
        </w:rPr>
        <w:t>AMIDataCleaner</w:t>
      </w:r>
      <w:r>
        <w:rPr>
          <w:rFonts w:ascii="Arial" w:hAnsi="Arial"/>
          <w:i w:val="0"/>
          <w:color w:val="1F2937"/>
          <w:sz w:val="21"/>
        </w:rPr>
        <w:t>, the normalized dataset is stored in columnar Apache Parquet format: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Field Name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Type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Nullable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Imputation Rule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Purpose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meter_id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Categorical / Utf8</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None (Key)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Primary meter entity key.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date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Date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None (Time dimension)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Monotonically increasing temporal index.</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consumption_raw</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None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Preserved original raw telemetry for audit trace.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consumption_clean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Bounded Forward-Fill ($\le 7$ days)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Cleaned physical consumption utilized in feature extraction.</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imputed_flag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Boolean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Generated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True if value was interpolated; False if original reading.</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zero_streak_len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Int16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Cumulative Sum Counter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Number of consecutive days recording exactly 0.00 kWh.</w:t>
            </w:r>
          </w:p>
        </w:tc>
      </w:tr>
    </w:tbl>
    <w:p>
      <w:pPr>
        <w:spacing w:before="40" w:after="80"/>
      </w:pPr>
    </w:p>
    <w:p>
      <w:pPr>
        <w:pStyle w:val="Heading2"/>
      </w:pPr>
      <w:r>
        <w:t>17.3 Complete Engineered Feature Registry (60 Dimensions)</w:t>
      </w:r>
    </w:p>
    <w:p>
      <w:pPr/>
      <w:r>
        <w:rPr>
          <w:rFonts w:ascii="Arial" w:hAnsi="Arial"/>
          <w:i w:val="0"/>
          <w:color w:val="1F2937"/>
          <w:sz w:val="21"/>
        </w:rPr>
        <w:t>The feature engineering engine extracts exactly 60 temporal, statistical, and domain-specific features grouped into 10 distinct mathematical families: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Feature Family</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Feature Name(s)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Window ($W$)</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Mathematical Definition / Formulation</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Tampering Detection Role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Data Quality</w:t>
            </w:r>
            <w:r>
              <w:rPr>
                <w:rFonts w:ascii="Arial" w:hAnsi="Arial"/>
                <w:i w:val="0"/>
                <w:color w:val="1F2937"/>
                <w:sz w:val="17"/>
              </w:rPr>
              <w:t xml:space="preserve"> (4)</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missing_count_30d</w:t>
            </w:r>
            <w:r>
              <w:rPr>
                <w:rFonts w:ascii="Arial" w:hAnsi="Arial"/>
                <w:i w:val="0"/>
                <w:color w:val="1F2937"/>
                <w:sz w:val="17"/>
              </w:rPr>
              <w:t xml:space="preserve">, </w:t>
            </w:r>
            <w:r>
              <w:rPr>
                <w:rFonts w:ascii="Consolas" w:hAnsi="Consolas"/>
                <w:i w:val="0"/>
                <w:color w:val="B91C1C"/>
                <w:sz w:val="15"/>
              </w:rPr>
              <w:t>imputed_ratio_30d</w:t>
            </w:r>
            <w:r>
              <w:rPr>
                <w:rFonts w:ascii="Arial" w:hAnsi="Arial"/>
                <w:i w:val="0"/>
                <w:color w:val="1F2937"/>
                <w:sz w:val="17"/>
              </w:rPr>
              <w:t xml:space="preserve">, </w:t>
            </w:r>
            <w:r>
              <w:rPr>
                <w:rFonts w:ascii="Consolas" w:hAnsi="Consolas"/>
                <w:i w:val="0"/>
                <w:color w:val="B91C1C"/>
                <w:sz w:val="15"/>
              </w:rPr>
              <w:t>zero_count_30d</w:t>
            </w:r>
            <w:r>
              <w:rPr>
                <w:rFonts w:ascii="Arial" w:hAnsi="Arial"/>
                <w:i w:val="0"/>
                <w:color w:val="1F2937"/>
                <w:sz w:val="17"/>
              </w:rPr>
              <w:t xml:space="preserve">, </w:t>
            </w:r>
            <w:r>
              <w:rPr>
                <w:rFonts w:ascii="Consolas" w:hAnsi="Consolas"/>
                <w:i w:val="0"/>
                <w:color w:val="B91C1C"/>
                <w:sz w:val="15"/>
              </w:rPr>
              <w:t>zero_streak_current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30 days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$\sum_{t-W+1}^t \mathbb{I}(c_\tau = \text{null})$, $\sum \mathbb{I}(c_\tau = 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Detects suspicious data dropout or artificial zero-lining.</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Calendar Dynamics</w:t>
            </w:r>
            <w:r>
              <w:rPr>
                <w:rFonts w:ascii="Arial" w:hAnsi="Arial"/>
                <w:i w:val="0"/>
                <w:color w:val="1F2937"/>
                <w:sz w:val="17"/>
              </w:rPr>
              <w:t xml:space="preserve"> (9)</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day_of_week</w:t>
            </w:r>
            <w:r>
              <w:rPr>
                <w:rFonts w:ascii="Arial" w:hAnsi="Arial"/>
                <w:i w:val="0"/>
                <w:color w:val="1F2937"/>
                <w:sz w:val="17"/>
              </w:rPr>
              <w:t xml:space="preserve">, </w:t>
            </w:r>
            <w:r>
              <w:rPr>
                <w:rFonts w:ascii="Consolas" w:hAnsi="Consolas"/>
                <w:i w:val="0"/>
                <w:color w:val="B91C1C"/>
                <w:sz w:val="15"/>
              </w:rPr>
              <w:t>is_weekend</w:t>
            </w:r>
            <w:r>
              <w:rPr>
                <w:rFonts w:ascii="Arial" w:hAnsi="Arial"/>
                <w:i w:val="0"/>
                <w:color w:val="1F2937"/>
                <w:sz w:val="17"/>
              </w:rPr>
              <w:t xml:space="preserve">, </w:t>
            </w:r>
            <w:r>
              <w:rPr>
                <w:rFonts w:ascii="Consolas" w:hAnsi="Consolas"/>
                <w:i w:val="0"/>
                <w:color w:val="B91C1C"/>
                <w:sz w:val="15"/>
              </w:rPr>
              <w:t>month</w:t>
            </w:r>
            <w:r>
              <w:rPr>
                <w:rFonts w:ascii="Arial" w:hAnsi="Arial"/>
                <w:i w:val="0"/>
                <w:color w:val="1F2937"/>
                <w:sz w:val="17"/>
              </w:rPr>
              <w:t xml:space="preserve">, </w:t>
            </w:r>
            <w:r>
              <w:rPr>
                <w:rFonts w:ascii="Consolas" w:hAnsi="Consolas"/>
                <w:i w:val="0"/>
                <w:color w:val="B91C1C"/>
                <w:sz w:val="15"/>
              </w:rPr>
              <w:t>day_of_year</w:t>
            </w:r>
            <w:r>
              <w:rPr>
                <w:rFonts w:ascii="Arial" w:hAnsi="Arial"/>
                <w:i w:val="0"/>
                <w:color w:val="1F2937"/>
                <w:sz w:val="17"/>
              </w:rPr>
              <w:t xml:space="preserve">, </w:t>
            </w:r>
            <w:r>
              <w:rPr>
                <w:rFonts w:ascii="Consolas" w:hAnsi="Consolas"/>
                <w:i w:val="0"/>
                <w:color w:val="B91C1C"/>
                <w:sz w:val="15"/>
              </w:rPr>
              <w:t>sin_dow</w:t>
            </w:r>
            <w:r>
              <w:rPr>
                <w:rFonts w:ascii="Arial" w:hAnsi="Arial"/>
                <w:i w:val="0"/>
                <w:color w:val="1F2937"/>
                <w:sz w:val="17"/>
              </w:rPr>
              <w:t xml:space="preserve">, </w:t>
            </w:r>
            <w:r>
              <w:rPr>
                <w:rFonts w:ascii="Consolas" w:hAnsi="Consolas"/>
                <w:i w:val="0"/>
                <w:color w:val="B91C1C"/>
                <w:sz w:val="15"/>
              </w:rPr>
              <w:t>cos_dow</w:t>
            </w:r>
            <w:r>
              <w:rPr>
                <w:rFonts w:ascii="Arial" w:hAnsi="Arial"/>
                <w:i w:val="0"/>
                <w:color w:val="1F2937"/>
                <w:sz w:val="17"/>
              </w:rPr>
              <w:t xml:space="preserve">, </w:t>
            </w:r>
            <w:r>
              <w:rPr>
                <w:rFonts w:ascii="Consolas" w:hAnsi="Consolas"/>
                <w:i w:val="0"/>
                <w:color w:val="B91C1C"/>
                <w:sz w:val="15"/>
              </w:rPr>
              <w:t>sin_month</w:t>
            </w:r>
            <w:r>
              <w:rPr>
                <w:rFonts w:ascii="Arial" w:hAnsi="Arial"/>
                <w:i w:val="0"/>
                <w:color w:val="1F2937"/>
                <w:sz w:val="17"/>
              </w:rPr>
              <w:t xml:space="preserve">, </w:t>
            </w:r>
            <w:r>
              <w:rPr>
                <w:rFonts w:ascii="Consolas" w:hAnsi="Consolas"/>
                <w:i w:val="0"/>
                <w:color w:val="B91C1C"/>
                <w:sz w:val="15"/>
              </w:rPr>
              <w:t>cos_month</w:t>
            </w:r>
            <w:r>
              <w:rPr>
                <w:rFonts w:ascii="Arial" w:hAnsi="Arial"/>
                <w:i w:val="0"/>
                <w:color w:val="1F2937"/>
                <w:sz w:val="17"/>
              </w:rPr>
              <w:t xml:space="preserve">, </w:t>
            </w:r>
            <w:r>
              <w:rPr>
                <w:rFonts w:ascii="Consolas" w:hAnsi="Consolas"/>
                <w:i w:val="0"/>
                <w:color w:val="B91C1C"/>
                <w:sz w:val="15"/>
              </w:rPr>
              <w:t>quarter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 day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Cyclical sine/cosine transforms: $\sin\left(\frac{2\pi d}{7}\right)$, $\cos\left(\frac{2\pi m}{12}\right)$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Captures legitimate seasonal cycles vs. season-invariant fraud.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Lags</w:t>
            </w:r>
            <w:r>
              <w:rPr>
                <w:rFonts w:ascii="Arial" w:hAnsi="Arial"/>
                <w:i w:val="0"/>
                <w:color w:val="1F2937"/>
                <w:sz w:val="17"/>
              </w:rPr>
              <w:t xml:space="preserve"> (7)</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lag_1d</w:t>
            </w:r>
            <w:r>
              <w:rPr>
                <w:rFonts w:ascii="Arial" w:hAnsi="Arial"/>
                <w:i w:val="0"/>
                <w:color w:val="1F2937"/>
                <w:sz w:val="17"/>
              </w:rPr>
              <w:t xml:space="preserve">, </w:t>
            </w:r>
            <w:r>
              <w:rPr>
                <w:rFonts w:ascii="Consolas" w:hAnsi="Consolas"/>
                <w:i w:val="0"/>
                <w:color w:val="B91C1C"/>
                <w:sz w:val="15"/>
              </w:rPr>
              <w:t>lag_2d</w:t>
            </w:r>
            <w:r>
              <w:rPr>
                <w:rFonts w:ascii="Arial" w:hAnsi="Arial"/>
                <w:i w:val="0"/>
                <w:color w:val="1F2937"/>
                <w:sz w:val="17"/>
              </w:rPr>
              <w:t xml:space="preserve">, </w:t>
            </w:r>
            <w:r>
              <w:rPr>
                <w:rFonts w:ascii="Consolas" w:hAnsi="Consolas"/>
                <w:i w:val="0"/>
                <w:color w:val="B91C1C"/>
                <w:sz w:val="15"/>
              </w:rPr>
              <w:t>lag_3d</w:t>
            </w:r>
            <w:r>
              <w:rPr>
                <w:rFonts w:ascii="Arial" w:hAnsi="Arial"/>
                <w:i w:val="0"/>
                <w:color w:val="1F2937"/>
                <w:sz w:val="17"/>
              </w:rPr>
              <w:t xml:space="preserve">, </w:t>
            </w:r>
            <w:r>
              <w:rPr>
                <w:rFonts w:ascii="Consolas" w:hAnsi="Consolas"/>
                <w:i w:val="0"/>
                <w:color w:val="B91C1C"/>
                <w:sz w:val="15"/>
              </w:rPr>
              <w:t>lag_7d</w:t>
            </w:r>
            <w:r>
              <w:rPr>
                <w:rFonts w:ascii="Arial" w:hAnsi="Arial"/>
                <w:i w:val="0"/>
                <w:color w:val="1F2937"/>
                <w:sz w:val="17"/>
              </w:rPr>
              <w:t xml:space="preserve">, </w:t>
            </w:r>
            <w:r>
              <w:rPr>
                <w:rFonts w:ascii="Consolas" w:hAnsi="Consolas"/>
                <w:i w:val="0"/>
                <w:color w:val="B91C1C"/>
                <w:sz w:val="15"/>
              </w:rPr>
              <w:t>lag_14d</w:t>
            </w:r>
            <w:r>
              <w:rPr>
                <w:rFonts w:ascii="Arial" w:hAnsi="Arial"/>
                <w:i w:val="0"/>
                <w:color w:val="1F2937"/>
                <w:sz w:val="17"/>
              </w:rPr>
              <w:t xml:space="preserve">, </w:t>
            </w:r>
            <w:r>
              <w:rPr>
                <w:rFonts w:ascii="Consolas" w:hAnsi="Consolas"/>
                <w:i w:val="0"/>
                <w:color w:val="B91C1C"/>
                <w:sz w:val="15"/>
              </w:rPr>
              <w:t>lag_21d</w:t>
            </w:r>
            <w:r>
              <w:rPr>
                <w:rFonts w:ascii="Arial" w:hAnsi="Arial"/>
                <w:i w:val="0"/>
                <w:color w:val="1F2937"/>
                <w:sz w:val="17"/>
              </w:rPr>
              <w:t xml:space="preserve">, </w:t>
            </w:r>
            <w:r>
              <w:rPr>
                <w:rFonts w:ascii="Consolas" w:hAnsi="Consolas"/>
                <w:i w:val="0"/>
                <w:color w:val="B91C1C"/>
                <w:sz w:val="15"/>
              </w:rPr>
              <w:t>lag_30d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1–30 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$c_{t-k}$ for $k \in \{1, 2, 3, 7, 14, 21, 30\}$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Captures immediate autocorrelation and historical levels.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Rolling Means</w:t>
            </w:r>
            <w:r>
              <w:rPr>
                <w:rFonts w:ascii="Arial" w:hAnsi="Arial"/>
                <w:i w:val="0"/>
                <w:color w:val="1F2937"/>
                <w:sz w:val="17"/>
              </w:rPr>
              <w:t xml:space="preserve"> (6)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rolling_mean_7d</w:t>
            </w:r>
            <w:r>
              <w:rPr>
                <w:rFonts w:ascii="Arial" w:hAnsi="Arial"/>
                <w:i w:val="0"/>
                <w:color w:val="1F2937"/>
                <w:sz w:val="17"/>
              </w:rPr>
              <w:t xml:space="preserve">, </w:t>
            </w:r>
            <w:r>
              <w:rPr>
                <w:rFonts w:ascii="Consolas" w:hAnsi="Consolas"/>
                <w:i w:val="0"/>
                <w:color w:val="B91C1C"/>
                <w:sz w:val="15"/>
              </w:rPr>
              <w:t>rolling_mean_14d</w:t>
            </w:r>
            <w:r>
              <w:rPr>
                <w:rFonts w:ascii="Arial" w:hAnsi="Arial"/>
                <w:i w:val="0"/>
                <w:color w:val="1F2937"/>
                <w:sz w:val="17"/>
              </w:rPr>
              <w:t xml:space="preserve">, </w:t>
            </w:r>
            <w:r>
              <w:rPr>
                <w:rFonts w:ascii="Consolas" w:hAnsi="Consolas"/>
                <w:i w:val="0"/>
                <w:color w:val="B91C1C"/>
                <w:sz w:val="15"/>
              </w:rPr>
              <w:t>rolling_mean_30d</w:t>
            </w:r>
            <w:r>
              <w:rPr>
                <w:rFonts w:ascii="Arial" w:hAnsi="Arial"/>
                <w:i w:val="0"/>
                <w:color w:val="1F2937"/>
                <w:sz w:val="17"/>
              </w:rPr>
              <w:t xml:space="preserve">, </w:t>
            </w:r>
            <w:r>
              <w:rPr>
                <w:rFonts w:ascii="Consolas" w:hAnsi="Consolas"/>
                <w:i w:val="0"/>
                <w:color w:val="B91C1C"/>
                <w:sz w:val="15"/>
              </w:rPr>
              <w:t>rolling_mean_60d</w:t>
            </w:r>
            <w:r>
              <w:rPr>
                <w:rFonts w:ascii="Arial" w:hAnsi="Arial"/>
                <w:i w:val="0"/>
                <w:color w:val="1F2937"/>
                <w:sz w:val="17"/>
              </w:rPr>
              <w:t xml:space="preserve">, </w:t>
            </w:r>
            <w:r>
              <w:rPr>
                <w:rFonts w:ascii="Consolas" w:hAnsi="Consolas"/>
                <w:i w:val="0"/>
                <w:color w:val="B91C1C"/>
                <w:sz w:val="15"/>
              </w:rPr>
              <w:t>rolling_mean_90d</w:t>
            </w:r>
            <w:r>
              <w:rPr>
                <w:rFonts w:ascii="Arial" w:hAnsi="Arial"/>
                <w:i w:val="0"/>
                <w:color w:val="1F2937"/>
                <w:sz w:val="17"/>
              </w:rPr>
              <w:t xml:space="preserve">, </w:t>
            </w:r>
            <w:r>
              <w:rPr>
                <w:rFonts w:ascii="Consolas" w:hAnsi="Consolas"/>
                <w:i w:val="0"/>
                <w:color w:val="B91C1C"/>
                <w:sz w:val="15"/>
              </w:rPr>
              <w:t>rolling_mean_180d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7–180 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$\mu_{W}(t) = \frac{1}{W} \sum_{k=0}^{W-1} c_{t-k}$</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Smooths short-term fluctuations to track structural baseline.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Rolling Medians</w:t>
            </w:r>
            <w:r>
              <w:rPr>
                <w:rFonts w:ascii="Arial" w:hAnsi="Arial"/>
                <w:i w:val="0"/>
                <w:color w:val="1F2937"/>
                <w:sz w:val="17"/>
              </w:rPr>
              <w:t xml:space="preserve"> (6)</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rolling_median_7d</w:t>
            </w:r>
            <w:r>
              <w:rPr>
                <w:rFonts w:ascii="Arial" w:hAnsi="Arial"/>
                <w:i w:val="0"/>
                <w:color w:val="1F2937"/>
                <w:sz w:val="17"/>
              </w:rPr>
              <w:t xml:space="preserve">, </w:t>
            </w:r>
            <w:r>
              <w:rPr>
                <w:rFonts w:ascii="Consolas" w:hAnsi="Consolas"/>
                <w:i w:val="0"/>
                <w:color w:val="B91C1C"/>
                <w:sz w:val="15"/>
              </w:rPr>
              <w:t>rolling_median_14d</w:t>
            </w:r>
            <w:r>
              <w:rPr>
                <w:rFonts w:ascii="Arial" w:hAnsi="Arial"/>
                <w:i w:val="0"/>
                <w:color w:val="1F2937"/>
                <w:sz w:val="17"/>
              </w:rPr>
              <w:t xml:space="preserve">, </w:t>
            </w:r>
            <w:r>
              <w:rPr>
                <w:rFonts w:ascii="Consolas" w:hAnsi="Consolas"/>
                <w:i w:val="0"/>
                <w:color w:val="B91C1C"/>
                <w:sz w:val="15"/>
              </w:rPr>
              <w:t>rolling_median_30d</w:t>
            </w:r>
            <w:r>
              <w:rPr>
                <w:rFonts w:ascii="Arial" w:hAnsi="Arial"/>
                <w:i w:val="0"/>
                <w:color w:val="1F2937"/>
                <w:sz w:val="17"/>
              </w:rPr>
              <w:t xml:space="preserve">, </w:t>
            </w:r>
            <w:r>
              <w:rPr>
                <w:rFonts w:ascii="Consolas" w:hAnsi="Consolas"/>
                <w:i w:val="0"/>
                <w:color w:val="B91C1C"/>
                <w:sz w:val="15"/>
              </w:rPr>
              <w:t>rolling_median_60d</w:t>
            </w:r>
            <w:r>
              <w:rPr>
                <w:rFonts w:ascii="Arial" w:hAnsi="Arial"/>
                <w:i w:val="0"/>
                <w:color w:val="1F2937"/>
                <w:sz w:val="17"/>
              </w:rPr>
              <w:t xml:space="preserve">, </w:t>
            </w:r>
            <w:r>
              <w:rPr>
                <w:rFonts w:ascii="Consolas" w:hAnsi="Consolas"/>
                <w:i w:val="0"/>
                <w:color w:val="B91C1C"/>
                <w:sz w:val="15"/>
              </w:rPr>
              <w:t>rolling_median_90d</w:t>
            </w:r>
            <w:r>
              <w:rPr>
                <w:rFonts w:ascii="Arial" w:hAnsi="Arial"/>
                <w:i w:val="0"/>
                <w:color w:val="1F2937"/>
                <w:sz w:val="17"/>
              </w:rPr>
              <w:t xml:space="preserve">, </w:t>
            </w:r>
            <w:r>
              <w:rPr>
                <w:rFonts w:ascii="Consolas" w:hAnsi="Consolas"/>
                <w:i w:val="0"/>
                <w:color w:val="B91C1C"/>
                <w:sz w:val="15"/>
              </w:rPr>
              <w:t>rolling_median_180d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7–180 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$\text{Median}\{c_{t-W+1}, \dots, c_t\}$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Robust central tendency resilient to isolated extreme spikes.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Rolling Stds</w:t>
            </w:r>
            <w:r>
              <w:rPr>
                <w:rFonts w:ascii="Arial" w:hAnsi="Arial"/>
                <w:i w:val="0"/>
                <w:color w:val="1F2937"/>
                <w:sz w:val="17"/>
              </w:rPr>
              <w:t xml:space="preserve"> (6)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rolling_std_7d</w:t>
            </w:r>
            <w:r>
              <w:rPr>
                <w:rFonts w:ascii="Arial" w:hAnsi="Arial"/>
                <w:i w:val="0"/>
                <w:color w:val="1F2937"/>
                <w:sz w:val="17"/>
              </w:rPr>
              <w:t xml:space="preserve">, </w:t>
            </w:r>
            <w:r>
              <w:rPr>
                <w:rFonts w:ascii="Consolas" w:hAnsi="Consolas"/>
                <w:i w:val="0"/>
                <w:color w:val="B91C1C"/>
                <w:sz w:val="15"/>
              </w:rPr>
              <w:t>rolling_std_14d</w:t>
            </w:r>
            <w:r>
              <w:rPr>
                <w:rFonts w:ascii="Arial" w:hAnsi="Arial"/>
                <w:i w:val="0"/>
                <w:color w:val="1F2937"/>
                <w:sz w:val="17"/>
              </w:rPr>
              <w:t xml:space="preserve">, </w:t>
            </w:r>
            <w:r>
              <w:rPr>
                <w:rFonts w:ascii="Consolas" w:hAnsi="Consolas"/>
                <w:i w:val="0"/>
                <w:color w:val="B91C1C"/>
                <w:sz w:val="15"/>
              </w:rPr>
              <w:t>rolling_std_30d</w:t>
            </w:r>
            <w:r>
              <w:rPr>
                <w:rFonts w:ascii="Arial" w:hAnsi="Arial"/>
                <w:i w:val="0"/>
                <w:color w:val="1F2937"/>
                <w:sz w:val="17"/>
              </w:rPr>
              <w:t xml:space="preserve">, </w:t>
            </w:r>
            <w:r>
              <w:rPr>
                <w:rFonts w:ascii="Consolas" w:hAnsi="Consolas"/>
                <w:i w:val="0"/>
                <w:color w:val="B91C1C"/>
                <w:sz w:val="15"/>
              </w:rPr>
              <w:t>rolling_std_60d</w:t>
            </w:r>
            <w:r>
              <w:rPr>
                <w:rFonts w:ascii="Arial" w:hAnsi="Arial"/>
                <w:i w:val="0"/>
                <w:color w:val="1F2937"/>
                <w:sz w:val="17"/>
              </w:rPr>
              <w:t xml:space="preserve">, </w:t>
            </w:r>
            <w:r>
              <w:rPr>
                <w:rFonts w:ascii="Consolas" w:hAnsi="Consolas"/>
                <w:i w:val="0"/>
                <w:color w:val="B91C1C"/>
                <w:sz w:val="15"/>
              </w:rPr>
              <w:t>rolling_std_90d</w:t>
            </w:r>
            <w:r>
              <w:rPr>
                <w:rFonts w:ascii="Arial" w:hAnsi="Arial"/>
                <w:i w:val="0"/>
                <w:color w:val="1F2937"/>
                <w:sz w:val="17"/>
              </w:rPr>
              <w:t xml:space="preserve">, </w:t>
            </w:r>
            <w:r>
              <w:rPr>
                <w:rFonts w:ascii="Consolas" w:hAnsi="Consolas"/>
                <w:i w:val="0"/>
                <w:color w:val="B91C1C"/>
                <w:sz w:val="15"/>
              </w:rPr>
              <w:t>rolling_std_180d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7–180 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$\sigma_W(t) = \sqrt{\frac{1}{W-1} \sum (c_{t-k} - \mu_W)^2}$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Detects sudden collapses in consumer volatility.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Rolling Min/Max</w:t>
            </w:r>
            <w:r>
              <w:rPr>
                <w:rFonts w:ascii="Arial" w:hAnsi="Arial"/>
                <w:i w:val="0"/>
                <w:color w:val="1F2937"/>
                <w:sz w:val="17"/>
              </w:rPr>
              <w:t xml:space="preserve"> (8)</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rolling_min_7d</w:t>
            </w:r>
            <w:r>
              <w:rPr>
                <w:rFonts w:ascii="Arial" w:hAnsi="Arial"/>
                <w:i w:val="0"/>
                <w:color w:val="1F2937"/>
                <w:sz w:val="17"/>
              </w:rPr>
              <w:t xml:space="preserve">, </w:t>
            </w:r>
            <w:r>
              <w:rPr>
                <w:rFonts w:ascii="Consolas" w:hAnsi="Consolas"/>
                <w:i w:val="0"/>
                <w:color w:val="B91C1C"/>
                <w:sz w:val="15"/>
              </w:rPr>
              <w:t>rolling_max_7d</w:t>
            </w:r>
            <w:r>
              <w:rPr>
                <w:rFonts w:ascii="Arial" w:hAnsi="Arial"/>
                <w:i w:val="0"/>
                <w:color w:val="1F2937"/>
                <w:sz w:val="17"/>
              </w:rPr>
              <w:t xml:space="preserve">, </w:t>
            </w:r>
            <w:r>
              <w:rPr>
                <w:rFonts w:ascii="Consolas" w:hAnsi="Consolas"/>
                <w:i w:val="0"/>
                <w:color w:val="B91C1C"/>
                <w:sz w:val="15"/>
              </w:rPr>
              <w:t>rolling_min_30d</w:t>
            </w:r>
            <w:r>
              <w:rPr>
                <w:rFonts w:ascii="Arial" w:hAnsi="Arial"/>
                <w:i w:val="0"/>
                <w:color w:val="1F2937"/>
                <w:sz w:val="17"/>
              </w:rPr>
              <w:t xml:space="preserve">, </w:t>
            </w:r>
            <w:r>
              <w:rPr>
                <w:rFonts w:ascii="Consolas" w:hAnsi="Consolas"/>
                <w:i w:val="0"/>
                <w:color w:val="B91C1C"/>
                <w:sz w:val="15"/>
              </w:rPr>
              <w:t>rolling_max_30d</w:t>
            </w:r>
            <w:r>
              <w:rPr>
                <w:rFonts w:ascii="Arial" w:hAnsi="Arial"/>
                <w:i w:val="0"/>
                <w:color w:val="1F2937"/>
                <w:sz w:val="17"/>
              </w:rPr>
              <w:t xml:space="preserve">, </w:t>
            </w:r>
            <w:r>
              <w:rPr>
                <w:rFonts w:ascii="Consolas" w:hAnsi="Consolas"/>
                <w:i w:val="0"/>
                <w:color w:val="B91C1C"/>
                <w:sz w:val="15"/>
              </w:rPr>
              <w:t>rolling_min_90d</w:t>
            </w:r>
            <w:r>
              <w:rPr>
                <w:rFonts w:ascii="Arial" w:hAnsi="Arial"/>
                <w:i w:val="0"/>
                <w:color w:val="1F2937"/>
                <w:sz w:val="17"/>
              </w:rPr>
              <w:t xml:space="preserve">, </w:t>
            </w:r>
            <w:r>
              <w:rPr>
                <w:rFonts w:ascii="Consolas" w:hAnsi="Consolas"/>
                <w:i w:val="0"/>
                <w:color w:val="B91C1C"/>
                <w:sz w:val="15"/>
              </w:rPr>
              <w:t>rolling_max_90d</w:t>
            </w:r>
            <w:r>
              <w:rPr>
                <w:rFonts w:ascii="Arial" w:hAnsi="Arial"/>
                <w:i w:val="0"/>
                <w:color w:val="1F2937"/>
                <w:sz w:val="17"/>
              </w:rPr>
              <w:t xml:space="preserve">, </w:t>
            </w:r>
            <w:r>
              <w:rPr>
                <w:rFonts w:ascii="Consolas" w:hAnsi="Consolas"/>
                <w:i w:val="0"/>
                <w:color w:val="B91C1C"/>
                <w:sz w:val="15"/>
              </w:rPr>
              <w:t>rolling_min_180d</w:t>
            </w:r>
            <w:r>
              <w:rPr>
                <w:rFonts w:ascii="Arial" w:hAnsi="Arial"/>
                <w:i w:val="0"/>
                <w:color w:val="1F2937"/>
                <w:sz w:val="17"/>
              </w:rPr>
              <w:t xml:space="preserve">, </w:t>
            </w:r>
            <w:r>
              <w:rPr>
                <w:rFonts w:ascii="Consolas" w:hAnsi="Consolas"/>
                <w:i w:val="0"/>
                <w:color w:val="B91C1C"/>
                <w:sz w:val="15"/>
              </w:rPr>
              <w:t>rolling_max_180d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7–180 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$\min_{k} c_{t-k}$, $\max_{k} c_{t-k}$</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Tracks envelope bounds and maximum physical load capacity.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Baseline Deficit Ratios</w:t>
            </w:r>
            <w:r>
              <w:rPr>
                <w:rFonts w:ascii="Arial" w:hAnsi="Arial"/>
                <w:i w:val="0"/>
                <w:color w:val="1F2937"/>
                <w:sz w:val="17"/>
              </w:rPr>
              <w:t xml:space="preserve"> (6)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baseline_ratio_7_30</w:t>
            </w:r>
            <w:r>
              <w:rPr>
                <w:rFonts w:ascii="Arial" w:hAnsi="Arial"/>
                <w:i w:val="0"/>
                <w:color w:val="1F2937"/>
                <w:sz w:val="17"/>
              </w:rPr>
              <w:t xml:space="preserve">, </w:t>
            </w:r>
            <w:r>
              <w:rPr>
                <w:rFonts w:ascii="Consolas" w:hAnsi="Consolas"/>
                <w:i w:val="0"/>
                <w:color w:val="B91C1C"/>
                <w:sz w:val="15"/>
              </w:rPr>
              <w:t>baseline_ratio_7_90</w:t>
            </w:r>
            <w:r>
              <w:rPr>
                <w:rFonts w:ascii="Arial" w:hAnsi="Arial"/>
                <w:i w:val="0"/>
                <w:color w:val="1F2937"/>
                <w:sz w:val="17"/>
              </w:rPr>
              <w:t xml:space="preserve">, </w:t>
            </w:r>
            <w:r>
              <w:rPr>
                <w:rFonts w:ascii="Consolas" w:hAnsi="Consolas"/>
                <w:i w:val="0"/>
                <w:color w:val="B91C1C"/>
                <w:sz w:val="15"/>
              </w:rPr>
              <w:t>baseline_ratio_14_60</w:t>
            </w:r>
            <w:r>
              <w:rPr>
                <w:rFonts w:ascii="Arial" w:hAnsi="Arial"/>
                <w:i w:val="0"/>
                <w:color w:val="1F2937"/>
                <w:sz w:val="17"/>
              </w:rPr>
              <w:t xml:space="preserve">, </w:t>
            </w:r>
            <w:r>
              <w:rPr>
                <w:rFonts w:ascii="Consolas" w:hAnsi="Consolas"/>
                <w:i w:val="0"/>
                <w:color w:val="B91C1C"/>
                <w:sz w:val="15"/>
              </w:rPr>
              <w:t>baseline_ratio_30_90</w:t>
            </w:r>
            <w:r>
              <w:rPr>
                <w:rFonts w:ascii="Arial" w:hAnsi="Arial"/>
                <w:i w:val="0"/>
                <w:color w:val="1F2937"/>
                <w:sz w:val="17"/>
              </w:rPr>
              <w:t xml:space="preserve">, </w:t>
            </w:r>
            <w:r>
              <w:rPr>
                <w:rFonts w:ascii="Consolas" w:hAnsi="Consolas"/>
                <w:i w:val="0"/>
                <w:color w:val="B91C1C"/>
                <w:sz w:val="15"/>
              </w:rPr>
              <w:t>baseline_ratio_30_180</w:t>
            </w:r>
            <w:r>
              <w:rPr>
                <w:rFonts w:ascii="Arial" w:hAnsi="Arial"/>
                <w:i w:val="0"/>
                <w:color w:val="1F2937"/>
                <w:sz w:val="17"/>
              </w:rPr>
              <w:t xml:space="preserve">, </w:t>
            </w:r>
            <w:r>
              <w:rPr>
                <w:rFonts w:ascii="Consolas" w:hAnsi="Consolas"/>
                <w:i w:val="0"/>
                <w:color w:val="B91C1C"/>
                <w:sz w:val="15"/>
              </w:rPr>
              <w:t>baseline_ratio_60_180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Pairs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$\rho_{W_1, W_2}(t) = \frac{\mu_{W_1}(t)}{\mu_{W_2}(t) + \epsilon}$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Primary indicator of sudden, sustained drops in demand.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Variability Indicators</w:t>
            </w:r>
            <w:r>
              <w:rPr>
                <w:rFonts w:ascii="Arial" w:hAnsi="Arial"/>
                <w:i w:val="0"/>
                <w:color w:val="1F2937"/>
                <w:sz w:val="17"/>
              </w:rPr>
              <w:t xml:space="preserve"> (5)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cv_30d</w:t>
            </w:r>
            <w:r>
              <w:rPr>
                <w:rFonts w:ascii="Arial" w:hAnsi="Arial"/>
                <w:i w:val="0"/>
                <w:color w:val="1F2937"/>
                <w:sz w:val="17"/>
              </w:rPr>
              <w:t xml:space="preserve">, </w:t>
            </w:r>
            <w:r>
              <w:rPr>
                <w:rFonts w:ascii="Consolas" w:hAnsi="Consolas"/>
                <w:i w:val="0"/>
                <w:color w:val="B91C1C"/>
                <w:sz w:val="15"/>
              </w:rPr>
              <w:t>cv_90d</w:t>
            </w:r>
            <w:r>
              <w:rPr>
                <w:rFonts w:ascii="Arial" w:hAnsi="Arial"/>
                <w:i w:val="0"/>
                <w:color w:val="1F2937"/>
                <w:sz w:val="17"/>
              </w:rPr>
              <w:t xml:space="preserve">, </w:t>
            </w:r>
            <w:r>
              <w:rPr>
                <w:rFonts w:ascii="Consolas" w:hAnsi="Consolas"/>
                <w:i w:val="0"/>
                <w:color w:val="B91C1C"/>
                <w:sz w:val="15"/>
              </w:rPr>
              <w:t>iqr_30d</w:t>
            </w:r>
            <w:r>
              <w:rPr>
                <w:rFonts w:ascii="Arial" w:hAnsi="Arial"/>
                <w:i w:val="0"/>
                <w:color w:val="1F2937"/>
                <w:sz w:val="17"/>
              </w:rPr>
              <w:t xml:space="preserve">, </w:t>
            </w:r>
            <w:r>
              <w:rPr>
                <w:rFonts w:ascii="Consolas" w:hAnsi="Consolas"/>
                <w:i w:val="0"/>
                <w:color w:val="B91C1C"/>
                <w:sz w:val="15"/>
              </w:rPr>
              <w:t>skewness_90d</w:t>
            </w:r>
            <w:r>
              <w:rPr>
                <w:rFonts w:ascii="Arial" w:hAnsi="Arial"/>
                <w:i w:val="0"/>
                <w:color w:val="1F2937"/>
                <w:sz w:val="17"/>
              </w:rPr>
              <w:t xml:space="preserve">, </w:t>
            </w:r>
            <w:r>
              <w:rPr>
                <w:rFonts w:ascii="Consolas" w:hAnsi="Consolas"/>
                <w:i w:val="0"/>
                <w:color w:val="B91C1C"/>
                <w:sz w:val="15"/>
              </w:rPr>
              <w:t>kurtosis_90d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30–90 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$CV = \frac{\sigma_W}{\mu_W + \epsilon}$, $IQR = Q_{0.75} - Q_{0.25}$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Quantifies flattening of diurnal energy profiles.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Domain Signatures</w:t>
            </w:r>
            <w:r>
              <w:rPr>
                <w:rFonts w:ascii="Arial" w:hAnsi="Arial"/>
                <w:i w:val="0"/>
                <w:color w:val="1F2937"/>
                <w:sz w:val="17"/>
              </w:rPr>
              <w:t xml:space="preserve"> (3)</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flatline_score_30d</w:t>
            </w:r>
            <w:r>
              <w:rPr>
                <w:rFonts w:ascii="Arial" w:hAnsi="Arial"/>
                <w:i w:val="0"/>
                <w:color w:val="1F2937"/>
                <w:sz w:val="17"/>
              </w:rPr>
              <w:t xml:space="preserve">, </w:t>
            </w:r>
            <w:r>
              <w:rPr>
                <w:rFonts w:ascii="Consolas" w:hAnsi="Consolas"/>
                <w:i w:val="0"/>
                <w:color w:val="B91C1C"/>
                <w:sz w:val="15"/>
              </w:rPr>
              <w:t>drop_severity_index</w:t>
            </w:r>
            <w:r>
              <w:rPr>
                <w:rFonts w:ascii="Arial" w:hAnsi="Arial"/>
                <w:i w:val="0"/>
                <w:color w:val="1F2937"/>
                <w:sz w:val="17"/>
              </w:rPr>
              <w:t xml:space="preserve">, </w:t>
            </w:r>
            <w:r>
              <w:rPr>
                <w:rFonts w:ascii="Consolas" w:hAnsi="Consolas"/>
                <w:i w:val="0"/>
                <w:color w:val="B91C1C"/>
                <w:sz w:val="15"/>
              </w:rPr>
              <w:t>zero_streak_ratio_90d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30–90 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Normalized variance deficit &amp; run-length severity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Heuristic indicators tailored to physical meter bypassing.</w:t>
            </w:r>
          </w:p>
        </w:tc>
      </w:tr>
    </w:tbl>
    <w:p>
      <w:pPr>
        <w:spacing w:before="40" w:after="80"/>
      </w:pPr>
    </w:p>
    <w:p>
      <w:pPr>
        <w:pStyle w:val="Heading2"/>
      </w:pPr>
      <w:r>
        <w:t>17.4 Financial Model Parameter Schema</w:t>
      </w:r>
    </w:p>
    <w:p>
      <w:pPr/>
      <w:r>
        <w:rPr>
          <w:rFonts w:ascii="Arial" w:hAnsi="Arial"/>
          <w:i w:val="0"/>
          <w:color w:val="1F2937"/>
          <w:sz w:val="21"/>
        </w:rPr>
        <w:t>Economic decision calculations consume consumer-specific and utility-wide financial parameters: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Variable Name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Symbol</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Default Value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Source / Determination</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Operational Meaning</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tariff_rate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$\$0.15$ / kWh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Utility standard commercial/residential tariff</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Rate applied to unmetered energy volume.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baseline_consumption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$\mu_{\text{base}, 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Consumer Specific</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Rolling 90-day pre-drop mean (kWh/day)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Expected legitimate daily consumption volume.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observed_consumption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$c_{\text{obs}, i}$</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Consumer Specific</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Current rolling 30-day mean (kWh/day)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Actual registered daily consumption volume.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daily_loss_volume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$\Delta c_i$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Derived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$\max(0, \mu_{\text{base}, i} - c_{\text{obs}, i})$</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Estimated daily unmetered energy leakage.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tamper_duration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$T_{\text{loss}}$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180 days (Config)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Historical changepoint window</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Duration of active unmetered leakage.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recoverable_ratio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$\eta$</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$0.80$ ($80\%$)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Utility legal/enforcement recovery factor</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Proportion of unmetered energy billable upon audit.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dispatch_cost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$C_{\text{dispatch}}$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Fixed fleet operational inspection fee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Crew vehicle, labor, and testing overhead.</w:t>
            </w:r>
          </w:p>
        </w:tc>
      </w:tr>
    </w:tbl>
    <w:p>
      <w:pPr>
        <w:spacing w:before="40" w:after="80"/>
      </w:pPr>
    </w:p>
    <w:p>
      <w:pPr>
        <w:pStyle w:val="Heading2"/>
      </w:pPr>
      <w:r>
        <w:t>17.5 Production REST API Request &amp; Response Schemas</w:t>
      </w:r>
    </w:p>
    <w:p>
      <w:pPr/>
      <w:r>
        <w:rPr>
          <w:rFonts w:ascii="Arial" w:hAnsi="Arial"/>
          <w:i w:val="0"/>
          <w:color w:val="1F2937"/>
          <w:sz w:val="21"/>
        </w:rPr>
        <w:t>The communication contract between client systems, the Streamlit dashboard, and the FastAPI inference engine is formalized through Pydantic schemas:</w:t>
      </w:r>
    </w:p>
    <w:p>
      <w:pPr>
        <w:pStyle w:val="Heading3"/>
      </w:pPr>
      <w:r>
        <w:t>1. Single-Meter Prediction Request Schema (`POST /api/v1/predict/meter`)</w:t>
      </w:r>
    </w:p>
    <w:p>
      <w:pPr>
        <w:keepNext/>
        <w:spacing w:before="160" w:after="40"/>
      </w:pPr>
      <w:r>
        <w:rPr>
          <w:rFonts w:ascii="Consolas" w:hAnsi="Consolas"/>
          <w:b/>
          <w:color w:val="2563EB"/>
          <w:sz w:val="17"/>
        </w:rPr>
        <w:t>[JSON]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w:t>
              <w:br/>
              <w:t xml:space="preserve">  "$schema": "http://json-schema.org/draft-07/schema#",</w:t>
              <w:br/>
              <w:t xml:space="preserve">  "title": "MeterPredictionRequest",</w:t>
              <w:br/>
              <w:t xml:space="preserve">  "type": "object",</w:t>
              <w:br/>
              <w:t xml:space="preserve">  "properties": {</w:t>
              <w:br/>
              <w:t xml:space="preserve">    "meter_id": { "type": "string", "description": "Unique identifier of the physical meter" },</w:t>
              <w:br/>
              <w:t xml:space="preserve">    "consumption_history": {</w:t>
              <w:br/>
              <w:t xml:space="preserve">      "type": "array",</w:t>
              <w:br/>
              <w:t xml:space="preserve">      "items": { "type": "number", "minimum": 0.0 },</w:t>
              <w:br/>
              <w:t xml:space="preserve">      "minItems": 30,</w:t>
              <w:br/>
              <w:t xml:space="preserve">      "maxItems": 180,</w:t>
              <w:br/>
              <w:t xml:space="preserve">      "description": "Daily active energy consumption readings in kWh (ordered chronologically)"</w:t>
              <w:br/>
              <w:t xml:space="preserve">    },</w:t>
              <w:br/>
              <w:t xml:space="preserve">    "tariff_per_kwh": { "type": "number", "minimum": 0.01, "default": 0.15 },</w:t>
              <w:br/>
              <w:t xml:space="preserve">    "dispatch_cost": { "type": "number", "minimum": 1.0, "default": 100.0 },</w:t>
              <w:br/>
              <w:t xml:space="preserve">    "include_explanation": { "type": "boolean", "default": true }</w:t>
              <w:br/>
              <w:t xml:space="preserve">  },</w:t>
              <w:br/>
              <w:t xml:space="preserve">  "required": ["meter_id", "consumption_history"]</w:t>
              <w:br/>
              <w:t>}</w:t>
            </w:r>
          </w:p>
        </w:tc>
      </w:tr>
    </w:tbl>
    <w:p>
      <w:pPr>
        <w:spacing w:before="0" w:after="80"/>
      </w:pPr>
    </w:p>
    <w:p>
      <w:pPr>
        <w:pStyle w:val="Heading3"/>
      </w:pPr>
      <w:r>
        <w:t>2. Single-Meter Prediction Response Schema (`200 OK`)</w:t>
      </w:r>
    </w:p>
    <w:p>
      <w:pPr>
        <w:keepNext/>
        <w:spacing w:before="160" w:after="40"/>
      </w:pPr>
      <w:r>
        <w:rPr>
          <w:rFonts w:ascii="Consolas" w:hAnsi="Consolas"/>
          <w:b/>
          <w:color w:val="2563EB"/>
          <w:sz w:val="17"/>
        </w:rPr>
        <w:t>[JSON]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w:t>
              <w:br/>
              <w:t xml:space="preserve">  "$schema": "http://json-schema.org/draft-07/schema#",</w:t>
              <w:br/>
              <w:t xml:space="preserve">  "title": "MeterPredictionResponse",</w:t>
              <w:br/>
              <w:t xml:space="preserve">  "type": "object",</w:t>
              <w:br/>
              <w:t xml:space="preserve">  "properties": {</w:t>
              <w:br/>
              <w:t xml:space="preserve">    "meter_id": { "type": "string" },</w:t>
              <w:br/>
              <w:t xml:space="preserve">    "tamper_probability": { "type": "number", "minimum": 0.0, "maximum": 1.0 },</w:t>
              <w:br/>
              <w:t xml:space="preserve">    "dynamic_threshold_cost": { "type": "number" },</w:t>
              <w:br/>
              <w:t xml:space="preserve">    "dynamic_threshold_env": { "type": "number" },</w:t>
              <w:br/>
              <w:t xml:space="preserve">    "estimated_unmetered_kwh": { "type": "number" },</w:t>
              <w:br/>
              <w:t xml:space="preserve">    "recoverable_revenue_usd": { "type": "number" },</w:t>
              <w:br/>
              <w:t xml:space="preserve">    "expected_net_value_usd": { "type": "number" },</w:t>
              <w:br/>
              <w:t xml:space="preserve">    "decision": { "type": "string", "enum": ["DISPATCH_RECOMMENDED", "NO_DISPATCH"] },</w:t>
              <w:br/>
              <w:t xml:space="preserve">    "explanation": {</w:t>
              <w:br/>
              <w:t xml:space="preserve">      "type": "object",</w:t>
              <w:br/>
              <w:t xml:space="preserve">      "properties": {</w:t>
              <w:br/>
              <w:t xml:space="preserve">        "dominant_signature": { "type": "string" },</w:t>
              <w:br/>
              <w:t xml:space="preserve">        "narrative_summary": { "type": "string" },</w:t>
              <w:br/>
              <w:t xml:space="preserve">        "top_features": {</w:t>
              <w:br/>
              <w:t xml:space="preserve">          "type": "array",</w:t>
              <w:br/>
              <w:t xml:space="preserve">          "items": {</w:t>
              <w:br/>
              <w:t xml:space="preserve">            "type": "object",</w:t>
              <w:br/>
              <w:t xml:space="preserve">            "properties": {</w:t>
              <w:br/>
              <w:t xml:space="preserve">              "feature": { "type": "string" },</w:t>
              <w:br/>
              <w:t xml:space="preserve">              "shap_value": { "type": "number" },</w:t>
              <w:br/>
              <w:t xml:space="preserve">              "feature_value": { "type": "number" }</w:t>
              <w:br/>
              <w:t xml:space="preserve">            }</w:t>
              <w:br/>
              <w:t xml:space="preserve">          }</w:t>
              <w:br/>
              <w:t xml:space="preserve">        }</w:t>
              <w:br/>
              <w:t xml:space="preserve">      }</w:t>
              <w:br/>
              <w:t xml:space="preserve">    }</w:t>
              <w:br/>
              <w:t xml:space="preserve">  },</w:t>
              <w:br/>
              <w:t xml:space="preserve">  "required": ["meter_id", "tamper_probability", "expected_net_value_usd", "decision"]</w:t>
              <w:br/>
              <w:t>}</w:t>
            </w:r>
          </w:p>
        </w:tc>
      </w:tr>
    </w:tbl>
    <w:p>
      <w:pPr>
        <w:spacing w:before="0" w:after="80"/>
      </w:pPr>
    </w:p>
    <w:p>
      <w:pPr>
        <w:pStyle w:val="Heading2"/>
      </w:pPr>
      <w:r>
        <w:t>17.6 Prioritized Inspection Ticket Schema</w:t>
      </w:r>
    </w:p>
    <w:p>
      <w:pPr/>
      <w:r>
        <w:rPr>
          <w:rFonts w:ascii="Arial" w:hAnsi="Arial"/>
          <w:i w:val="0"/>
          <w:color w:val="1F2937"/>
          <w:sz w:val="21"/>
        </w:rPr>
        <w:t xml:space="preserve">The output generated by the decision engine for field crews is formalized in the </w:t>
      </w:r>
      <w:r>
        <w:rPr>
          <w:rFonts w:ascii="Consolas" w:hAnsi="Consolas"/>
          <w:i w:val="0"/>
          <w:color w:val="B91C1C"/>
          <w:sz w:val="19"/>
        </w:rPr>
        <w:t>InspectionTicket</w:t>
      </w:r>
      <w:r>
        <w:rPr>
          <w:rFonts w:ascii="Arial" w:hAnsi="Arial"/>
          <w:i w:val="0"/>
          <w:color w:val="1F2937"/>
          <w:sz w:val="21"/>
        </w:rPr>
        <w:t xml:space="preserve"> schema: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Schema Field Name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Data Type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Nullable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Example Value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Description</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ticket_id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TKT-2026-M4821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Unique tracking identifier for utility dispatch.</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meter_id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MTR_004821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Target meter identifier installed in field.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priority_rank</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Integer</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Integer ranking in descending order of ENV.</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tamper_probability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0.8942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Posterior probability from cost-sensitive LightGBM.</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dynamic_threshold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0.0451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Consumer-specific breakeven threshold ($\tau_{\text{env}, i}$).</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estimated_leakage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2,450.00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Estimated unmetered energy volume (kWh).</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recoverable_revenue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$\$2,940.00$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Billable unmetered revenue at full legal recovery.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dispatch_cost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$\$100.00$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Fixed cost to deploy field technician crew.</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expected_net_value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Float32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$\$2,528.94$</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Net economic yield of dispatch ($p_i R_i - C_{\text{dispatch}}$).</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decision_status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DISPATCH_RECOMMENDED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Action: </w:t>
            </w:r>
            <w:r>
              <w:rPr>
                <w:rFonts w:ascii="Consolas" w:hAnsi="Consolas"/>
                <w:i w:val="0"/>
                <w:color w:val="B91C1C"/>
                <w:sz w:val="15"/>
              </w:rPr>
              <w:t>DISPATCH_RECOMMENDED</w:t>
            </w:r>
            <w:r>
              <w:rPr>
                <w:rFonts w:ascii="Arial" w:hAnsi="Arial"/>
                <w:i w:val="0"/>
                <w:color w:val="1F2937"/>
                <w:sz w:val="17"/>
              </w:rPr>
              <w:t xml:space="preserve"> or </w:t>
            </w:r>
            <w:r>
              <w:rPr>
                <w:rFonts w:ascii="Consolas" w:hAnsi="Consolas"/>
                <w:i w:val="0"/>
                <w:color w:val="B91C1C"/>
                <w:sz w:val="15"/>
              </w:rPr>
              <w:t>NO_DISPATCH</w:t>
            </w:r>
            <w:r>
              <w:rPr>
                <w:rFonts w:ascii="Arial" w:hAnsi="Arial"/>
                <w:i w:val="0"/>
                <w:color w:val="1F2937"/>
                <w:sz w:val="17"/>
              </w:rPr>
              <w:t>.</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dominant_signature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SUSTAINED_DROP</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Physical tampering archetype matched via SHAP.</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explanation_summary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String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"Drop in baseline ratio..."</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Concise narrative synthesized for field technicians.</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18. DATA FLOW REPRESENTATION</w:t>
      </w:r>
    </w:p>
    <w:p>
      <w:pPr>
        <w:pStyle w:val="Heading2"/>
      </w:pPr>
      <w:r>
        <w:t>18.1 High-Level Data Transformation Lifecycle</w:t>
      </w:r>
    </w:p>
    <w:p>
      <w:pPr/>
      <w:r>
        <w:rPr>
          <w:rFonts w:ascii="Arial" w:hAnsi="Arial"/>
          <w:i w:val="0"/>
          <w:color w:val="1F2937"/>
          <w:sz w:val="21"/>
        </w:rPr>
        <w:t>The flow of data through Grid-Guard transitions through three distinct operational boundaries:</w:t>
      </w:r>
    </w:p>
    <w:p>
      <w:pPr>
        <w:spacing w:before="40" w:after="40" w:line="288" w:lineRule="auto"/>
        <w:ind w:left="432" w:hanging="288"/>
      </w:pPr>
      <w:r>
        <w:rPr>
          <w:b/>
          <w:color w:val="1E3A8A"/>
        </w:rPr>
        <w:t xml:space="preserve">1. </w:t>
      </w:r>
      <w:r>
        <w:rPr>
          <w:rFonts w:ascii="Arial" w:hAnsi="Arial"/>
          <w:b/>
          <w:i w:val="0"/>
          <w:color w:val="1F2937"/>
          <w:sz w:val="21"/>
        </w:rPr>
        <w:t>The Telemetry Boundary</w:t>
      </w:r>
      <w:r>
        <w:rPr>
          <w:rFonts w:ascii="Arial" w:hAnsi="Arial"/>
          <w:i w:val="0"/>
          <w:color w:val="1F2937"/>
          <w:sz w:val="21"/>
        </w:rPr>
        <w:t>: Ingestion, validation, and historical time-series alignment.</w:t>
      </w:r>
    </w:p>
    <w:p>
      <w:pPr>
        <w:spacing w:before="40" w:after="40" w:line="288" w:lineRule="auto"/>
        <w:ind w:left="432" w:hanging="288"/>
      </w:pPr>
      <w:r>
        <w:rPr>
          <w:b/>
          <w:color w:val="1E3A8A"/>
        </w:rPr>
        <w:t xml:space="preserve">2. </w:t>
      </w:r>
      <w:r>
        <w:rPr>
          <w:rFonts w:ascii="Arial" w:hAnsi="Arial"/>
          <w:b/>
          <w:i w:val="0"/>
          <w:color w:val="1F2937"/>
          <w:sz w:val="21"/>
        </w:rPr>
        <w:t>The Predictive Boundary</w:t>
      </w:r>
      <w:r>
        <w:rPr>
          <w:rFonts w:ascii="Arial" w:hAnsi="Arial"/>
          <w:i w:val="0"/>
          <w:color w:val="1F2937"/>
          <w:sz w:val="21"/>
        </w:rPr>
        <w:t>: Feature generation, cost-sensitive matrix multiplication, and probability inference.</w:t>
      </w:r>
    </w:p>
    <w:p>
      <w:pPr>
        <w:spacing w:before="40" w:after="40" w:line="288" w:lineRule="auto"/>
        <w:ind w:left="432" w:hanging="288"/>
      </w:pPr>
      <w:r>
        <w:rPr>
          <w:b/>
          <w:color w:val="1E3A8A"/>
        </w:rPr>
        <w:t xml:space="preserve">3. </w:t>
      </w:r>
      <w:r>
        <w:rPr>
          <w:rFonts w:ascii="Arial" w:hAnsi="Arial"/>
          <w:b/>
          <w:i w:val="0"/>
          <w:color w:val="1F2937"/>
          <w:sz w:val="21"/>
        </w:rPr>
        <w:t>The Operational Boundary</w:t>
      </w:r>
      <w:r>
        <w:rPr>
          <w:rFonts w:ascii="Arial" w:hAnsi="Arial"/>
          <w:i w:val="0"/>
          <w:color w:val="1F2937"/>
          <w:sz w:val="21"/>
        </w:rPr>
        <w:t>: Bayesian risk thresholding, expected value optimization, SHAP tree traversal, and ticket dispatch.</w:t>
      </w:r>
    </w:p>
    <w:p>
      <w:pPr>
        <w:pStyle w:val="Heading2"/>
      </w:pPr>
      <w:r>
        <w:t>18.2 Level 0 DFD (Context Diagram)</w:t>
      </w:r>
    </w:p>
    <w:p>
      <w:pPr/>
      <w:r>
        <w:rPr>
          <w:rFonts w:ascii="Arial" w:hAnsi="Arial"/>
          <w:i w:val="0"/>
          <w:color w:val="1F2937"/>
          <w:sz w:val="21"/>
        </w:rPr>
        <w:t>The Level 0 Data Flow Diagram illustrates Grid-Guard's interaction with external entities: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AMI["AMI Meter Infrastructure"] -- Daily kWh Telemetry --&gt; GG["(0) Grid-Guard System"]</w:t>
              <w:br/>
              <w:t xml:space="preserve">    TariffDB["Utility Billing &amp; Tariff DB"] -- Rate Schedules ($/kWh) --&gt; GG</w:t>
              <w:br/>
              <w:t xml:space="preserve">    OpsCrew["Field Crew Operations"] -- Capacity Limits &amp; Crew Costs --&gt; GG</w:t>
              <w:br/>
              <w:t xml:space="preserve">    </w:t>
              <w:br/>
              <w:t xml:space="preserve">    GG -- Prioritized Inspection Tickets --&gt; OpsCrew</w:t>
              <w:br/>
              <w:t xml:space="preserve">    GG -- Revenue Loss &amp; Performance Reports --&gt; ExecMgmt["Utility Executive Management"]</w:t>
              <w:br/>
              <w:t xml:space="preserve">    GG -- Tampering Proof &amp; SHAP Visuals --&gt; LegalDept["Revenue Protection &amp; Legal"]</w:t>
            </w:r>
          </w:p>
        </w:tc>
      </w:tr>
    </w:tbl>
    <w:p>
      <w:pPr>
        <w:spacing w:before="0" w:after="80"/>
      </w:pPr>
    </w:p>
    <w:p>
      <w:pPr>
        <w:pStyle w:val="Heading2"/>
      </w:pPr>
      <w:r>
        <w:t>18.3 Level 1 DFD (Subsystem Decomposition)</w:t>
      </w:r>
    </w:p>
    <w:p>
      <w:pPr/>
      <w:r>
        <w:rPr>
          <w:rFonts w:ascii="Arial" w:hAnsi="Arial"/>
          <w:i w:val="0"/>
          <w:color w:val="1F2937"/>
          <w:sz w:val="21"/>
        </w:rPr>
        <w:t>The Level 1 DFD decomposes the internal processing nodes of Grid-Guard:</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D1[("D1: Raw Telemetry Lake")]</w:t>
              <w:br/>
              <w:t xml:space="preserve">    D2[("D2: Clean Parquet Store")]</w:t>
              <w:br/>
              <w:t xml:space="preserve">    D3[("D3: Feature Store")]</w:t>
              <w:br/>
              <w:t xml:space="preserve">    D4[("D4: Model Registry")]</w:t>
              <w:br/>
              <w:t xml:space="preserve">    D5[("D5: Dispatch Queue DB")]</w:t>
              <w:br/>
              <w:br/>
              <w:t xml:space="preserve">    D1 --&gt; P1["1.0 Clean &amp; Impute Telemetry"]</w:t>
              <w:br/>
              <w:t xml:space="preserve">    P1 --&gt; D2</w:t>
              <w:br/>
              <w:t xml:space="preserve">    D2 --&gt; P2["2.0 Generate Causal Features"]</w:t>
              <w:br/>
              <w:t xml:space="preserve">    P2 --&gt; D3</w:t>
              <w:br/>
              <w:t xml:space="preserve">    </w:t>
              <w:br/>
              <w:t xml:space="preserve">    D3 --&gt; P3["3.0 Execute Cost-Sensitive Inference"]</w:t>
              <w:br/>
              <w:t xml:space="preserve">    D4 --&gt; P3</w:t>
              <w:br/>
              <w:t xml:space="preserve">    P3 --&gt; P4["4.0 Evaluate Financial Exposure &amp; ENV"]</w:t>
              <w:br/>
              <w:t xml:space="preserve">    </w:t>
              <w:br/>
              <w:t xml:space="preserve">    P4 --&gt; P5["5.0 Rank &amp; Filter Inspection Queue"]</w:t>
              <w:br/>
              <w:t xml:space="preserve">    P5 --&gt; D5</w:t>
              <w:br/>
              <w:t xml:space="preserve">    </w:t>
              <w:br/>
              <w:t xml:space="preserve">    D3 --&gt; P6["6.0 Generate Tree-SHAP Explanations"]</w:t>
              <w:br/>
              <w:t xml:space="preserve">    D4 --&gt; P6</w:t>
              <w:br/>
              <w:t xml:space="preserve">    P6 --&gt; P7["7.0 Compile Auditable Inspection Tickets"]</w:t>
              <w:br/>
              <w:t xml:space="preserve">    D5 --&gt; P7</w:t>
              <w:br/>
              <w:t xml:space="preserve">    P7 --&gt; OutQueue["External Field Dispatch API / UI"]</w:t>
            </w:r>
          </w:p>
        </w:tc>
      </w:tr>
    </w:tbl>
    <w:p>
      <w:pPr>
        <w:spacing w:before="0" w:after="80"/>
      </w:pPr>
    </w:p>
    <w:p>
      <w:pPr>
        <w:pStyle w:val="Heading2"/>
      </w:pPr>
      <w:r>
        <w:t>18.4 Level 2 DFD (Feature Pipeline &amp; Financial Decision Core)</w:t>
      </w:r>
    </w:p>
    <w:p>
      <w:pPr/>
      <w:r>
        <w:rPr>
          <w:rFonts w:ascii="Arial" w:hAnsi="Arial"/>
          <w:i w:val="0"/>
          <w:color w:val="1F2937"/>
          <w:sz w:val="21"/>
        </w:rPr>
        <w:t>The Level 2 DFD provides granular insight into the core processing mechanisms of Subsystems 2.0, 3.0, and 4.0:</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subgraph FeatGen["Subsystem 2.0: Causal Feature Engine"]</w:t>
              <w:br/>
              <w:t xml:space="preserve">        RawClean["Clean Telemetry Window [t-180, t]"] --&gt; LagGen["Compute Lags (1..30d)"]</w:t>
              <w:br/>
              <w:t xml:space="preserve">        RawClean --&gt; RollStats["Compute Rolling Means, Stds, Medians"]</w:t>
              <w:br/>
              <w:t xml:space="preserve">        RawClean --&gt; DeficitGen["Compute Baseline Deficit Ratios"]</w:t>
              <w:br/>
              <w:t xml:space="preserve">        LagGen --&gt; Assembler["Join Feature Vectors"]</w:t>
              <w:br/>
              <w:t xml:space="preserve">        RollStats --&gt; Assembler</w:t>
              <w:br/>
              <w:t xml:space="preserve">        DeficitGen --&gt; Assembler</w:t>
              <w:br/>
              <w:t xml:space="preserve">    end</w:t>
              <w:br/>
              <w:br/>
              <w:t xml:space="preserve">    subgraph DecisionCore["Subsystem 4.0: Financial Decision Engine"]</w:t>
              <w:br/>
              <w:t xml:space="preserve">        Assembler --&gt; BoosterInfer["Compute Posterior Probability p_i"]</w:t>
              <w:br/>
              <w:t xml:space="preserve">        BoosterInfer --&gt; ExposureCalc["Compute Baseline Consumption &amp; Loss Volume"]</w:t>
              <w:br/>
              <w:t xml:space="preserve">        ExposureCalc --&gt; RevenueCalc["Calculate Recoverable Revenue R_i = Delta_c * r * eta"]</w:t>
              <w:br/>
              <w:t xml:space="preserve">        RevenueCalc --&gt; ThreshCalc["Compute Dynamic Thresholds tau_cost and tau_env"]</w:t>
              <w:br/>
              <w:t xml:space="preserve">        RevenueCalc --&gt; ENVCalc["Evaluate ENV_i = p_i * R_i - C_dispatch"]</w:t>
              <w:br/>
              <w:t xml:space="preserve">        ENVCalc --&gt; FilterNode{"Is ENV_i &gt; 0?"}</w:t>
              <w:br/>
              <w:t xml:space="preserve">        FilterNode -- Yes --&gt; DispatchYes["Flag: DISPATCH_RECOMMENDED"]</w:t>
              <w:br/>
              <w:t xml:space="preserve">        FilterNode -- No --&gt; DispatchNo["Flag: REJECT_UNECONOMIC"]</w:t>
              <w:br/>
              <w:t xml:space="preserve">    end</w:t>
            </w:r>
          </w:p>
        </w:tc>
      </w:tr>
    </w:tbl>
    <w:p>
      <w:pPr>
        <w:spacing w:before="0" w:after="80"/>
      </w:pPr>
    </w:p>
    <w:p>
      <w:pPr>
        <w:spacing w:before="80" w:after="160"/>
      </w:pPr>
      <w:r>
        <w:rPr>
          <w:color w:val="E5E7EB"/>
          <w:sz w:val="16"/>
        </w:rPr>
        <w:t>_________________________________________________________________________________</w:t>
      </w:r>
    </w:p>
    <w:p>
      <w:r>
        <w:br w:type="page"/>
      </w:r>
    </w:p>
    <w:p>
      <w:pPr>
        <w:pStyle w:val="Heading1"/>
      </w:pPr>
      <w:r>
        <w:t>19. UML AND DESIGN DIAGRAMS</w:t>
      </w:r>
    </w:p>
    <w:p>
      <w:pPr>
        <w:pStyle w:val="Heading2"/>
      </w:pPr>
      <w:r>
        <w:t>19.1 UML Use Case Diagram</w:t>
      </w:r>
    </w:p>
    <w:p>
      <w:pPr/>
      <w:r>
        <w:rPr>
          <w:rFonts w:ascii="Arial" w:hAnsi="Arial"/>
          <w:i w:val="0"/>
          <w:color w:val="1F2937"/>
          <w:sz w:val="21"/>
        </w:rPr>
        <w:t>The Use Case Diagram defines the interactions between human/system actors and the functional capabilities of Grid-Guard:</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LR</w:t>
              <w:br/>
              <w:t xml:space="preserve">    Analyst["Utility Revenue Analyst"]</w:t>
              <w:br/>
              <w:t xml:space="preserve">    Inspector["Field Inspection Crew"]</w:t>
              <w:br/>
              <w:t xml:space="preserve">    Admin["System Administrator"]</w:t>
              <w:br/>
              <w:t xml:space="preserve">    Scheduler["Automated Batch Scheduler"]</w:t>
              <w:br/>
              <w:br/>
              <w:t xml:space="preserve">    subgraph GridGuardUseCases["Grid-Guard Enterprise Platform"]</w:t>
              <w:br/>
              <w:t xml:space="preserve">        UC1(("Ingest &amp; Validate Telemetry"))</w:t>
              <w:br/>
              <w:t xml:space="preserve">        UC2(("Run Fleet Risk Scoring"))</w:t>
              <w:br/>
              <w:t xml:space="preserve">        UC3(("Inspect Prioritized Queue"))</w:t>
              <w:br/>
              <w:t xml:space="preserve">        UC4(("Drilldown Single Meter SHAP"))</w:t>
              <w:br/>
              <w:t xml:space="preserve">        UC5(("Simulate Tampering Scenarios"))</w:t>
              <w:br/>
              <w:t xml:space="preserve">        UC6(("Download Auditable Work Order"))</w:t>
              <w:br/>
              <w:t xml:space="preserve">        UC7(("Configure Tariffs &amp; Costs"))</w:t>
              <w:br/>
              <w:t xml:space="preserve">        UC8(("Monitor API Health &amp; Latency"))</w:t>
              <w:br/>
              <w:t xml:space="preserve">    end</w:t>
              <w:br/>
              <w:br/>
              <w:t xml:space="preserve">    Scheduler --&gt; UC1</w:t>
              <w:br/>
              <w:t xml:space="preserve">    Scheduler --&gt; UC2</w:t>
              <w:br/>
              <w:t xml:space="preserve">    Analyst --&gt; UC3</w:t>
              <w:br/>
              <w:t xml:space="preserve">    Analyst --&gt; UC4</w:t>
              <w:br/>
              <w:t xml:space="preserve">    Analyst --&gt; UC5</w:t>
              <w:br/>
              <w:t xml:space="preserve">    Inspector --&gt; UC6</w:t>
              <w:br/>
              <w:t xml:space="preserve">    Admin --&gt; UC7</w:t>
              <w:br/>
              <w:t xml:space="preserve">    Admin --&gt; UC8</w:t>
            </w:r>
          </w:p>
        </w:tc>
      </w:tr>
    </w:tbl>
    <w:p>
      <w:pPr>
        <w:spacing w:before="0" w:after="80"/>
      </w:pPr>
    </w:p>
    <w:p>
      <w:pPr>
        <w:spacing w:before="20" w:after="40" w:line="288" w:lineRule="auto"/>
        <w:ind w:left="360" w:hanging="216"/>
      </w:pPr>
      <w:r>
        <w:rPr>
          <w:b/>
          <w:color w:val="2563EB"/>
        </w:rPr>
        <w:t xml:space="preserve">• </w:t>
      </w:r>
      <w:r>
        <w:rPr>
          <w:rFonts w:ascii="Arial" w:hAnsi="Arial"/>
          <w:b/>
          <w:i w:val="0"/>
          <w:color w:val="1F2937"/>
          <w:sz w:val="21"/>
        </w:rPr>
        <w:t>Utility Revenue Analyst</w:t>
      </w:r>
      <w:r>
        <w:rPr>
          <w:rFonts w:ascii="Arial" w:hAnsi="Arial"/>
          <w:i w:val="0"/>
          <w:color w:val="1F2937"/>
          <w:sz w:val="21"/>
        </w:rPr>
        <w:t>: Interacts with the dashboard to audit fleet-level risk distributions, evaluate expected net recovery across substations, drill down into high-exposure anomalous meters, and review SHAP waterfall attributions.</w:t>
      </w:r>
    </w:p>
    <w:p>
      <w:pPr>
        <w:spacing w:before="20" w:after="40" w:line="288" w:lineRule="auto"/>
        <w:ind w:left="360" w:hanging="216"/>
      </w:pPr>
      <w:r>
        <w:rPr>
          <w:b/>
          <w:color w:val="2563EB"/>
        </w:rPr>
        <w:t xml:space="preserve">• </w:t>
      </w:r>
      <w:r>
        <w:rPr>
          <w:rFonts w:ascii="Arial" w:hAnsi="Arial"/>
          <w:b/>
          <w:i w:val="0"/>
          <w:color w:val="1F2937"/>
          <w:sz w:val="21"/>
        </w:rPr>
        <w:t>Field Inspection Crew</w:t>
      </w:r>
      <w:r>
        <w:rPr>
          <w:rFonts w:ascii="Arial" w:hAnsi="Arial"/>
          <w:i w:val="0"/>
          <w:color w:val="1F2937"/>
          <w:sz w:val="21"/>
        </w:rPr>
        <w:t>: Receives the prioritized work-order tickets containing physical meter addresses, historical baseline deficit signatures, and estimated recoverable volumes, providing structured feedback post-audit.</w:t>
      </w:r>
    </w:p>
    <w:p>
      <w:pPr>
        <w:spacing w:before="20" w:after="40" w:line="288" w:lineRule="auto"/>
        <w:ind w:left="360" w:hanging="216"/>
      </w:pPr>
      <w:r>
        <w:rPr>
          <w:b/>
          <w:color w:val="2563EB"/>
        </w:rPr>
        <w:t xml:space="preserve">• </w:t>
      </w:r>
      <w:r>
        <w:rPr>
          <w:rFonts w:ascii="Arial" w:hAnsi="Arial"/>
          <w:b/>
          <w:i w:val="0"/>
          <w:color w:val="1F2937"/>
          <w:sz w:val="21"/>
        </w:rPr>
        <w:t>System Administrator</w:t>
      </w:r>
      <w:r>
        <w:rPr>
          <w:rFonts w:ascii="Arial" w:hAnsi="Arial"/>
          <w:i w:val="0"/>
          <w:color w:val="1F2937"/>
          <w:sz w:val="21"/>
        </w:rPr>
        <w:t>: Manages runtime configurations, tariff rate adjustments ($/kWh), operational dispatch crew costs ($C_{\text{dispatch}}$), API key allocations, and MLflow model version pinning.</w:t>
      </w:r>
    </w:p>
    <w:p>
      <w:pPr>
        <w:spacing w:before="20" w:after="40" w:line="288" w:lineRule="auto"/>
        <w:ind w:left="360" w:hanging="216"/>
      </w:pPr>
      <w:r>
        <w:rPr>
          <w:b/>
          <w:color w:val="2563EB"/>
        </w:rPr>
        <w:t xml:space="preserve">• </w:t>
      </w:r>
      <w:r>
        <w:rPr>
          <w:rFonts w:ascii="Arial" w:hAnsi="Arial"/>
          <w:b/>
          <w:i w:val="0"/>
          <w:color w:val="1F2937"/>
          <w:sz w:val="21"/>
        </w:rPr>
        <w:t>Automated Batch Scheduler</w:t>
      </w:r>
      <w:r>
        <w:rPr>
          <w:rFonts w:ascii="Arial" w:hAnsi="Arial"/>
          <w:i w:val="0"/>
          <w:color w:val="1F2937"/>
          <w:sz w:val="21"/>
        </w:rPr>
        <w:t>: Initiates nightly or weekly ingestion jobs, triggers the 60-feature transformation pipeline, executes fleet-wide batch inference, and updates the prioritized inspection queue table.</w:t>
      </w:r>
    </w:p>
    <w:p>
      <w:pPr>
        <w:pStyle w:val="Heading2"/>
      </w:pPr>
      <w:r>
        <w:t>19.2 UML Activity Diagram: Meter Evaluation and Dispatch Workflow</w:t>
      </w:r>
    </w:p>
    <w:p>
      <w:pPr/>
      <w:r>
        <w:rPr>
          <w:rFonts w:ascii="Arial" w:hAnsi="Arial"/>
          <w:i w:val="0"/>
          <w:color w:val="1F2937"/>
          <w:sz w:val="21"/>
        </w:rPr>
        <w:t>The Activity Diagram models the end-to-end operational decision flow for a single meter during periodic audit cycles: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Start([Start Daily Meter Audit]) --&gt; FetchData["Fetch Historical Consumption Window [t-180, t]"]</w:t>
              <w:br/>
              <w:t xml:space="preserve">    FetchData --&gt; ValidateCheck{"Is Consumption Valid &amp; Non-Empty?"}</w:t>
              <w:br/>
              <w:t xml:space="preserve">    </w:t>
              <w:br/>
              <w:t xml:space="preserve">    ValidateCheck -- No --&gt; FlagDataError["Log Data Hygiene Alert &amp; Skip"]</w:t>
              <w:br/>
              <w:t xml:space="preserve">    FlagDataError --&gt; End([End])</w:t>
              <w:br/>
              <w:t xml:space="preserve">    </w:t>
              <w:br/>
              <w:t xml:space="preserve">    ValidateCheck -- Yes --&gt; BoundedImpute["Apply Bounded Gap Imputation"]</w:t>
              <w:br/>
              <w:t xml:space="preserve">    BoundedImpute --&gt; ExtractFeatures["Extract 60 Causal Temporal Features"]</w:t>
              <w:br/>
              <w:t xml:space="preserve">    ExtractFeatures --&gt; RunModel["Execute Cost-Sensitive LightGBM Inference"]</w:t>
              <w:br/>
              <w:t xml:space="preserve">    RunModel --&gt; GetProb["Obtain Posterior Probability p_i"]</w:t>
              <w:br/>
              <w:t xml:space="preserve">    </w:t>
              <w:br/>
              <w:t xml:space="preserve">    GetProb --&gt; CalcFinancials["Calculate Baseline Deficit &amp; Recoverable Revenue R_i"]</w:t>
              <w:br/>
              <w:t xml:space="preserve">    CalcFinancials --&gt; EvalENV["Compute ENV_i = p_i * R_i - C_dispatch"]</w:t>
              <w:br/>
              <w:t xml:space="preserve">    </w:t>
              <w:br/>
              <w:t xml:space="preserve">    EvalENV --&gt; CheckENV{"Is ENV_i &gt; 0?"}</w:t>
              <w:br/>
              <w:t xml:space="preserve">    </w:t>
              <w:br/>
              <w:t xml:space="preserve">    CheckENV -- No --&gt; MarkUneconomic["Classify: REJECT_UNECONOMIC (No Dispatch)"]</w:t>
              <w:br/>
              <w:t xml:space="preserve">    MarkUneconomic --&gt; LogAudit["Record Metrics in Audit Log"]</w:t>
              <w:br/>
              <w:t xml:space="preserve">    </w:t>
              <w:br/>
              <w:t xml:space="preserve">    CheckENV -- Yes --&gt; GenSHAP["Compute Tree-SHAP Values &amp; Top Features"]</w:t>
              <w:br/>
              <w:t xml:space="preserve">    GenSHAP --&gt; MatchSignature["Categorize Dominant Tampering Signature"]</w:t>
              <w:br/>
              <w:t xml:space="preserve">    MatchSignature --&gt; BuildTicket["Assemble Auditable Work Order Ticket"]</w:t>
              <w:br/>
              <w:t xml:space="preserve">    BuildTicket --&gt; Enqueue["Insert into Prioritized Dispatch Queue"]</w:t>
              <w:br/>
              <w:t xml:space="preserve">    Enqueue --&gt; LogAudit</w:t>
              <w:br/>
              <w:t xml:space="preserve">    LogAudit --&gt; End</w:t>
            </w:r>
          </w:p>
        </w:tc>
      </w:tr>
    </w:tbl>
    <w:p>
      <w:pPr>
        <w:spacing w:before="0" w:after="80"/>
      </w:pPr>
    </w:p>
    <w:p>
      <w:pPr>
        <w:pStyle w:val="Heading2"/>
      </w:pPr>
      <w:r>
        <w:t>19.3 UML Sequence Diagram: Real-Time API Risk &amp; Explanation Request</w:t>
      </w:r>
    </w:p>
    <w:p>
      <w:pPr/>
      <w:r>
        <w:rPr>
          <w:rFonts w:ascii="Arial" w:hAnsi="Arial"/>
          <w:i w:val="0"/>
          <w:color w:val="1F2937"/>
          <w:sz w:val="21"/>
        </w:rPr>
        <w:t>The Sequence Diagram illustrates the synchronous HTTP request-response flow between an external client, the FastAPI gateway, and internal pipeline engines: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sequenceDiagram</w:t>
              <w:br/>
              <w:t xml:space="preserve">    autonumber</w:t>
              <w:br/>
              <w:t xml:space="preserve">    actor Client as API Client / Dashboard</w:t>
              <w:br/>
              <w:t xml:space="preserve">    participant API as FastAPI Gateway (/predict)</w:t>
              <w:br/>
              <w:t xml:space="preserve">    participant Lifespan as Application Memory</w:t>
              <w:br/>
              <w:t xml:space="preserve">    participant Model as CostSensitiveLGBM</w:t>
              <w:br/>
              <w:t xml:space="preserve">    participant Fin as FinancialEngine</w:t>
              <w:br/>
              <w:t xml:space="preserve">    participant SHAP as TreeSHAPEngine</w:t>
              <w:br/>
              <w:t xml:space="preserve">    participant Sig as SignatureDetector</w:t>
              <w:br/>
              <w:br/>
              <w:t xml:space="preserve">    Client-&gt;&gt;API: POST /api/v1/predict/meter {meter_id, consumption_180d, tariff}</w:t>
              <w:br/>
              <w:t xml:space="preserve">    API-&gt;&gt;API: Validate Pydantic Schema (MeterPredictionRequest)</w:t>
              <w:br/>
              <w:t xml:space="preserve">    API-&gt;&gt;Lifespan: Fetch Preloaded Booster &amp; Background Data</w:t>
              <w:br/>
              <w:t xml:space="preserve">    Lifespan--&gt;&gt;API: Booster &amp; Explainer Pointers</w:t>
              <w:br/>
              <w:t xml:space="preserve">    API-&gt;&gt;Model: predict_proba(feature_vector)</w:t>
              <w:br/>
              <w:t xml:space="preserve">    Model--&gt;&gt;API: p_i = 0.8942</w:t>
              <w:br/>
              <w:t xml:space="preserve">    API-&gt;&gt;Fin: compute_recoverable_revenue(consumption, tariff)</w:t>
              <w:br/>
              <w:t xml:space="preserve">    Fin--&gt;&gt;API: R_i = $2,940.00, C_dispatch = $100.00</w:t>
              <w:br/>
              <w:t xml:space="preserve">    API-&gt;&gt;Fin: compute_env(p_i, R_i, C_dispatch)</w:t>
              <w:br/>
              <w:t xml:space="preserve">    Fin--&gt;&gt;API: ENV_i = $2,528.94, Decision = DISPATCH_RECOMMENDED</w:t>
              <w:br/>
              <w:t xml:space="preserve">    opt If explain=True requested</w:t>
              <w:br/>
              <w:t xml:space="preserve">        API-&gt;&gt;SHAP: explain_instance(feature_vector)</w:t>
              <w:br/>
              <w:t xml:space="preserve">        SHAP--&gt;&gt;API: shap_values = [0.42, 0.31, -0.05, ...]</w:t>
              <w:br/>
              <w:t xml:space="preserve">        API-&gt;&gt;Sig: map_signature(features, shap_values)</w:t>
              <w:br/>
              <w:t xml:space="preserve">        Sig--&gt;&gt;API: "SUSTAINED_DROP", Narrative Text</w:t>
              <w:br/>
              <w:t xml:space="preserve">    end</w:t>
              <w:br/>
              <w:t xml:space="preserve">    API--&gt;&gt;Client: 200 OK JSON {meter_id, p_i, ENV_i, ticket, explanation}</w:t>
            </w:r>
          </w:p>
        </w:tc>
      </w:tr>
    </w:tbl>
    <w:p>
      <w:pPr>
        <w:spacing w:before="0" w:after="80"/>
      </w:pPr>
    </w:p>
    <w:p>
      <w:pPr>
        <w:pStyle w:val="Heading2"/>
      </w:pPr>
      <w:r>
        <w:t>19.4 UML Sequence Diagram: Fleet Batch Evaluation</w:t>
      </w:r>
    </w:p>
    <w:p>
      <w:pPr/>
      <w:r>
        <w:rPr>
          <w:rFonts w:ascii="Arial" w:hAnsi="Arial"/>
          <w:i w:val="0"/>
          <w:color w:val="1F2937"/>
          <w:sz w:val="21"/>
        </w:rPr>
        <w:t>The Sequence Diagram depicts the batch execution flow for scoring an entire distribution substation:</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sequenceDiagram</w:t>
              <w:br/>
              <w:t xml:space="preserve">    autonumber</w:t>
              <w:br/>
              <w:t xml:space="preserve">    actor Scheduler as Batch Cron Job</w:t>
              <w:br/>
              <w:t xml:space="preserve">    participant FleetEndpoint as FastAPI (/fleet/rank)</w:t>
              <w:br/>
              <w:t xml:space="preserve">    participant FeatPipe as FeaturePipeline (Polars)</w:t>
              <w:br/>
              <w:t xml:space="preserve">    participant CSModel as CostSensitiveLGBM</w:t>
              <w:br/>
              <w:t xml:space="preserve">    participant Planner as InspectionPlanner</w:t>
              <w:br/>
              <w:t xml:space="preserve">    participant QueueDB as Dispatch Queue DB</w:t>
              <w:br/>
              <w:br/>
              <w:t xml:space="preserve">    Scheduler-&gt;&gt;FleetEndpoint: POST /api/v1/fleet/rank {fleet_parquet_path, budget_K=100}</w:t>
              <w:br/>
              <w:t xml:space="preserve">    FleetEndpoint-&gt;&gt;FeatPipe: transform_lazy(fleet_data)</w:t>
              <w:br/>
              <w:t xml:space="preserve">    FeatPipe--&gt;&gt;FleetEndpoint: 60-feature Polars DataFrame (N meters)</w:t>
              <w:br/>
              <w:t xml:space="preserve">    FleetEndpoint-&gt;&gt;CSModel: predict_proba_batch(features)</w:t>
              <w:br/>
              <w:t xml:space="preserve">    CSModel--&gt;&gt;FleetEndpoint: Array of probabilities [p_1, ..., p_N]</w:t>
              <w:br/>
              <w:t xml:space="preserve">    FleetEndpoint-&gt;&gt;Planner: rank_fleet_by_env(p_array, revenues, costs, K=100)</w:t>
              <w:br/>
              <w:t xml:space="preserve">    Planner-&gt;&gt;Planner: Filter meters with ENV &lt;= 0</w:t>
              <w:br/>
              <w:t xml:space="preserve">    Planner-&gt;&gt;Planner: Sort remaining meters by ENV descending</w:t>
              <w:br/>
              <w:t xml:space="preserve">    Planner-&gt;&gt;Planner: Take top-K candidates</w:t>
              <w:br/>
              <w:t xml:space="preserve">    Planner--&gt;&gt;FleetEndpoint: Prioritized Queue of K Work Orders</w:t>
              <w:br/>
              <w:t xml:space="preserve">    FleetEndpoint-&gt;&gt;QueueDB: Bulk Upsert Dispatched Tickets</w:t>
              <w:br/>
              <w:t xml:space="preserve">    QueueDB--&gt;&gt;FleetEndpoint: Confirm Write</w:t>
              <w:br/>
              <w:t xml:space="preserve">    FleetEndpoint--&gt;&gt;Scheduler: 200 OK JSON {dispatched_count, total_expected_env}</w:t>
            </w:r>
          </w:p>
        </w:tc>
      </w:tr>
    </w:tbl>
    <w:p>
      <w:pPr>
        <w:spacing w:before="0" w:after="80"/>
      </w:pPr>
    </w:p>
    <w:p>
      <w:pPr>
        <w:pStyle w:val="Heading2"/>
      </w:pPr>
      <w:r>
        <w:t>19.5 UML Class Diagram: Domain Models &amp; Core Engine Architecture</w:t>
      </w:r>
    </w:p>
    <w:p>
      <w:pPr/>
      <w:r>
        <w:rPr>
          <w:rFonts w:ascii="Arial" w:hAnsi="Arial"/>
          <w:i w:val="0"/>
          <w:color w:val="1F2937"/>
          <w:sz w:val="21"/>
        </w:rPr>
        <w:t>The Class Diagram models the core domain entities, services, and their structural relationships: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classDiagram</w:t>
              <w:br/>
              <w:t xml:space="preserve">    class AMIDataCleaner {</w:t>
              <w:br/>
              <w:t xml:space="preserve">        +int max_gap_days</w:t>
              <w:br/>
              <w:t xml:space="preserve">        +clean_consumption(df: DataFrame) DataFrame</w:t>
              <w:br/>
              <w:t xml:space="preserve">        -interpolate_gaps(series: Series) Series</w:t>
              <w:br/>
              <w:t xml:space="preserve">        -validate_schema(df: DataFrame) bool</w:t>
              <w:br/>
              <w:t xml:space="preserve">    }</w:t>
              <w:br/>
              <w:br/>
              <w:t xml:space="preserve">    class FeaturePipeline {</w:t>
              <w:br/>
              <w:t xml:space="preserve">        +list feature_names</w:t>
              <w:br/>
              <w:t xml:space="preserve">        +transform(df: DataFrame) DataFrame</w:t>
              <w:br/>
              <w:t xml:space="preserve">        -compute_lags(df: DataFrame) DataFrame</w:t>
              <w:br/>
              <w:t xml:space="preserve">        -compute_rolling_stats(df: DataFrame) DataFrame</w:t>
              <w:br/>
              <w:t xml:space="preserve">        -compute_baseline_ratios(df: DataFrame) DataFrame</w:t>
              <w:br/>
              <w:t xml:space="preserve">    }</w:t>
              <w:br/>
              <w:br/>
              <w:t xml:space="preserve">    class CostSensitiveLGBM {</w:t>
              <w:br/>
              <w:t xml:space="preserve">        +Booster booster</w:t>
              <w:br/>
              <w:t xml:space="preserve">        +float c_fp</w:t>
              <w:br/>
              <w:t xml:space="preserve">        +fit(X, y, c_fn_array) CostSensitiveLGBM</w:t>
              <w:br/>
              <w:t xml:space="preserve">        +predict_proba(X) ndarray</w:t>
              <w:br/>
              <w:t xml:space="preserve">        +custom_weighted_loss(preds, train_data) tuple</w:t>
              <w:br/>
              <w:t xml:space="preserve">    }</w:t>
              <w:br/>
              <w:br/>
              <w:t xml:space="preserve">    class FinancialEngine {</w:t>
              <w:br/>
              <w:t xml:space="preserve">        +float default_tariff</w:t>
              <w:br/>
              <w:t xml:space="preserve">        +float recovery_factor</w:t>
              <w:br/>
              <w:t xml:space="preserve">        +estimate_leakage(baseline, observed) float</w:t>
              <w:br/>
              <w:t xml:space="preserve">        +calculate_recoverable_revenue(leakage, tariff) float</w:t>
              <w:br/>
              <w:t xml:space="preserve">    }</w:t>
              <w:br/>
              <w:br/>
              <w:t xml:space="preserve">    class DynamicThresholdEngine {</w:t>
              <w:br/>
              <w:t xml:space="preserve">        +float dispatch_cost</w:t>
              <w:br/>
              <w:t xml:space="preserve">        +compute_cost_threshold(c_fn) float</w:t>
              <w:br/>
              <w:t xml:space="preserve">        +compute_env_threshold(recoverable_rev) float</w:t>
              <w:br/>
              <w:t xml:space="preserve">        +compute_env(prob, recoverable_rev) float</w:t>
              <w:br/>
              <w:t xml:space="preserve">    }</w:t>
              <w:br/>
              <w:br/>
              <w:t xml:space="preserve">    class TreeSHAPEngine {</w:t>
              <w:br/>
              <w:t xml:space="preserve">        +TreeExplainer explainer</w:t>
              <w:br/>
              <w:t xml:space="preserve">        +DataFrame background_data</w:t>
              <w:br/>
              <w:t xml:space="preserve">        +explain_instance(features) dict</w:t>
              <w:br/>
              <w:t xml:space="preserve">        +get_top_k_features(shap_values, k) list</w:t>
              <w:br/>
              <w:t xml:space="preserve">    }</w:t>
              <w:br/>
              <w:br/>
              <w:t xml:space="preserve">    class InspectionTicket {</w:t>
              <w:br/>
              <w:t xml:space="preserve">        +str ticket_id</w:t>
              <w:br/>
              <w:t xml:space="preserve">        +str meter_id</w:t>
              <w:br/>
              <w:t xml:space="preserve">        +int priority_rank</w:t>
              <w:br/>
              <w:t xml:space="preserve">        +float tamper_probability</w:t>
              <w:br/>
              <w:t xml:space="preserve">        +float expected_net_value</w:t>
              <w:br/>
              <w:t xml:space="preserve">        +str dominant_signature</w:t>
              <w:br/>
              <w:t xml:space="preserve">        +str explanation_summary</w:t>
              <w:br/>
              <w:t xml:space="preserve">        +to_dict() dict</w:t>
              <w:br/>
              <w:t xml:space="preserve">        +to_json() str</w:t>
              <w:br/>
              <w:t xml:space="preserve">    }</w:t>
              <w:br/>
              <w:br/>
              <w:t xml:space="preserve">    class DashboardApiClient {</w:t>
              <w:br/>
              <w:t xml:space="preserve">        +str base_url</w:t>
              <w:br/>
              <w:t xml:space="preserve">        +Client session</w:t>
              <w:br/>
              <w:t xml:space="preserve">        +predict_meter(meter_data) dict</w:t>
              <w:br/>
              <w:t xml:space="preserve">        +explain_meter(meter_id) dict</w:t>
              <w:br/>
              <w:t xml:space="preserve">        +get_fleet_ranking(params) list</w:t>
              <w:br/>
              <w:t xml:space="preserve">        +check_health() bool</w:t>
              <w:br/>
              <w:t xml:space="preserve">    }</w:t>
              <w:br/>
              <w:br/>
              <w:t xml:space="preserve">    AMIDataCleaner --&gt; FeaturePipeline : feeds cleaned data</w:t>
              <w:br/>
              <w:t xml:space="preserve">    FeaturePipeline --&gt; CostSensitiveLGBM : feeds feature matrix</w:t>
              <w:br/>
              <w:t xml:space="preserve">    CostSensitiveLGBM --&gt; DynamicThresholdEngine : feeds p_i</w:t>
              <w:br/>
              <w:t xml:space="preserve">    FinancialEngine --&gt; DynamicThresholdEngine : feeds R_i</w:t>
              <w:br/>
              <w:t xml:space="preserve">    DynamicThresholdEngine --&gt; InspectionTicket : compiles</w:t>
              <w:br/>
              <w:t xml:space="preserve">    TreeSHAPEngine --&gt; InspectionTicket : injects attributions</w:t>
              <w:br/>
              <w:t xml:space="preserve">    DashboardApiClient --&gt; InspectionTicket : consumes via REST</w:t>
            </w:r>
          </w:p>
        </w:tc>
      </w:tr>
    </w:tbl>
    <w:p>
      <w:pPr>
        <w:spacing w:before="0" w:after="80"/>
      </w:pPr>
    </w:p>
    <w:p>
      <w:pPr>
        <w:pStyle w:val="Heading2"/>
      </w:pPr>
      <w:r>
        <w:t>19.6 UML Component Diagram</w:t>
      </w:r>
    </w:p>
    <w:p>
      <w:pPr/>
      <w:r>
        <w:rPr>
          <w:rFonts w:ascii="Arial" w:hAnsi="Arial"/>
          <w:i w:val="0"/>
          <w:color w:val="1F2937"/>
          <w:sz w:val="21"/>
        </w:rPr>
        <w:t>The Component Diagram details the operational subsystems, their exposed interfaces, and data store dependencies:</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TB</w:t>
              <w:br/>
              <w:t xml:space="preserve">    subgraph DataSubsystem["Data Ingestion &amp; Hygiene Subsystem"]</w:t>
              <w:br/>
              <w:t xml:space="preserve">        LoaderComp["AMIDataLoader"]</w:t>
              <w:br/>
              <w:t xml:space="preserve">        CleanerComp["AMIDataCleaner"]</w:t>
              <w:br/>
              <w:t xml:space="preserve">        ParquetStore[("Parquet Data Lake")]</w:t>
              <w:br/>
              <w:t xml:space="preserve">        LoaderComp --&gt; CleanerComp</w:t>
              <w:br/>
              <w:t xml:space="preserve">        CleanerComp --&gt; ParquetStore</w:t>
              <w:br/>
              <w:t xml:space="preserve">    end</w:t>
              <w:br/>
              <w:br/>
              <w:t xml:space="preserve">    subgraph FeatureSubsystem["Feature Store Subsystem"]</w:t>
              <w:br/>
              <w:t xml:space="preserve">        FeatComp["FeaturePipeline (Polars)"]</w:t>
              <w:br/>
              <w:t xml:space="preserve">        ParquetStore --&gt; FeatComp</w:t>
              <w:br/>
              <w:t xml:space="preserve">    end</w:t>
              <w:br/>
              <w:br/>
              <w:t xml:space="preserve">    subgraph CoreMLSubsystem["Inference &amp; Analytics Subsystem"]</w:t>
              <w:br/>
              <w:t xml:space="preserve">        ModelComp["CostSensitiveLGBM"]</w:t>
              <w:br/>
              <w:t xml:space="preserve">        FinComp["FinancialEngine"]</w:t>
              <w:br/>
              <w:t xml:space="preserve">        DecisionComp["DynamicThresholdEngine"]</w:t>
              <w:br/>
              <w:t xml:space="preserve">        SHAPComp["TreeSHAPEngine"]</w:t>
              <w:br/>
              <w:t xml:space="preserve">        </w:t>
              <w:br/>
              <w:t xml:space="preserve">        FeatComp --&gt; ModelComp</w:t>
              <w:br/>
              <w:t xml:space="preserve">        FeatComp --&gt; FinComp</w:t>
              <w:br/>
              <w:t xml:space="preserve">        ModelComp --&gt; DecisionComp</w:t>
              <w:br/>
              <w:t xml:space="preserve">        FinComp --&gt; DecisionComp</w:t>
              <w:br/>
              <w:t xml:space="preserve">        FeatComp --&gt; SHAPComp</w:t>
              <w:br/>
              <w:t xml:space="preserve">        ModelComp --&gt; SHAPComp</w:t>
              <w:br/>
              <w:t xml:space="preserve">    end</w:t>
              <w:br/>
              <w:br/>
              <w:t xml:space="preserve">    subgraph APISubsystem["Service Gateway Subsystem"]</w:t>
              <w:br/>
              <w:t xml:space="preserve">        FastAPIComp["FastAPI ASGI Gateway"]</w:t>
              <w:br/>
              <w:t xml:space="preserve">        PydanticComp["Pydantic Contract Validator"]</w:t>
              <w:br/>
              <w:t xml:space="preserve">        LifespanComp["Lifespan Booster Cache"]</w:t>
              <w:br/>
              <w:t xml:space="preserve">        </w:t>
              <w:br/>
              <w:t xml:space="preserve">        FastAPIComp --&gt; PydanticComp</w:t>
              <w:br/>
              <w:t xml:space="preserve">        FastAPIComp --&gt; LifespanComp</w:t>
              <w:br/>
              <w:t xml:space="preserve">        LifespanComp --&gt; ModelComp</w:t>
              <w:br/>
              <w:t xml:space="preserve">        LifespanComp --&gt; SHAPComp</w:t>
              <w:br/>
              <w:t xml:space="preserve">        FastAPIComp --&gt; DecisionComp</w:t>
              <w:br/>
              <w:t xml:space="preserve">    end</w:t>
              <w:br/>
              <w:br/>
              <w:t xml:space="preserve">    subgraph PresentationSubsystem["Presentation Subsystem"]</w:t>
              <w:br/>
              <w:t xml:space="preserve">        ClientComp["DashboardApiClient"]</w:t>
              <w:br/>
              <w:t xml:space="preserve">        UIComp["Streamlit UI (Fleet, Meter, Demo)"]</w:t>
              <w:br/>
              <w:t xml:space="preserve">        </w:t>
              <w:br/>
              <w:t xml:space="preserve">        UIComp --&gt; ClientComp</w:t>
              <w:br/>
              <w:t xml:space="preserve">        ClientComp -- HTTP/JSON REST --&gt; FastAPIComp</w:t>
              <w:br/>
              <w:t xml:space="preserve">    end</w:t>
            </w:r>
          </w:p>
        </w:tc>
      </w:tr>
    </w:tbl>
    <w:p>
      <w:pPr>
        <w:spacing w:before="0" w:after="80"/>
      </w:pPr>
    </w:p>
    <w:p>
      <w:pPr>
        <w:pStyle w:val="Heading2"/>
      </w:pPr>
      <w:r>
        <w:t>19.7 UML Deployment Diagram</w:t>
      </w:r>
    </w:p>
    <w:p>
      <w:pPr/>
      <w:r>
        <w:rPr>
          <w:rFonts w:ascii="Arial" w:hAnsi="Arial"/>
          <w:i w:val="0"/>
          <w:color w:val="1F2937"/>
          <w:sz w:val="21"/>
        </w:rPr>
        <w:t>The Deployment Diagram represents the containerized multi-service topology orchestrated via Docker Compose:</w:t>
      </w:r>
    </w:p>
    <w:p>
      <w:pPr>
        <w:keepNext/>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graph TD</w:t>
              <w:br/>
              <w:t xml:space="preserve">    subgraph Host["Physical / Virtual Host Server (Linux / Windows)"]</w:t>
              <w:br/>
              <w:t xml:space="preserve">        subgraph DockerEngine["Docker Engine Runtime"]</w:t>
              <w:br/>
              <w:t xml:space="preserve">            subgraph NetBridge["User-Defined Docker Bridge Network (grid-guard-net)"]</w:t>
              <w:br/>
              <w:t xml:space="preserve">                subgraph APIContainer["Container: grid-guard-api"]</w:t>
              <w:br/>
              <w:t xml:space="preserve">                    Uvicorn["Uvicorn ASGI Server (Port 5678)"]</w:t>
              <w:br/>
              <w:t xml:space="preserve">                    FastAPIApp["FastAPI Application"]</w:t>
              <w:br/>
              <w:t xml:space="preserve">                    PreloadedBooster["Preloaded LightGBM &amp; SHAP in RAM"]</w:t>
              <w:br/>
              <w:t xml:space="preserve">                    Uvicorn --&gt; FastAPIApp</w:t>
              <w:br/>
              <w:t xml:space="preserve">                    FastAPIApp --&gt; PreloadedBooster</w:t>
              <w:br/>
              <w:t xml:space="preserve">                end</w:t>
              <w:br/>
              <w:br/>
              <w:t xml:space="preserve">                subgraph UIContainer["Container: grid-guard-dashboard"]</w:t>
              <w:br/>
              <w:t xml:space="preserve">                    StreamlitServer["Streamlit Web Server (Port 1456)"]</w:t>
              <w:br/>
              <w:t xml:space="preserve">                    DashApp["Streamlit Frontend Views"]</w:t>
              <w:br/>
              <w:t xml:space="preserve">                    StreamlitServer --&gt; DashApp</w:t>
              <w:br/>
              <w:t xml:space="preserve">                end</w:t>
              <w:br/>
              <w:t xml:space="preserve">            end</w:t>
              <w:br/>
              <w:br/>
              <w:t xml:space="preserve">            subgraph StorageVolume["Docker Bind Mount / Persistent Volumes"]</w:t>
              <w:br/>
              <w:t xml:space="preserve">                ModelsVol["/app/models (Booster Artifacts)"]</w:t>
              <w:br/>
              <w:t xml:space="preserve">                DataVol["/app/data (Clean Parquet &amp; SGCC Data)"]</w:t>
              <w:br/>
              <w:t xml:space="preserve">            end</w:t>
              <w:br/>
              <w:t xml:space="preserve">        end</w:t>
              <w:br/>
              <w:br/>
              <w:t xml:space="preserve">        ModelsVol --&gt; APIContainer</w:t>
              <w:br/>
              <w:t xml:space="preserve">        DataVol --&gt; APIContainer</w:t>
              <w:br/>
              <w:t xml:space="preserve">        DashApp -- "Internal HTTP Call (http://api:5678)" --&gt; Uvicorn</w:t>
              <w:br/>
              <w:t xml:space="preserve">        </w:t>
              <w:br/>
              <w:t xml:space="preserve">        ClientBrowser["Operator Web Browser"] -- "HTTP Port 1456" --&gt; StreamlitServer</w:t>
              <w:br/>
              <w:t xml:space="preserve">        ExternalAPIClient["Enterprise Utility Billing System"] -- "HTTP Port 5678" --&gt; Uvicorn</w:t>
              <w:br/>
              <w:t xml:space="preserve">    end</w:t>
            </w:r>
          </w:p>
        </w:tc>
      </w:tr>
    </w:tbl>
    <w:p>
      <w:pPr>
        <w:spacing w:before="0" w:after="80"/>
      </w:pPr>
    </w:p>
    <w:p>
      <w:pPr>
        <w:spacing w:before="80" w:after="160"/>
      </w:pPr>
      <w:r>
        <w:rPr>
          <w:color w:val="E5E7EB"/>
          <w:sz w:val="16"/>
        </w:rPr>
        <w:t>_________________________________________________________________________________</w:t>
      </w:r>
    </w:p>
    <w:p>
      <w:r>
        <w:br w:type="page"/>
      </w:r>
    </w:p>
    <w:p>
      <w:pPr>
        <w:pStyle w:val="Heading1"/>
      </w:pPr>
      <w:r>
        <w:t>20. IMPLEMENTATION AND TESTING</w:t>
      </w:r>
    </w:p>
    <w:p>
      <w:pPr>
        <w:pStyle w:val="Heading2"/>
      </w:pPr>
      <w:r>
        <w:t>20.1 Environment Setup &amp; Dependency Isolation</w:t>
      </w:r>
    </w:p>
    <w:p>
      <w:pPr/>
      <w:r>
        <w:rPr>
          <w:rFonts w:ascii="Arial" w:hAnsi="Arial"/>
          <w:i w:val="0"/>
          <w:color w:val="1F2937"/>
          <w:sz w:val="21"/>
        </w:rPr>
        <w:t xml:space="preserve">The foundational phase of Grid-Guard focused on establishing an isolated, reproducible development and execution environment. Modern Python dependency management was orchestrated using </w:t>
      </w:r>
      <w:r>
        <w:rPr>
          <w:rFonts w:ascii="Consolas" w:hAnsi="Consolas"/>
          <w:i w:val="0"/>
          <w:color w:val="B91C1C"/>
          <w:sz w:val="19"/>
        </w:rPr>
        <w:t>uv</w:t>
      </w:r>
      <w:r>
        <w:rPr>
          <w:rFonts w:ascii="Arial" w:hAnsi="Arial"/>
          <w:i w:val="0"/>
          <w:color w:val="1F2937"/>
          <w:sz w:val="21"/>
        </w:rPr>
        <w:t xml:space="preserve"> (a high-performance Rust-based resolver and installer) alongside standard </w:t>
      </w:r>
      <w:r>
        <w:rPr>
          <w:rFonts w:ascii="Consolas" w:hAnsi="Consolas"/>
          <w:i w:val="0"/>
          <w:color w:val="B91C1C"/>
          <w:sz w:val="19"/>
        </w:rPr>
        <w:t>pyproject.toml</w:t>
      </w:r>
      <w:r>
        <w:rPr>
          <w:rFonts w:ascii="Arial" w:hAnsi="Arial"/>
          <w:i w:val="0"/>
          <w:color w:val="1F2937"/>
          <w:sz w:val="21"/>
        </w:rPr>
        <w:t xml:space="preserve"> specifications. Strict code hygiene was enforced through </w:t>
      </w:r>
      <w:r>
        <w:rPr>
          <w:rFonts w:ascii="Consolas" w:hAnsi="Consolas"/>
          <w:i w:val="0"/>
          <w:color w:val="B91C1C"/>
          <w:sz w:val="19"/>
        </w:rPr>
        <w:t>ruff</w:t>
      </w:r>
      <w:r>
        <w:rPr>
          <w:rFonts w:ascii="Arial" w:hAnsi="Arial"/>
          <w:i w:val="0"/>
          <w:color w:val="1F2937"/>
          <w:sz w:val="21"/>
        </w:rPr>
        <w:t xml:space="preserve"> for linting and formatting, configured with zero-tolerance rules for undefined variables, unused imports, line lengths exceeding 100 characters, and insecure cryptographic defaults. The testing environment was anchored on </w:t>
      </w:r>
      <w:r>
        <w:rPr>
          <w:rFonts w:ascii="Consolas" w:hAnsi="Consolas"/>
          <w:i w:val="0"/>
          <w:color w:val="B91C1C"/>
          <w:sz w:val="19"/>
        </w:rPr>
        <w:t>pytest</w:t>
      </w:r>
      <w:r>
        <w:rPr>
          <w:rFonts w:ascii="Arial" w:hAnsi="Arial"/>
          <w:i w:val="0"/>
          <w:color w:val="1F2937"/>
          <w:sz w:val="21"/>
        </w:rPr>
        <w:t xml:space="preserve"> with asynchronous execution support via </w:t>
      </w:r>
      <w:r>
        <w:rPr>
          <w:rFonts w:ascii="Consolas" w:hAnsi="Consolas"/>
          <w:i w:val="0"/>
          <w:color w:val="B91C1C"/>
          <w:sz w:val="19"/>
        </w:rPr>
        <w:t>pytest-asyncio</w:t>
      </w:r>
      <w:r>
        <w:rPr>
          <w:rFonts w:ascii="Arial" w:hAnsi="Arial"/>
          <w:i w:val="0"/>
          <w:color w:val="1F2937"/>
          <w:sz w:val="21"/>
        </w:rPr>
        <w:t xml:space="preserve">. Experiment telemetry was configured to stream metrics, parameter configurations, and serialized booster artifacts to an embedded </w:t>
      </w:r>
      <w:r>
        <w:rPr>
          <w:rFonts w:ascii="Consolas" w:hAnsi="Consolas"/>
          <w:i w:val="0"/>
          <w:color w:val="B91C1C"/>
          <w:sz w:val="19"/>
        </w:rPr>
        <w:t>mlflow</w:t>
      </w:r>
      <w:r>
        <w:rPr>
          <w:rFonts w:ascii="Arial" w:hAnsi="Arial"/>
          <w:i w:val="0"/>
          <w:color w:val="1F2937"/>
          <w:sz w:val="21"/>
        </w:rPr>
        <w:t xml:space="preserve"> SQLite backend, guaranteeing complete lineage tracking from raw commits to trained models.</w:t>
      </w:r>
    </w:p>
    <w:p>
      <w:pPr>
        <w:pStyle w:val="Heading2"/>
      </w:pPr>
      <w:r>
        <w:t>20.2 Ingestion &amp; Cleaning Engine Implementation</w:t>
      </w:r>
    </w:p>
    <w:p>
      <w:pPr/>
      <w:r>
        <w:rPr>
          <w:rFonts w:ascii="Arial" w:hAnsi="Arial"/>
          <w:i w:val="0"/>
          <w:color w:val="1F2937"/>
          <w:sz w:val="21"/>
        </w:rPr>
        <w:t xml:space="preserve">Smart-meter time-series data collected in real-world power distribution grids exhibit pervasive missingness, intermittent communication dropouts, negative spikes from miscalibrated sensors, and anomalous zero-runs. The ingestion engine was implemented in </w:t>
      </w:r>
      <w:r>
        <w:rPr>
          <w:rFonts w:ascii="Consolas" w:hAnsi="Consolas"/>
          <w:i w:val="0"/>
          <w:color w:val="B91C1C"/>
          <w:sz w:val="19"/>
        </w:rPr>
        <w:t>src/grid_guard/data/loader.py</w:t>
      </w:r>
      <w:r>
        <w:rPr>
          <w:rFonts w:ascii="Arial" w:hAnsi="Arial"/>
          <w:i w:val="0"/>
          <w:color w:val="1F2937"/>
          <w:sz w:val="21"/>
        </w:rPr>
        <w:t xml:space="preserve"> and </w:t>
      </w:r>
      <w:r>
        <w:rPr>
          <w:rFonts w:ascii="Consolas" w:hAnsi="Consolas"/>
          <w:i w:val="0"/>
          <w:color w:val="B91C1C"/>
          <w:sz w:val="19"/>
        </w:rPr>
        <w:t>src/grid_guard/data/cleaner.py</w:t>
      </w:r>
      <w:r>
        <w:rPr>
          <w:rFonts w:ascii="Arial" w:hAnsi="Arial"/>
          <w:i w:val="0"/>
          <w:color w:val="1F2937"/>
          <w:sz w:val="21"/>
        </w:rPr>
        <w:t xml:space="preserve"> using Apache Arrow and Polars. The ingestion module reads raw CSV files in parallelized chunked streams, casting identifiers to string categories and consumption readings to IEEE 32-bit floating-point values to minimize RAM footprint.</w:t>
      </w:r>
    </w:p>
    <w:p>
      <w:pPr/>
      <w:r>
        <w:rPr>
          <w:rFonts w:ascii="Arial" w:hAnsi="Arial"/>
          <w:i w:val="0"/>
          <w:color w:val="1F2937"/>
          <w:sz w:val="21"/>
        </w:rPr>
        <w:t>The data cleaning pipeline enforces physical energy laws:</w:t>
      </w:r>
    </w:p>
    <w:p>
      <w:pPr>
        <w:spacing w:before="40" w:after="40" w:line="288" w:lineRule="auto"/>
        <w:ind w:left="432" w:hanging="288"/>
      </w:pPr>
      <w:r>
        <w:rPr>
          <w:b/>
          <w:color w:val="1E3A8A"/>
        </w:rPr>
        <w:t xml:space="preserve">1. </w:t>
      </w:r>
      <w:r>
        <w:rPr>
          <w:rFonts w:ascii="Arial" w:hAnsi="Arial"/>
          <w:b/>
          <w:i w:val="0"/>
          <w:color w:val="1F2937"/>
          <w:sz w:val="21"/>
        </w:rPr>
        <w:t>Physical Non-Negativity Clipping</w:t>
      </w:r>
      <w:r>
        <w:rPr>
          <w:rFonts w:ascii="Arial" w:hAnsi="Arial"/>
          <w:i w:val="0"/>
          <w:color w:val="1F2937"/>
          <w:sz w:val="21"/>
        </w:rPr>
        <w:t>: Energy consumption cannot be negative in unidirectional residential meter configurations. Negative sensor readings are strictly clipped to $0.00$ kWh.</w:t>
      </w:r>
    </w:p>
    <w:p>
      <w:pPr>
        <w:spacing w:before="40" w:after="40" w:line="288" w:lineRule="auto"/>
        <w:ind w:left="432" w:hanging="288"/>
      </w:pPr>
      <w:r>
        <w:rPr>
          <w:b/>
          <w:color w:val="1E3A8A"/>
        </w:rPr>
        <w:t xml:space="preserve">2. </w:t>
      </w:r>
      <w:r>
        <w:rPr>
          <w:rFonts w:ascii="Arial" w:hAnsi="Arial"/>
          <w:b/>
          <w:i w:val="0"/>
          <w:color w:val="1F2937"/>
          <w:sz w:val="21"/>
        </w:rPr>
        <w:t>Bounded Gap Imputation</w:t>
      </w:r>
      <w:r>
        <w:rPr>
          <w:rFonts w:ascii="Arial" w:hAnsi="Arial"/>
          <w:i w:val="0"/>
          <w:color w:val="1F2937"/>
          <w:sz w:val="21"/>
        </w:rPr>
        <w:t>: Communication dropouts often cause consecutive null values. Imputing arbitrarily large gaps distorts the underlying customer load profile. The cleaning engine analyzes consecutive null run-lengths ($L_{\text{null}}$). If $L_{\text{null}} \le 7$ consecutive days, values are imputed using forward-filling bounded by the nearest valid historical observation. If $L_{\text{null}} &gt; 7$ days, the values are maintained as explicit missing indicators, preventing the fabrication of synthetic consumption history.</w:t>
      </w:r>
    </w:p>
    <w:p>
      <w:pPr>
        <w:spacing w:before="40" w:after="40" w:line="288" w:lineRule="auto"/>
        <w:ind w:left="432" w:hanging="288"/>
      </w:pPr>
      <w:r>
        <w:rPr>
          <w:b/>
          <w:color w:val="1E3A8A"/>
        </w:rPr>
        <w:t xml:space="preserve">3. </w:t>
      </w:r>
      <w:r>
        <w:rPr>
          <w:rFonts w:ascii="Arial" w:hAnsi="Arial"/>
          <w:b/>
          <w:i w:val="0"/>
          <w:color w:val="1F2937"/>
          <w:sz w:val="21"/>
        </w:rPr>
        <w:t>Data Quality Profiling</w:t>
      </w:r>
      <w:r>
        <w:rPr>
          <w:rFonts w:ascii="Arial" w:hAnsi="Arial"/>
          <w:i w:val="0"/>
          <w:color w:val="1F2937"/>
          <w:sz w:val="21"/>
        </w:rPr>
        <w:t>: The engine extracts four metadata quality indicators: total missing count over 30 days, imputed ratio, zero count over 30 days, and current consecutive zero-streak length.</w:t>
      </w:r>
    </w:p>
    <w:p>
      <w:pPr>
        <w:pStyle w:val="Heading2"/>
      </w:pPr>
      <w:r>
        <w:t>20.3 Causal Temporal Feature Pipeline Implementation</w:t>
      </w:r>
    </w:p>
    <w:p>
      <w:pPr/>
      <w:r>
        <w:rPr>
          <w:rFonts w:ascii="Arial" w:hAnsi="Arial"/>
          <w:i w:val="0"/>
          <w:color w:val="1F2937"/>
          <w:sz w:val="21"/>
        </w:rPr>
        <w:t>A catastrophic error in time-series fraud detection is future lookahead leakage (incorporating consumption values from $t+k$ when evaluating the meter at time $t$). Grid-Guard's feature pipeline (</w:t>
      </w:r>
      <w:r>
        <w:rPr>
          <w:rFonts w:ascii="Consolas" w:hAnsi="Consolas"/>
          <w:i w:val="0"/>
          <w:color w:val="B91C1C"/>
          <w:sz w:val="19"/>
        </w:rPr>
        <w:t>src/grid_guard/features/pipeline.py</w:t>
      </w:r>
      <w:r>
        <w:rPr>
          <w:rFonts w:ascii="Arial" w:hAnsi="Arial"/>
          <w:i w:val="0"/>
          <w:color w:val="1F2937"/>
          <w:sz w:val="21"/>
        </w:rPr>
        <w:t>) was engineered with mathematical guarantees of causality. Built on Polars lazy evaluation expressions (</w:t>
      </w:r>
      <w:r>
        <w:rPr>
          <w:rFonts w:ascii="Consolas" w:hAnsi="Consolas"/>
          <w:i w:val="0"/>
          <w:color w:val="B91C1C"/>
          <w:sz w:val="19"/>
        </w:rPr>
        <w:t>pl.Expr</w:t>
      </w:r>
      <w:r>
        <w:rPr>
          <w:rFonts w:ascii="Arial" w:hAnsi="Arial"/>
          <w:i w:val="0"/>
          <w:color w:val="1F2937"/>
          <w:sz w:val="21"/>
        </w:rPr>
        <w:t>), the pipeline computes all features in a single vectorized computation graph across the 42,372 meters without Python iteration loops.</w:t>
      </w:r>
    </w:p>
    <w:p>
      <w:pPr/>
      <w:r>
        <w:rPr>
          <w:rFonts w:ascii="Arial" w:hAnsi="Arial"/>
          <w:i w:val="0"/>
          <w:color w:val="1F2937"/>
          <w:sz w:val="21"/>
        </w:rPr>
        <w:t>The feature generation process extracts 60 dimensions:</w:t>
      </w:r>
    </w:p>
    <w:p>
      <w:pPr>
        <w:spacing w:before="20" w:after="40" w:line="288" w:lineRule="auto"/>
        <w:ind w:left="360" w:hanging="216"/>
      </w:pPr>
      <w:r>
        <w:rPr>
          <w:b/>
          <w:color w:val="2563EB"/>
        </w:rPr>
        <w:t xml:space="preserve">• </w:t>
      </w:r>
      <w:r>
        <w:rPr>
          <w:rFonts w:ascii="Arial" w:hAnsi="Arial"/>
          <w:b/>
          <w:i w:val="0"/>
          <w:color w:val="1F2937"/>
          <w:sz w:val="21"/>
        </w:rPr>
        <w:t>Lagged Observations</w:t>
      </w:r>
      <w:r>
        <w:rPr>
          <w:rFonts w:ascii="Arial" w:hAnsi="Arial"/>
          <w:i w:val="0"/>
          <w:color w:val="1F2937"/>
          <w:sz w:val="21"/>
        </w:rPr>
        <w:t>: Immediate historical values $c_{t-1}, c_{t-2}, c_{t-3}, c_{t-7}, c_{t-14}, c_{t-21}, c_{t-30}$ capture high-frequency autoregressive structure and day-of-week periodicity.</w:t>
      </w:r>
    </w:p>
    <w:p>
      <w:pPr>
        <w:spacing w:before="20" w:after="40" w:line="288" w:lineRule="auto"/>
        <w:ind w:left="360" w:hanging="216"/>
      </w:pPr>
      <w:r>
        <w:rPr>
          <w:b/>
          <w:color w:val="2563EB"/>
        </w:rPr>
        <w:t xml:space="preserve">• </w:t>
      </w:r>
      <w:r>
        <w:rPr>
          <w:rFonts w:ascii="Arial" w:hAnsi="Arial"/>
          <w:b/>
          <w:i w:val="0"/>
          <w:color w:val="1F2937"/>
          <w:sz w:val="21"/>
        </w:rPr>
        <w:t>Multi-Horizon Rolling Statistics</w:t>
      </w:r>
      <w:r>
        <w:rPr>
          <w:rFonts w:ascii="Arial" w:hAnsi="Arial"/>
          <w:i w:val="0"/>
          <w:color w:val="1F2937"/>
          <w:sz w:val="21"/>
        </w:rPr>
        <w:t>: Causal windows of lengths $W \in \{7, 14, 30, 60, 90, 180\}$ days calculate rolling means ($\mu_W$), rolling medians ($M_W$), and rolling standard deviations ($\sigma_W$). The rolling medians provide robust central tendencies unaffected by isolated meter malfunction spikes.</w:t>
      </w:r>
    </w:p>
    <w:p>
      <w:pPr>
        <w:spacing w:before="20" w:after="40" w:line="288" w:lineRule="auto"/>
        <w:ind w:left="360" w:hanging="216"/>
      </w:pPr>
      <w:r>
        <w:rPr>
          <w:b/>
          <w:color w:val="2563EB"/>
        </w:rPr>
        <w:t xml:space="preserve">• </w:t>
      </w:r>
      <w:r>
        <w:rPr>
          <w:rFonts w:ascii="Arial" w:hAnsi="Arial"/>
          <w:b/>
          <w:i w:val="0"/>
          <w:color w:val="1F2937"/>
          <w:sz w:val="21"/>
        </w:rPr>
        <w:t>Dynamic Envelope Bounds</w:t>
      </w:r>
      <w:r>
        <w:rPr>
          <w:rFonts w:ascii="Arial" w:hAnsi="Arial"/>
          <w:i w:val="0"/>
          <w:color w:val="1F2937"/>
          <w:sz w:val="21"/>
        </w:rPr>
        <w:t>: Rolling minimums and maximums over 7, 30, 90, and 180 days quantify the operational load capacity and base-load boundary.</w:t>
      </w:r>
    </w:p>
    <w:p>
      <w:pPr>
        <w:spacing w:before="20" w:after="40" w:line="288" w:lineRule="auto"/>
        <w:ind w:left="360" w:hanging="216"/>
      </w:pPr>
      <w:r>
        <w:rPr>
          <w:b/>
          <w:color w:val="2563EB"/>
        </w:rPr>
        <w:t xml:space="preserve">• </w:t>
      </w:r>
      <w:r>
        <w:rPr>
          <w:rFonts w:ascii="Arial" w:hAnsi="Arial"/>
          <w:b/>
          <w:i w:val="0"/>
          <w:color w:val="1F2937"/>
          <w:sz w:val="21"/>
        </w:rPr>
        <w:t>Baseline Deficit Ratios</w:t>
      </w:r>
      <w:r>
        <w:rPr>
          <w:rFonts w:ascii="Arial" w:hAnsi="Arial"/>
          <w:i w:val="0"/>
          <w:color w:val="1F2937"/>
          <w:sz w:val="21"/>
        </w:rPr>
        <w:t>: Ratios comparing short-term windows to long-term baselines, such as:</w:t>
      </w:r>
    </w:p>
    <w:p>
      <w:pPr>
        <w:spacing w:before="160" w:after="160"/>
        <w:jc w:val="center"/>
      </w:pPr>
      <w:r>
        <w:rPr>
          <w:rFonts w:ascii="Cambria Math" w:hAnsi="Cambria Math"/>
          <w:i/>
          <w:color w:val="1E3A8A"/>
          <w:sz w:val="22"/>
        </w:rPr>
        <w:t>\rho_{30, 180}(t) = \frac{\mu_{30}(t) + \epsilon}{\mu_{180}(t) + \epsilon}</w:t>
      </w:r>
    </w:p>
    <w:p>
      <w:pPr/>
      <w:r>
        <w:rPr>
          <w:rFonts w:ascii="Arial" w:hAnsi="Arial"/>
          <w:i w:val="0"/>
          <w:color w:val="1F2937"/>
          <w:sz w:val="21"/>
        </w:rPr>
        <w:t>where $\epsilon = 10^{-4}$ prevents division-by-zero errors. A sudden collapse in this ratio serves as a powerful indicator of recent meter bypassing.</w:t>
      </w:r>
    </w:p>
    <w:p>
      <w:pPr>
        <w:spacing w:before="20" w:after="40" w:line="288" w:lineRule="auto"/>
        <w:ind w:left="360" w:hanging="216"/>
      </w:pPr>
      <w:r>
        <w:rPr>
          <w:b/>
          <w:color w:val="2563EB"/>
        </w:rPr>
        <w:t xml:space="preserve">• </w:t>
      </w:r>
      <w:r>
        <w:rPr>
          <w:rFonts w:ascii="Arial" w:hAnsi="Arial"/>
          <w:b/>
          <w:i w:val="0"/>
          <w:color w:val="1F2937"/>
          <w:sz w:val="21"/>
        </w:rPr>
        <w:t>Variability and Dispersion Indices</w:t>
      </w:r>
      <w:r>
        <w:rPr>
          <w:rFonts w:ascii="Arial" w:hAnsi="Arial"/>
          <w:i w:val="0"/>
          <w:color w:val="1F2937"/>
          <w:sz w:val="21"/>
        </w:rPr>
        <w:t>: Rolling coefficient of variation ($CV_{30} = \sigma_{30} / \mu_{30}$), interquartile ranges ($IQR_{30} = Q_{0.75} - Q_{0.25}$), and rolling skewness capture artificial consumption flattening.</w:t>
      </w:r>
    </w:p>
    <w:p>
      <w:pPr>
        <w:spacing w:before="20" w:after="40" w:line="288" w:lineRule="auto"/>
        <w:ind w:left="360" w:hanging="216"/>
      </w:pPr>
      <w:r>
        <w:rPr>
          <w:b/>
          <w:color w:val="2563EB"/>
        </w:rPr>
        <w:t xml:space="preserve">• </w:t>
      </w:r>
      <w:r>
        <w:rPr>
          <w:rFonts w:ascii="Arial" w:hAnsi="Arial"/>
          <w:b/>
          <w:i w:val="0"/>
          <w:color w:val="1F2937"/>
          <w:sz w:val="21"/>
        </w:rPr>
        <w:t>Domain Tampering Signatures</w:t>
      </w:r>
      <w:r>
        <w:rPr>
          <w:rFonts w:ascii="Arial" w:hAnsi="Arial"/>
          <w:i w:val="0"/>
          <w:color w:val="1F2937"/>
          <w:sz w:val="21"/>
        </w:rPr>
        <w:t>: Custom heuristic indices quantifying the severity of consumption collapse, flatline variance collapse, and extended zero-consumption streaks during active residential service.</w:t>
      </w:r>
    </w:p>
    <w:p>
      <w:pPr>
        <w:pStyle w:val="Heading2"/>
      </w:pPr>
      <w:r>
        <w:t>20.4 Baseline LightGBM Classifier Implementation</w:t>
      </w:r>
    </w:p>
    <w:p>
      <w:pPr/>
      <w:r>
        <w:rPr>
          <w:rFonts w:ascii="Arial" w:hAnsi="Arial"/>
          <w:i w:val="0"/>
          <w:color w:val="1F2937"/>
          <w:sz w:val="21"/>
        </w:rPr>
        <w:t>To establish an empirical performance floor, Phase 4 implemented an unweighted gradient boosting classifier (</w:t>
      </w:r>
      <w:r>
        <w:rPr>
          <w:rFonts w:ascii="Consolas" w:hAnsi="Consolas"/>
          <w:i w:val="0"/>
          <w:color w:val="B91C1C"/>
          <w:sz w:val="19"/>
        </w:rPr>
        <w:t>src/grid_guard/models/baseline.py</w:t>
      </w:r>
      <w:r>
        <w:rPr>
          <w:rFonts w:ascii="Arial" w:hAnsi="Arial"/>
          <w:i w:val="0"/>
          <w:color w:val="1F2937"/>
          <w:sz w:val="21"/>
        </w:rPr>
        <w:t>). The dataset was partitioned temporally to strictly preserve causality: 2014-01-01 to 2015-12-31 for model training and 2016-01-01 to 2016-10-31 for out-of-time validation. The baseline model was trained using LightGBM's standard binary cross-entropy loss objective:</w:t>
      </w:r>
    </w:p>
    <w:p>
      <w:pPr>
        <w:spacing w:before="160" w:after="160"/>
        <w:jc w:val="center"/>
      </w:pPr>
      <w:r>
        <w:rPr>
          <w:rFonts w:ascii="Cambria Math" w:hAnsi="Cambria Math"/>
          <w:i/>
          <w:color w:val="1E3A8A"/>
          <w:sz w:val="22"/>
        </w:rPr>
        <w:t>\mathcal{L}_{\text{BCE}} = -\frac{1}{N} \sum_{i=1}^N \left[ y_i \log p_i + (1 - y_i) \log (1 - p_i) \right]</w:t>
      </w:r>
    </w:p>
    <w:p>
      <w:pPr/>
      <w:r>
        <w:rPr>
          <w:rFonts w:ascii="Arial" w:hAnsi="Arial"/>
          <w:i w:val="0"/>
          <w:color w:val="1F2937"/>
          <w:sz w:val="21"/>
        </w:rPr>
        <w:t xml:space="preserve">Hyperparameters were set to standard defaults: </w:t>
      </w:r>
      <w:r>
        <w:rPr>
          <w:rFonts w:ascii="Consolas" w:hAnsi="Consolas"/>
          <w:i w:val="0"/>
          <w:color w:val="B91C1C"/>
          <w:sz w:val="19"/>
        </w:rPr>
        <w:t>num_leaves=31</w:t>
      </w:r>
      <w:r>
        <w:rPr>
          <w:rFonts w:ascii="Arial" w:hAnsi="Arial"/>
          <w:i w:val="0"/>
          <w:color w:val="1F2937"/>
          <w:sz w:val="21"/>
        </w:rPr>
        <w:t xml:space="preserve">, </w:t>
      </w:r>
      <w:r>
        <w:rPr>
          <w:rFonts w:ascii="Consolas" w:hAnsi="Consolas"/>
          <w:i w:val="0"/>
          <w:color w:val="B91C1C"/>
          <w:sz w:val="19"/>
        </w:rPr>
        <w:t>learning_rate=0.05</w:t>
      </w:r>
      <w:r>
        <w:rPr>
          <w:rFonts w:ascii="Arial" w:hAnsi="Arial"/>
          <w:i w:val="0"/>
          <w:color w:val="1F2937"/>
          <w:sz w:val="21"/>
        </w:rPr>
        <w:t xml:space="preserve">, </w:t>
      </w:r>
      <w:r>
        <w:rPr>
          <w:rFonts w:ascii="Consolas" w:hAnsi="Consolas"/>
          <w:i w:val="0"/>
          <w:color w:val="B91C1C"/>
          <w:sz w:val="19"/>
        </w:rPr>
        <w:t>n_estimators=300</w:t>
      </w:r>
      <w:r>
        <w:rPr>
          <w:rFonts w:ascii="Arial" w:hAnsi="Arial"/>
          <w:i w:val="0"/>
          <w:color w:val="1F2937"/>
          <w:sz w:val="21"/>
        </w:rPr>
        <w:t xml:space="preserve">, and </w:t>
      </w:r>
      <w:r>
        <w:rPr>
          <w:rFonts w:ascii="Consolas" w:hAnsi="Consolas"/>
          <w:i w:val="0"/>
          <w:color w:val="B91C1C"/>
          <w:sz w:val="19"/>
        </w:rPr>
        <w:t>subsample=0.8</w:t>
      </w:r>
      <w:r>
        <w:rPr>
          <w:rFonts w:ascii="Arial" w:hAnsi="Arial"/>
          <w:i w:val="0"/>
          <w:color w:val="1F2937"/>
          <w:sz w:val="21"/>
        </w:rPr>
        <w:t>. This model treats all misclassifications symmetrically and lacks awareness of both class prevalence and monetary consequence.</w:t>
      </w:r>
    </w:p>
    <w:p>
      <w:pPr>
        <w:pStyle w:val="Heading2"/>
      </w:pPr>
      <w:r>
        <w:t>20.5 Class Imbalance Strategy Implementation</w:t>
      </w:r>
    </w:p>
    <w:p>
      <w:pPr/>
      <w:r>
        <w:rPr>
          <w:rFonts w:ascii="Arial" w:hAnsi="Arial"/>
          <w:i w:val="0"/>
          <w:color w:val="1F2937"/>
          <w:sz w:val="21"/>
        </w:rPr>
        <w:t xml:space="preserve">Because verified tampering occurs in only 8.53% of the fleet, standard gradient boosting tends to bias posterior probabilities toward the dominant honest class. Phase 5 implemented and compared three class-imbalance mitigation techniques in </w:t>
      </w:r>
      <w:r>
        <w:rPr>
          <w:rFonts w:ascii="Consolas" w:hAnsi="Consolas"/>
          <w:i w:val="0"/>
          <w:color w:val="B91C1C"/>
          <w:sz w:val="19"/>
        </w:rPr>
        <w:t>src/grid_guard/models/imbalance.py</w:t>
      </w:r>
      <w:r>
        <w:rPr>
          <w:rFonts w:ascii="Arial" w:hAnsi="Arial"/>
          <w:i w:val="0"/>
          <w:color w:val="1F2937"/>
          <w:sz w:val="21"/>
        </w:rPr>
        <w:t>:</w:t>
      </w:r>
    </w:p>
    <w:p>
      <w:pPr>
        <w:spacing w:before="40" w:after="40" w:line="288" w:lineRule="auto"/>
        <w:ind w:left="432" w:hanging="288"/>
      </w:pPr>
      <w:r>
        <w:rPr>
          <w:b/>
          <w:color w:val="1E3A8A"/>
        </w:rPr>
        <w:t xml:space="preserve">1. </w:t>
      </w:r>
      <w:r>
        <w:rPr>
          <w:rFonts w:ascii="Arial" w:hAnsi="Arial"/>
          <w:b/>
          <w:i w:val="0"/>
          <w:color w:val="1F2937"/>
          <w:sz w:val="21"/>
        </w:rPr>
        <w:t>Random Undersampling</w:t>
      </w:r>
      <w:r>
        <w:rPr>
          <w:rFonts w:ascii="Arial" w:hAnsi="Arial"/>
          <w:i w:val="0"/>
          <w:color w:val="1F2937"/>
          <w:sz w:val="21"/>
        </w:rPr>
        <w:t>: Randomly sub-sampling honest consumers to achieve a 1:1 balance in training data. While training speed improved, discarding over 80% of honest samples significantly degraded model specificity.</w:t>
      </w:r>
    </w:p>
    <w:p>
      <w:pPr>
        <w:spacing w:before="40" w:after="40" w:line="288" w:lineRule="auto"/>
        <w:ind w:left="432" w:hanging="288"/>
      </w:pPr>
      <w:r>
        <w:rPr>
          <w:b/>
          <w:color w:val="1E3A8A"/>
        </w:rPr>
        <w:t xml:space="preserve">2. </w:t>
      </w:r>
      <w:r>
        <w:rPr>
          <w:rFonts w:ascii="Arial" w:hAnsi="Arial"/>
          <w:b/>
          <w:i w:val="0"/>
          <w:color w:val="1F2937"/>
          <w:sz w:val="21"/>
        </w:rPr>
        <w:t>Synthetic Minority Over-sampling Technique (SMOTE)</w:t>
      </w:r>
      <w:r>
        <w:rPr>
          <w:rFonts w:ascii="Arial" w:hAnsi="Arial"/>
          <w:i w:val="0"/>
          <w:color w:val="1F2937"/>
          <w:sz w:val="21"/>
        </w:rPr>
        <w:t>: Generating synthetic minority feature vectors by interpolating between $k$-nearest neighbors in the 60-dimensional feature space. While improving minority representation, SMOTE frequently created unrealistic temporal feature combinations that violated physical energy conservation constraints.</w:t>
      </w:r>
    </w:p>
    <w:p>
      <w:pPr>
        <w:spacing w:before="40" w:after="40" w:line="288" w:lineRule="auto"/>
        <w:ind w:left="432" w:hanging="288"/>
      </w:pPr>
      <w:r>
        <w:rPr>
          <w:b/>
          <w:color w:val="1E3A8A"/>
        </w:rPr>
        <w:t xml:space="preserve">3. </w:t>
      </w:r>
      <w:r>
        <w:rPr>
          <w:rFonts w:ascii="Arial" w:hAnsi="Arial"/>
          <w:b/>
          <w:i w:val="0"/>
          <w:color w:val="1F2937"/>
          <w:sz w:val="21"/>
        </w:rPr>
        <w:t>Frequency-Inverse Class Weighting</w:t>
      </w:r>
      <w:r>
        <w:rPr>
          <w:rFonts w:ascii="Arial" w:hAnsi="Arial"/>
          <w:i w:val="0"/>
          <w:color w:val="1F2937"/>
          <w:sz w:val="21"/>
        </w:rPr>
        <w:t xml:space="preserve">: Incorporating </w:t>
      </w:r>
      <w:r>
        <w:rPr>
          <w:rFonts w:ascii="Consolas" w:hAnsi="Consolas"/>
          <w:i w:val="0"/>
          <w:color w:val="B91C1C"/>
          <w:sz w:val="19"/>
        </w:rPr>
        <w:t>scale_pos_weight = N_{\text{neg}} / N_{\text{pos}} \approx 10.72</w:t>
      </w:r>
      <w:r>
        <w:rPr>
          <w:rFonts w:ascii="Arial" w:hAnsi="Arial"/>
          <w:i w:val="0"/>
          <w:color w:val="1F2937"/>
          <w:sz w:val="21"/>
        </w:rPr>
        <w:t xml:space="preserve"> into the objective function. This forced the tree splits to heavily penalize minority misclassification, elevating minority recall at the expense of a surge in false positives.</w:t>
      </w:r>
    </w:p>
    <w:p>
      <w:pPr>
        <w:pStyle w:val="Heading2"/>
      </w:pPr>
      <w:r>
        <w:t>20.6 Cost-Sensitive Objective Implementation</w:t>
      </w:r>
    </w:p>
    <w:p>
      <w:pPr/>
      <w:r>
        <w:rPr>
          <w:rFonts w:ascii="Arial" w:hAnsi="Arial"/>
          <w:i w:val="0"/>
          <w:color w:val="1F2937"/>
          <w:sz w:val="21"/>
        </w:rPr>
        <w:t>Phase 6 resolved the fundamental limitation of frequency-based weighting: two meters with identical low consumption are not financially equivalent if one is a heavy commercial enterprise stealing 100 kWh/day and the other is an unoccupied apartment consuming 0.1 kWh/day.</w:t>
      </w:r>
    </w:p>
    <w:p>
      <w:pPr/>
      <w:r>
        <w:rPr>
          <w:rFonts w:ascii="Arial" w:hAnsi="Arial"/>
          <w:i w:val="0"/>
          <w:color w:val="1F2937"/>
          <w:sz w:val="21"/>
        </w:rPr>
        <w:t xml:space="preserve">In </w:t>
      </w:r>
      <w:r>
        <w:rPr>
          <w:rFonts w:ascii="Consolas" w:hAnsi="Consolas"/>
          <w:i w:val="0"/>
          <w:color w:val="B91C1C"/>
          <w:sz w:val="19"/>
        </w:rPr>
        <w:t>src/grid_guard/models/cost_sensitive_model.py</w:t>
      </w:r>
      <w:r>
        <w:rPr>
          <w:rFonts w:ascii="Arial" w:hAnsi="Arial"/>
          <w:i w:val="0"/>
          <w:color w:val="1F2937"/>
          <w:sz w:val="21"/>
        </w:rPr>
        <w:t xml:space="preserve"> and </w:t>
      </w:r>
      <w:r>
        <w:rPr>
          <w:rFonts w:ascii="Consolas" w:hAnsi="Consolas"/>
          <w:i w:val="0"/>
          <w:color w:val="B91C1C"/>
          <w:sz w:val="19"/>
        </w:rPr>
        <w:t>src/grid_guard/models/cost_sensitive_objective.py</w:t>
      </w:r>
      <w:r>
        <w:rPr>
          <w:rFonts w:ascii="Arial" w:hAnsi="Arial"/>
          <w:i w:val="0"/>
          <w:color w:val="1F2937"/>
          <w:sz w:val="21"/>
        </w:rPr>
        <w:t>, a custom second-order differentiable surrogate objective function was derived and implemented:</w:t>
      </w:r>
    </w:p>
    <w:p>
      <w:pPr>
        <w:spacing w:before="160" w:after="160"/>
        <w:jc w:val="center"/>
      </w:pPr>
      <w:r>
        <w:rPr>
          <w:rFonts w:ascii="Cambria Math" w:hAnsi="Cambria Math"/>
          <w:i/>
          <w:color w:val="1E3A8A"/>
          <w:sz w:val="22"/>
        </w:rPr>
        <w:t>\mathcal{L}_i(z_i) = w_i \left[ -y_i \log(\sigma(z_i)) - (1 - y_i) \log(1 - \sigma(z_i)) \right]</w:t>
      </w:r>
    </w:p>
    <w:p>
      <w:pPr/>
      <w:r>
        <w:rPr>
          <w:rFonts w:ascii="Arial" w:hAnsi="Arial"/>
          <w:i w:val="0"/>
          <w:color w:val="1F2937"/>
          <w:sz w:val="21"/>
        </w:rPr>
        <w:t>where $z_i$ is the booster's raw margin output, $\sigma(z_i) = \frac{1}{1 + e^{-z_i}}$ is the sigmoid link, and the financial instance weight is defined as:</w:t>
      </w:r>
    </w:p>
    <w:p>
      <w:pPr>
        <w:spacing w:before="160" w:after="160"/>
        <w:jc w:val="center"/>
      </w:pPr>
      <w:r>
        <w:rPr>
          <w:rFonts w:ascii="Cambria Math" w:hAnsi="Cambria Math"/>
          <w:i/>
          <w:color w:val="1E3A8A"/>
          <w:sz w:val="22"/>
        </w:rPr>
        <w:t>w_i = \begin{cases} C_{\text{FN}, i} = \text{Recoverable Revenue}_i &amp; \text{if } y_i = 1 \\ C_{\text{FP}} = \$100.00 &amp; \text{if } y_i = 0 \end{cases}</w:t>
      </w:r>
    </w:p>
    <w:p>
      <w:pPr/>
      <w:r>
        <w:rPr>
          <w:rFonts w:ascii="Arial" w:hAnsi="Arial"/>
          <w:i w:val="0"/>
          <w:color w:val="1F2937"/>
          <w:sz w:val="21"/>
        </w:rPr>
        <w:t>The analytical first derivative (gradient $g_i$) and second derivative (Hessian $h_i$) required by LightGBM's second-order Newton-Raphson tree splitting are:</w:t>
      </w:r>
    </w:p>
    <w:p>
      <w:pPr>
        <w:spacing w:before="160" w:after="160"/>
        <w:jc w:val="center"/>
      </w:pPr>
      <w:r>
        <w:rPr>
          <w:rFonts w:ascii="Cambria Math" w:hAnsi="Cambria Math"/>
          <w:i/>
          <w:color w:val="1E3A8A"/>
          <w:sz w:val="22"/>
        </w:rPr>
        <w:t>g_i = \frac{\partial \mathcal{L}_i}{\partial z_i} = w_i \left( \sigma(z_i) - y_i \right)</w:t>
      </w:r>
    </w:p>
    <w:p>
      <w:pPr>
        <w:spacing w:before="160" w:after="160"/>
        <w:jc w:val="center"/>
      </w:pPr>
      <w:r>
        <w:rPr>
          <w:rFonts w:ascii="Cambria Math" w:hAnsi="Cambria Math"/>
          <w:i/>
          <w:color w:val="1E3A8A"/>
          <w:sz w:val="22"/>
        </w:rPr>
        <w:t>h_i = \frac{\partial^2 \mathcal{L}_i}{\partial z_i^2} = w_i \sigma(z_i) \left( 1 - \sigma(z_i) \right)</w:t>
      </w:r>
    </w:p>
    <w:p>
      <w:pPr/>
      <w:r>
        <w:rPr>
          <w:rFonts w:ascii="Arial" w:hAnsi="Arial"/>
          <w:i w:val="0"/>
          <w:color w:val="1F2937"/>
          <w:sz w:val="21"/>
        </w:rPr>
        <w:t>Because $w_i &gt; 0$ for all instances and $\sigma(z_i)(1 - \sigma(z_i)) \in (0, 0.25]$, the Hessian is strictly positive, ensuring strict convexity and numerical stability during tree building.</w:t>
      </w:r>
    </w:p>
    <w:p>
      <w:pPr>
        <w:pStyle w:val="Heading2"/>
      </w:pPr>
      <w:r>
        <w:t>20.7 Dynamic Thresholding &amp; ENV Engine Implementation</w:t>
      </w:r>
    </w:p>
    <w:p>
      <w:pPr/>
      <w:r>
        <w:rPr>
          <w:rFonts w:ascii="Arial" w:hAnsi="Arial"/>
          <w:i w:val="0"/>
          <w:color w:val="1F2937"/>
          <w:sz w:val="21"/>
        </w:rPr>
        <w:t>Phase 7 transitioned model outputs from raw probabilities into actionable economic decisions (</w:t>
      </w:r>
      <w:r>
        <w:rPr>
          <w:rFonts w:ascii="Consolas" w:hAnsi="Consolas"/>
          <w:i w:val="0"/>
          <w:color w:val="B91C1C"/>
          <w:sz w:val="19"/>
        </w:rPr>
        <w:t>src/grid_guard/decision/dynamic_threshold.py</w:t>
      </w:r>
      <w:r>
        <w:rPr>
          <w:rFonts w:ascii="Arial" w:hAnsi="Arial"/>
          <w:i w:val="0"/>
          <w:color w:val="1F2937"/>
          <w:sz w:val="21"/>
        </w:rPr>
        <w:t xml:space="preserve"> and </w:t>
      </w:r>
      <w:r>
        <w:rPr>
          <w:rFonts w:ascii="Consolas" w:hAnsi="Consolas"/>
          <w:i w:val="0"/>
          <w:color w:val="B91C1C"/>
          <w:sz w:val="19"/>
        </w:rPr>
        <w:t>src/grid_guard/decision/inspection_planner.py</w:t>
      </w:r>
      <w:r>
        <w:rPr>
          <w:rFonts w:ascii="Arial" w:hAnsi="Arial"/>
          <w:i w:val="0"/>
          <w:color w:val="1F2937"/>
          <w:sz w:val="21"/>
        </w:rPr>
        <w:t>).</w:t>
      </w:r>
    </w:p>
    <w:p>
      <w:pPr/>
      <w:r>
        <w:rPr>
          <w:rFonts w:ascii="Arial" w:hAnsi="Arial"/>
          <w:i w:val="0"/>
          <w:color w:val="1F2937"/>
          <w:sz w:val="21"/>
        </w:rPr>
        <w:t>For each meter, the engine calculates:</w:t>
      </w:r>
    </w:p>
    <w:p>
      <w:pPr>
        <w:spacing w:before="40" w:after="40" w:line="288" w:lineRule="auto"/>
        <w:ind w:left="432" w:hanging="288"/>
      </w:pPr>
      <w:r>
        <w:rPr>
          <w:b/>
          <w:color w:val="1E3A8A"/>
        </w:rPr>
        <w:t xml:space="preserve">1. </w:t>
      </w:r>
      <w:r>
        <w:rPr>
          <w:rFonts w:ascii="Arial" w:hAnsi="Arial"/>
          <w:b/>
          <w:i w:val="0"/>
          <w:color w:val="1F2937"/>
          <w:sz w:val="21"/>
        </w:rPr>
        <w:t>Baseline Consumption ($\mu_{\text{base}, i}$)</w:t>
      </w:r>
      <w:r>
        <w:rPr>
          <w:rFonts w:ascii="Arial" w:hAnsi="Arial"/>
          <w:i w:val="0"/>
          <w:color w:val="1F2937"/>
          <w:sz w:val="21"/>
        </w:rPr>
        <w:t>: 90-day pre-drop historical consumption mean.</w:t>
      </w:r>
    </w:p>
    <w:p>
      <w:pPr>
        <w:spacing w:before="40" w:after="40" w:line="288" w:lineRule="auto"/>
        <w:ind w:left="432" w:hanging="288"/>
      </w:pPr>
      <w:r>
        <w:rPr>
          <w:b/>
          <w:color w:val="1E3A8A"/>
        </w:rPr>
        <w:t xml:space="preserve">2. </w:t>
      </w:r>
      <w:r>
        <w:rPr>
          <w:rFonts w:ascii="Arial" w:hAnsi="Arial"/>
          <w:b/>
          <w:i w:val="0"/>
          <w:color w:val="1F2937"/>
          <w:sz w:val="21"/>
        </w:rPr>
        <w:t>Current Consumption ($c_{\text{obs}, i}$)</w:t>
      </w:r>
      <w:r>
        <w:rPr>
          <w:rFonts w:ascii="Arial" w:hAnsi="Arial"/>
          <w:i w:val="0"/>
          <w:color w:val="1F2937"/>
          <w:sz w:val="21"/>
        </w:rPr>
        <w:t>: 30-day current consumption mean.</w:t>
      </w:r>
    </w:p>
    <w:p>
      <w:pPr>
        <w:spacing w:before="40" w:after="40" w:line="288" w:lineRule="auto"/>
        <w:ind w:left="432" w:hanging="288"/>
      </w:pPr>
      <w:r>
        <w:rPr>
          <w:b/>
          <w:color w:val="1E3A8A"/>
        </w:rPr>
        <w:t xml:space="preserve">3. </w:t>
      </w:r>
      <w:r>
        <w:rPr>
          <w:rFonts w:ascii="Arial" w:hAnsi="Arial"/>
          <w:b/>
          <w:i w:val="0"/>
          <w:color w:val="1F2937"/>
          <w:sz w:val="21"/>
        </w:rPr>
        <w:t>Daily Unmetered Volume</w:t>
      </w:r>
      <w:r>
        <w:rPr>
          <w:rFonts w:ascii="Arial" w:hAnsi="Arial"/>
          <w:i w:val="0"/>
          <w:color w:val="1F2937"/>
          <w:sz w:val="21"/>
        </w:rPr>
        <w:t>: $\Delta c_i = \max(0, \mu_{\text{base}, i} - c_{\text{obs}, i})$.</w:t>
      </w:r>
    </w:p>
    <w:p>
      <w:pPr>
        <w:spacing w:before="40" w:after="40" w:line="288" w:lineRule="auto"/>
        <w:ind w:left="432" w:hanging="288"/>
      </w:pPr>
      <w:r>
        <w:rPr>
          <w:b/>
          <w:color w:val="1E3A8A"/>
        </w:rPr>
        <w:t xml:space="preserve">4. </w:t>
      </w:r>
      <w:r>
        <w:rPr>
          <w:rFonts w:ascii="Arial" w:hAnsi="Arial"/>
          <w:b/>
          <w:i w:val="0"/>
          <w:color w:val="1F2937"/>
          <w:sz w:val="21"/>
        </w:rPr>
        <w:t>Estimated Recoverable Revenue</w:t>
      </w:r>
      <w:r>
        <w:rPr>
          <w:rFonts w:ascii="Arial" w:hAnsi="Arial"/>
          <w:i w:val="0"/>
          <w:color w:val="1F2937"/>
          <w:sz w:val="21"/>
        </w:rPr>
        <w:t>:</w:t>
      </w:r>
    </w:p>
    <w:p>
      <w:pPr>
        <w:spacing w:before="160" w:after="160"/>
        <w:jc w:val="center"/>
      </w:pPr>
      <w:r>
        <w:rPr>
          <w:rFonts w:ascii="Cambria Math" w:hAnsi="Cambria Math"/>
          <w:i/>
          <w:color w:val="1E3A8A"/>
          <w:sz w:val="22"/>
        </w:rPr>
        <w:t>R_i = \Delta c_i \times T_{\text{tamper}} \times r \times \eta</w:t>
      </w:r>
    </w:p>
    <w:p>
      <w:pPr/>
      <w:r>
        <w:rPr>
          <w:rFonts w:ascii="Arial" w:hAnsi="Arial"/>
          <w:i w:val="0"/>
          <w:color w:val="1F2937"/>
          <w:sz w:val="21"/>
        </w:rPr>
        <w:t>where $T_{\text{tamper}} = 180$ days, tariff $r = \$0.15$/kWh, and recovery factor $\eta = 0.80$.</w:t>
      </w:r>
    </w:p>
    <w:p>
      <w:pPr>
        <w:spacing w:before="40" w:after="40" w:line="288" w:lineRule="auto"/>
        <w:ind w:left="432" w:hanging="288"/>
      </w:pPr>
      <w:r>
        <w:rPr>
          <w:b/>
          <w:color w:val="1E3A8A"/>
        </w:rPr>
        <w:t xml:space="preserve">5. </w:t>
      </w:r>
      <w:r>
        <w:rPr>
          <w:rFonts w:ascii="Arial" w:hAnsi="Arial"/>
          <w:b/>
          <w:i w:val="0"/>
          <w:color w:val="1F2937"/>
          <w:sz w:val="21"/>
        </w:rPr>
        <w:t>Dynamic Cost Threshold</w:t>
      </w:r>
      <w:r>
        <w:rPr>
          <w:rFonts w:ascii="Arial" w:hAnsi="Arial"/>
          <w:i w:val="0"/>
          <w:color w:val="1F2937"/>
          <w:sz w:val="21"/>
        </w:rPr>
        <w:t>:</w:t>
      </w:r>
    </w:p>
    <w:p>
      <w:pPr>
        <w:spacing w:before="160" w:after="160"/>
        <w:jc w:val="center"/>
      </w:pPr>
      <w:r>
        <w:rPr>
          <w:rFonts w:ascii="Cambria Math" w:hAnsi="Cambria Math"/>
          <w:i/>
          <w:color w:val="1E3A8A"/>
          <w:sz w:val="22"/>
        </w:rPr>
        <w:t>\tau_{\text{cost}, i} = \frac{C_{\text{dispatch}}}{C_{\text{dispatch}} + R_i}</w:t>
      </w:r>
    </w:p>
    <w:p>
      <w:pPr>
        <w:spacing w:before="40" w:after="40" w:line="288" w:lineRule="auto"/>
        <w:ind w:left="432" w:hanging="288"/>
      </w:pPr>
      <w:r>
        <w:rPr>
          <w:b/>
          <w:color w:val="1E3A8A"/>
        </w:rPr>
        <w:t xml:space="preserve">6. </w:t>
      </w:r>
      <w:r>
        <w:rPr>
          <w:rFonts w:ascii="Arial" w:hAnsi="Arial"/>
          <w:b/>
          <w:i w:val="0"/>
          <w:color w:val="1F2937"/>
          <w:sz w:val="21"/>
        </w:rPr>
        <w:t>Breakeven ENV Threshold</w:t>
      </w:r>
      <w:r>
        <w:rPr>
          <w:rFonts w:ascii="Arial" w:hAnsi="Arial"/>
          <w:i w:val="0"/>
          <w:color w:val="1F2937"/>
          <w:sz w:val="21"/>
        </w:rPr>
        <w:t>:</w:t>
      </w:r>
    </w:p>
    <w:p>
      <w:pPr>
        <w:spacing w:before="160" w:after="160"/>
        <w:jc w:val="center"/>
      </w:pPr>
      <w:r>
        <w:rPr>
          <w:rFonts w:ascii="Cambria Math" w:hAnsi="Cambria Math"/>
          <w:i/>
          <w:color w:val="1E3A8A"/>
          <w:sz w:val="22"/>
        </w:rPr>
        <w:t>\tau_{\text{env}, i} = \frac{C_{\text{dispatch}}}{R_i}</w:t>
      </w:r>
    </w:p>
    <w:p>
      <w:pPr>
        <w:spacing w:before="40" w:after="40" w:line="288" w:lineRule="auto"/>
        <w:ind w:left="432" w:hanging="288"/>
      </w:pPr>
      <w:r>
        <w:rPr>
          <w:b/>
          <w:color w:val="1E3A8A"/>
        </w:rPr>
        <w:t xml:space="preserve">7. </w:t>
      </w:r>
      <w:r>
        <w:rPr>
          <w:rFonts w:ascii="Arial" w:hAnsi="Arial"/>
          <w:b/>
          <w:i w:val="0"/>
          <w:color w:val="1F2937"/>
          <w:sz w:val="21"/>
        </w:rPr>
        <w:t>Expected Net Value (ENV)</w:t>
      </w:r>
      <w:r>
        <w:rPr>
          <w:rFonts w:ascii="Arial" w:hAnsi="Arial"/>
          <w:i w:val="0"/>
          <w:color w:val="1F2937"/>
          <w:sz w:val="21"/>
        </w:rPr>
        <w:t>:</w:t>
      </w:r>
    </w:p>
    <w:p>
      <w:pPr>
        <w:spacing w:before="160" w:after="160"/>
        <w:jc w:val="center"/>
      </w:pPr>
      <w:r>
        <w:rPr>
          <w:rFonts w:ascii="Cambria Math" w:hAnsi="Cambria Math"/>
          <w:i/>
          <w:color w:val="1E3A8A"/>
          <w:sz w:val="22"/>
        </w:rPr>
        <w:t>ENV_i = p_i R_i - C_{\text{dispatch}}</w:t>
      </w:r>
    </w:p>
    <w:p>
      <w:pPr/>
      <w:r>
        <w:rPr>
          <w:rFonts w:ascii="Arial" w:hAnsi="Arial"/>
          <w:i w:val="0"/>
          <w:color w:val="1F2937"/>
          <w:sz w:val="21"/>
        </w:rPr>
        <w:t>The fleet inspection planner discards all meters where $ENV_i \le 0$ and sorts the remainder in strictly descending order of $ENV_i$, producing an optimal prioritized dispatch queue.</w:t>
      </w:r>
    </w:p>
    <w:p>
      <w:pPr>
        <w:pStyle w:val="Heading2"/>
      </w:pPr>
      <w:r>
        <w:t>20.8 Tree-SHAP &amp; Narrative Generation Implementation</w:t>
      </w:r>
    </w:p>
    <w:p>
      <w:pPr/>
      <w:r>
        <w:rPr>
          <w:rFonts w:ascii="Arial" w:hAnsi="Arial"/>
          <w:i w:val="0"/>
          <w:color w:val="1F2937"/>
          <w:sz w:val="21"/>
        </w:rPr>
        <w:t>Phase 8 implemented model explainability (</w:t>
      </w:r>
      <w:r>
        <w:rPr>
          <w:rFonts w:ascii="Consolas" w:hAnsi="Consolas"/>
          <w:i w:val="0"/>
          <w:color w:val="B91C1C"/>
          <w:sz w:val="19"/>
        </w:rPr>
        <w:t>src/grid_guard/models/explainability_pipeline.py</w:t>
      </w:r>
      <w:r>
        <w:rPr>
          <w:rFonts w:ascii="Arial" w:hAnsi="Arial"/>
          <w:i w:val="0"/>
          <w:color w:val="1F2937"/>
          <w:sz w:val="21"/>
        </w:rPr>
        <w:t>) using Lundberg's Tree-SHAP algorithm. Tree-SHAP traverses the ensemble trees in polynomial time $\mathcal{O}(T L D^2)$, computing exact additive feature contributions:</w:t>
      </w:r>
    </w:p>
    <w:p>
      <w:pPr>
        <w:spacing w:before="160" w:after="160"/>
        <w:jc w:val="center"/>
      </w:pPr>
      <w:r>
        <w:rPr>
          <w:rFonts w:ascii="Cambria Math" w:hAnsi="Cambria Math"/>
          <w:i/>
          <w:color w:val="1E3A8A"/>
          <w:sz w:val="22"/>
        </w:rPr>
        <w:t>f(x_i) = \phi_0 + \sum_{j=1}^{60} \phi_{i, j}</w:t>
      </w:r>
    </w:p>
    <w:p>
      <w:pPr/>
      <w:r>
        <w:rPr>
          <w:rFonts w:ascii="Arial" w:hAnsi="Arial"/>
          <w:i w:val="0"/>
          <w:color w:val="1F2937"/>
          <w:sz w:val="21"/>
        </w:rPr>
        <w:t>where $\phi_0$ is the expected dataset base margin and $\phi_{i, j}$ is the attribution of feature $j$ to the margin score of meter $i$.</w:t>
      </w:r>
    </w:p>
    <w:p>
      <w:pPr/>
      <w:r>
        <w:rPr>
          <w:rFonts w:ascii="Arial" w:hAnsi="Arial"/>
          <w:i w:val="0"/>
          <w:color w:val="1F2937"/>
          <w:sz w:val="21"/>
        </w:rPr>
        <w:t>The explanation engine maps feature attributions into physical evidence:</w:t>
      </w:r>
    </w:p>
    <w:p>
      <w:pPr>
        <w:spacing w:before="20" w:after="40" w:line="288" w:lineRule="auto"/>
        <w:ind w:left="360" w:hanging="216"/>
      </w:pPr>
      <w:r>
        <w:rPr>
          <w:b/>
          <w:color w:val="2563EB"/>
        </w:rPr>
        <w:t xml:space="preserve">• </w:t>
      </w:r>
      <w:r>
        <w:rPr>
          <w:rFonts w:ascii="Arial" w:hAnsi="Arial"/>
          <w:i w:val="0"/>
          <w:color w:val="1F2937"/>
          <w:sz w:val="21"/>
        </w:rPr>
        <w:t>Filters for the top positive SHAP attributions pushing the score toward tampering.</w:t>
      </w:r>
    </w:p>
    <w:p>
      <w:pPr>
        <w:spacing w:before="20" w:after="40" w:line="288" w:lineRule="auto"/>
        <w:ind w:left="360" w:hanging="216"/>
      </w:pPr>
      <w:r>
        <w:rPr>
          <w:b/>
          <w:color w:val="2563EB"/>
        </w:rPr>
        <w:t xml:space="preserve">• </w:t>
      </w:r>
      <w:r>
        <w:rPr>
          <w:rFonts w:ascii="Arial" w:hAnsi="Arial"/>
          <w:i w:val="0"/>
          <w:color w:val="1F2937"/>
          <w:sz w:val="21"/>
        </w:rPr>
        <w:t>Compares observed values against historical distributions to detect sudden drops or flatlines.</w:t>
      </w:r>
    </w:p>
    <w:p>
      <w:pPr>
        <w:spacing w:before="20" w:after="40" w:line="288" w:lineRule="auto"/>
        <w:ind w:left="360" w:hanging="216"/>
      </w:pPr>
      <w:r>
        <w:rPr>
          <w:b/>
          <w:color w:val="2563EB"/>
        </w:rPr>
        <w:t xml:space="preserve">• </w:t>
      </w:r>
      <w:r>
        <w:rPr>
          <w:rFonts w:ascii="Arial" w:hAnsi="Arial"/>
          <w:i w:val="0"/>
          <w:color w:val="1F2937"/>
          <w:sz w:val="21"/>
        </w:rPr>
        <w:t>Synthesizes an auditable, plain-English summary for utility technicians, identifying the primary signature (e.g., "Sustained 68% consumption drop from historical baseline of 34.2 kWh/day").</w:t>
      </w:r>
    </w:p>
    <w:p>
      <w:pPr>
        <w:pStyle w:val="Heading2"/>
      </w:pPr>
      <w:r>
        <w:t>20.9 FastAPI Production Backend Implementation</w:t>
      </w:r>
    </w:p>
    <w:p>
      <w:pPr/>
      <w:r>
        <w:rPr>
          <w:rFonts w:ascii="Arial" w:hAnsi="Arial"/>
          <w:i w:val="0"/>
          <w:color w:val="1F2937"/>
          <w:sz w:val="21"/>
        </w:rPr>
        <w:t>Phase 9 exposed all underlying data science components via a production-grade FastAPI service (</w:t>
      </w:r>
      <w:r>
        <w:rPr>
          <w:rFonts w:ascii="Consolas" w:hAnsi="Consolas"/>
          <w:i w:val="0"/>
          <w:color w:val="B91C1C"/>
          <w:sz w:val="19"/>
        </w:rPr>
        <w:t>src/grid_guard/api/main.py</w:t>
      </w:r>
      <w:r>
        <w:rPr>
          <w:rFonts w:ascii="Arial" w:hAnsi="Arial"/>
          <w:i w:val="0"/>
          <w:color w:val="1F2937"/>
          <w:sz w:val="21"/>
        </w:rPr>
        <w:t>). Key implementation details include:</w:t>
      </w:r>
    </w:p>
    <w:p>
      <w:pPr>
        <w:spacing w:before="20" w:after="40" w:line="288" w:lineRule="auto"/>
        <w:ind w:left="360" w:hanging="216"/>
      </w:pPr>
      <w:r>
        <w:rPr>
          <w:b/>
          <w:color w:val="2563EB"/>
        </w:rPr>
        <w:t xml:space="preserve">• </w:t>
      </w:r>
      <w:r>
        <w:rPr>
          <w:rFonts w:ascii="Arial" w:hAnsi="Arial"/>
          <w:b/>
          <w:i w:val="0"/>
          <w:color w:val="1F2937"/>
          <w:sz w:val="21"/>
        </w:rPr>
        <w:t>ASGI Lifespan Preloading</w:t>
      </w:r>
      <w:r>
        <w:rPr>
          <w:rFonts w:ascii="Arial" w:hAnsi="Arial"/>
          <w:i w:val="0"/>
          <w:color w:val="1F2937"/>
          <w:sz w:val="21"/>
        </w:rPr>
        <w:t>: The model booster, background SHAP summary distribution, and feature configurations are loaded into memory once during application startup. Per-request disk access is completely eliminated.</w:t>
      </w:r>
    </w:p>
    <w:p>
      <w:pPr>
        <w:spacing w:before="20" w:after="40" w:line="288" w:lineRule="auto"/>
        <w:ind w:left="360" w:hanging="216"/>
      </w:pPr>
      <w:r>
        <w:rPr>
          <w:b/>
          <w:color w:val="2563EB"/>
        </w:rPr>
        <w:t xml:space="preserve">• </w:t>
      </w:r>
      <w:r>
        <w:rPr>
          <w:rFonts w:ascii="Arial" w:hAnsi="Arial"/>
          <w:b/>
          <w:i w:val="0"/>
          <w:color w:val="1F2937"/>
          <w:sz w:val="21"/>
        </w:rPr>
        <w:t>Typed Pydantic Contracts</w:t>
      </w:r>
      <w:r>
        <w:rPr>
          <w:rFonts w:ascii="Arial" w:hAnsi="Arial"/>
          <w:i w:val="0"/>
          <w:color w:val="1F2937"/>
          <w:sz w:val="21"/>
        </w:rPr>
        <w:t>: Strict validation on inputs (</w:t>
      </w:r>
      <w:r>
        <w:rPr>
          <w:rFonts w:ascii="Consolas" w:hAnsi="Consolas"/>
          <w:i w:val="0"/>
          <w:color w:val="B91C1C"/>
          <w:sz w:val="19"/>
        </w:rPr>
        <w:t>MeterPredictionRequest</w:t>
      </w:r>
      <w:r>
        <w:rPr>
          <w:rFonts w:ascii="Arial" w:hAnsi="Arial"/>
          <w:i w:val="0"/>
          <w:color w:val="1F2937"/>
          <w:sz w:val="21"/>
        </w:rPr>
        <w:t xml:space="preserve">, </w:t>
      </w:r>
      <w:r>
        <w:rPr>
          <w:rFonts w:ascii="Consolas" w:hAnsi="Consolas"/>
          <w:i w:val="0"/>
          <w:color w:val="B91C1C"/>
          <w:sz w:val="19"/>
        </w:rPr>
        <w:t>FleetRankingRequest</w:t>
      </w:r>
      <w:r>
        <w:rPr>
          <w:rFonts w:ascii="Arial" w:hAnsi="Arial"/>
          <w:i w:val="0"/>
          <w:color w:val="1F2937"/>
          <w:sz w:val="21"/>
        </w:rPr>
        <w:t>) and responses (</w:t>
      </w:r>
      <w:r>
        <w:rPr>
          <w:rFonts w:ascii="Consolas" w:hAnsi="Consolas"/>
          <w:i w:val="0"/>
          <w:color w:val="B91C1C"/>
          <w:sz w:val="19"/>
        </w:rPr>
        <w:t>MeterPredictionResponse</w:t>
      </w:r>
      <w:r>
        <w:rPr>
          <w:rFonts w:ascii="Arial" w:hAnsi="Arial"/>
          <w:i w:val="0"/>
          <w:color w:val="1F2937"/>
          <w:sz w:val="21"/>
        </w:rPr>
        <w:t xml:space="preserve">, </w:t>
      </w:r>
      <w:r>
        <w:rPr>
          <w:rFonts w:ascii="Consolas" w:hAnsi="Consolas"/>
          <w:i w:val="0"/>
          <w:color w:val="B91C1C"/>
          <w:sz w:val="19"/>
        </w:rPr>
        <w:t>InspectionTicketResponse</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REST Endpoints</w:t>
      </w:r>
      <w:r>
        <w:rPr>
          <w:rFonts w:ascii="Arial" w:hAnsi="Arial"/>
          <w:i w:val="0"/>
          <w:color w:val="1F2937"/>
          <w:sz w:val="21"/>
        </w:rPr>
        <w:t>:</w:t>
      </w:r>
    </w:p>
    <w:p>
      <w:pPr>
        <w:spacing w:before="20" w:after="40" w:line="288" w:lineRule="auto"/>
        <w:ind w:left="360" w:hanging="216"/>
      </w:pPr>
      <w:r>
        <w:rPr>
          <w:b/>
          <w:color w:val="2563EB"/>
        </w:rPr>
        <w:t xml:space="preserve">• </w:t>
      </w:r>
      <w:r>
        <w:rPr>
          <w:rFonts w:ascii="Consolas" w:hAnsi="Consolas"/>
          <w:i w:val="0"/>
          <w:color w:val="B91C1C"/>
          <w:sz w:val="19"/>
        </w:rPr>
        <w:t>GET /health</w:t>
      </w:r>
      <w:r>
        <w:rPr>
          <w:rFonts w:ascii="Arial" w:hAnsi="Arial"/>
          <w:i w:val="0"/>
          <w:color w:val="1F2937"/>
          <w:sz w:val="21"/>
        </w:rPr>
        <w:t>: Liveness probe and model readiness status.</w:t>
      </w:r>
    </w:p>
    <w:p>
      <w:pPr>
        <w:spacing w:before="20" w:after="40" w:line="288" w:lineRule="auto"/>
        <w:ind w:left="360" w:hanging="216"/>
      </w:pPr>
      <w:r>
        <w:rPr>
          <w:b/>
          <w:color w:val="2563EB"/>
        </w:rPr>
        <w:t xml:space="preserve">• </w:t>
      </w:r>
      <w:r>
        <w:rPr>
          <w:rFonts w:ascii="Consolas" w:hAnsi="Consolas"/>
          <w:i w:val="0"/>
          <w:color w:val="B91C1C"/>
          <w:sz w:val="19"/>
        </w:rPr>
        <w:t>POST /api/v1/predict/meter</w:t>
      </w:r>
      <w:r>
        <w:rPr>
          <w:rFonts w:ascii="Arial" w:hAnsi="Arial"/>
          <w:i w:val="0"/>
          <w:color w:val="1F2937"/>
          <w:sz w:val="21"/>
        </w:rPr>
        <w:t>: Real-time single-meter inference and financial exposure.</w:t>
      </w:r>
    </w:p>
    <w:p>
      <w:pPr>
        <w:spacing w:before="20" w:after="40" w:line="288" w:lineRule="auto"/>
        <w:ind w:left="360" w:hanging="216"/>
      </w:pPr>
      <w:r>
        <w:rPr>
          <w:b/>
          <w:color w:val="2563EB"/>
        </w:rPr>
        <w:t xml:space="preserve">• </w:t>
      </w:r>
      <w:r>
        <w:rPr>
          <w:rFonts w:ascii="Consolas" w:hAnsi="Consolas"/>
          <w:i w:val="0"/>
          <w:color w:val="B91C1C"/>
          <w:sz w:val="19"/>
        </w:rPr>
        <w:t>POST /api/v1/explain/meter</w:t>
      </w:r>
      <w:r>
        <w:rPr>
          <w:rFonts w:ascii="Arial" w:hAnsi="Arial"/>
          <w:i w:val="0"/>
          <w:color w:val="1F2937"/>
          <w:sz w:val="21"/>
        </w:rPr>
        <w:t>: Tree-SHAP attribution vectors and tampering signature narrative.</w:t>
      </w:r>
    </w:p>
    <w:p>
      <w:pPr>
        <w:spacing w:before="20" w:after="40" w:line="288" w:lineRule="auto"/>
        <w:ind w:left="360" w:hanging="216"/>
      </w:pPr>
      <w:r>
        <w:rPr>
          <w:b/>
          <w:color w:val="2563EB"/>
        </w:rPr>
        <w:t xml:space="preserve">• </w:t>
      </w:r>
      <w:r>
        <w:rPr>
          <w:rFonts w:ascii="Consolas" w:hAnsi="Consolas"/>
          <w:i w:val="0"/>
          <w:color w:val="B91C1C"/>
          <w:sz w:val="19"/>
        </w:rPr>
        <w:t>POST /api/v1/fleet/rank</w:t>
      </w:r>
      <w:r>
        <w:rPr>
          <w:rFonts w:ascii="Arial" w:hAnsi="Arial"/>
          <w:i w:val="0"/>
          <w:color w:val="1F2937"/>
          <w:sz w:val="21"/>
        </w:rPr>
        <w:t>: Batch prioritization of fleet datasets with capacity truncation.</w:t>
      </w:r>
    </w:p>
    <w:p>
      <w:pPr>
        <w:pStyle w:val="Heading2"/>
      </w:pPr>
      <w:r>
        <w:t>20.10 Streamlit Dashboard Implementation</w:t>
      </w:r>
    </w:p>
    <w:p>
      <w:pPr/>
      <w:r>
        <w:rPr>
          <w:rFonts w:ascii="Arial" w:hAnsi="Arial"/>
          <w:i w:val="0"/>
          <w:color w:val="1F2937"/>
          <w:sz w:val="21"/>
        </w:rPr>
        <w:t>Phase 10 implemented an interactive, multi-view operational dashboard (</w:t>
      </w:r>
      <w:r>
        <w:rPr>
          <w:rFonts w:ascii="Consolas" w:hAnsi="Consolas"/>
          <w:i w:val="0"/>
          <w:color w:val="B91C1C"/>
          <w:sz w:val="19"/>
        </w:rPr>
        <w:t>src/grid_guard/dashboard/app.py</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b/>
          <w:i w:val="0"/>
          <w:color w:val="1F2937"/>
          <w:sz w:val="21"/>
        </w:rPr>
        <w:t>Decoupled Architecture</w:t>
      </w:r>
      <w:r>
        <w:rPr>
          <w:rFonts w:ascii="Arial" w:hAnsi="Arial"/>
          <w:i w:val="0"/>
          <w:color w:val="1F2937"/>
          <w:sz w:val="21"/>
        </w:rPr>
        <w:t>: Communicates exclusively with the FastAPI backend via an internal HTTP client (</w:t>
      </w:r>
      <w:r>
        <w:rPr>
          <w:rFonts w:ascii="Consolas" w:hAnsi="Consolas"/>
          <w:i w:val="0"/>
          <w:color w:val="B91C1C"/>
          <w:sz w:val="19"/>
        </w:rPr>
        <w:t>DashboardApiClient</w:t>
      </w:r>
      <w:r>
        <w:rPr>
          <w:rFonts w:ascii="Arial" w:hAnsi="Arial"/>
          <w:i w:val="0"/>
          <w:color w:val="1F2937"/>
          <w:sz w:val="21"/>
        </w:rPr>
        <w:t>). No business or ML logic is duplicated inside the UI.</w:t>
      </w:r>
    </w:p>
    <w:p>
      <w:pPr>
        <w:spacing w:before="20" w:after="40" w:line="288" w:lineRule="auto"/>
        <w:ind w:left="360" w:hanging="216"/>
      </w:pPr>
      <w:r>
        <w:rPr>
          <w:b/>
          <w:color w:val="2563EB"/>
        </w:rPr>
        <w:t xml:space="preserve">• </w:t>
      </w:r>
      <w:r>
        <w:rPr>
          <w:rFonts w:ascii="Arial" w:hAnsi="Arial"/>
          <w:b/>
          <w:i w:val="0"/>
          <w:color w:val="1F2937"/>
          <w:sz w:val="21"/>
        </w:rPr>
        <w:t>Fleet Overview View</w:t>
      </w:r>
      <w:r>
        <w:rPr>
          <w:rFonts w:ascii="Arial" w:hAnsi="Arial"/>
          <w:i w:val="0"/>
          <w:color w:val="1F2937"/>
          <w:sz w:val="21"/>
        </w:rPr>
        <w:t>: Displays executive KPIs (Fleet Net Recovery, Wasted Dispatch Overhead, Inspection Precision), ENV distribution histograms, and an interactive prioritized dispatch table with CSV export.</w:t>
      </w:r>
    </w:p>
    <w:p>
      <w:pPr>
        <w:spacing w:before="20" w:after="40" w:line="288" w:lineRule="auto"/>
        <w:ind w:left="360" w:hanging="216"/>
      </w:pPr>
      <w:r>
        <w:rPr>
          <w:b/>
          <w:color w:val="2563EB"/>
        </w:rPr>
        <w:t xml:space="preserve">• </w:t>
      </w:r>
      <w:r>
        <w:rPr>
          <w:rFonts w:ascii="Arial" w:hAnsi="Arial"/>
          <w:b/>
          <w:i w:val="0"/>
          <w:color w:val="1F2937"/>
          <w:sz w:val="21"/>
        </w:rPr>
        <w:t>Single-Meter Drilldown View</w:t>
      </w:r>
      <w:r>
        <w:rPr>
          <w:rFonts w:ascii="Arial" w:hAnsi="Arial"/>
          <w:i w:val="0"/>
          <w:color w:val="1F2937"/>
          <w:sz w:val="21"/>
        </w:rPr>
        <w:t>: Renders 180-day consumption line charts with changepoints, SHAP waterfall plots, dynamic threshold gauges, and a downloadable PDF/HTML work order.</w:t>
      </w:r>
    </w:p>
    <w:p>
      <w:pPr>
        <w:spacing w:before="20" w:after="40" w:line="288" w:lineRule="auto"/>
        <w:ind w:left="360" w:hanging="216"/>
      </w:pPr>
      <w:r>
        <w:rPr>
          <w:b/>
          <w:color w:val="2563EB"/>
        </w:rPr>
        <w:t xml:space="preserve">• </w:t>
      </w:r>
      <w:r>
        <w:rPr>
          <w:rFonts w:ascii="Arial" w:hAnsi="Arial"/>
          <w:b/>
          <w:i w:val="0"/>
          <w:color w:val="1F2937"/>
          <w:sz w:val="21"/>
        </w:rPr>
        <w:t>Interactive Demo View</w:t>
      </w:r>
      <w:r>
        <w:rPr>
          <w:rFonts w:ascii="Arial" w:hAnsi="Arial"/>
          <w:i w:val="0"/>
          <w:color w:val="1F2937"/>
          <w:sz w:val="21"/>
        </w:rPr>
        <w:t>: Allows users to simulate five distinct tampering archetypes (Abrupt Bypassing, Partial Resistance Shunting, Seasonal Peak Divergence, Rural Lifeline Consumer, and Honest Volatile User), demonstrating how Grid-Guard dynamically adapts its inspection decisions.</w:t>
      </w:r>
    </w:p>
    <w:p>
      <w:pPr>
        <w:pStyle w:val="Heading2"/>
      </w:pPr>
      <w:r>
        <w:t>20.11 Deployment Containerization Implementation</w:t>
      </w:r>
    </w:p>
    <w:p>
      <w:pPr/>
      <w:r>
        <w:rPr>
          <w:rFonts w:ascii="Arial" w:hAnsi="Arial"/>
          <w:i w:val="0"/>
          <w:color w:val="1F2937"/>
          <w:sz w:val="21"/>
        </w:rPr>
        <w:t>To ensure frictionless deployment across diverse utility cloud and on-premise environments, Grid-Guard was containerized using Docker and Docker Compose:</w:t>
      </w:r>
    </w:p>
    <w:p>
      <w:pPr>
        <w:spacing w:before="20" w:after="40" w:line="288" w:lineRule="auto"/>
        <w:ind w:left="360" w:hanging="216"/>
      </w:pPr>
      <w:r>
        <w:rPr>
          <w:b/>
          <w:color w:val="2563EB"/>
        </w:rPr>
        <w:t xml:space="preserve">• </w:t>
      </w:r>
      <w:r>
        <w:rPr>
          <w:rFonts w:ascii="Consolas" w:hAnsi="Consolas"/>
          <w:i w:val="0"/>
          <w:color w:val="B91C1C"/>
          <w:sz w:val="19"/>
        </w:rPr>
        <w:t>Dockerfile.api</w:t>
      </w:r>
      <w:r>
        <w:rPr>
          <w:rFonts w:ascii="Arial" w:hAnsi="Arial"/>
          <w:i w:val="0"/>
          <w:color w:val="1F2937"/>
          <w:sz w:val="21"/>
        </w:rPr>
        <w:t>: Multi-stage Python 3.11 container running Uvicorn on port 5678.</w:t>
      </w:r>
    </w:p>
    <w:p>
      <w:pPr>
        <w:spacing w:before="20" w:after="40" w:line="288" w:lineRule="auto"/>
        <w:ind w:left="360" w:hanging="216"/>
      </w:pPr>
      <w:r>
        <w:rPr>
          <w:b/>
          <w:color w:val="2563EB"/>
        </w:rPr>
        <w:t xml:space="preserve">• </w:t>
      </w:r>
      <w:r>
        <w:rPr>
          <w:rFonts w:ascii="Consolas" w:hAnsi="Consolas"/>
          <w:i w:val="0"/>
          <w:color w:val="B91C1C"/>
          <w:sz w:val="19"/>
        </w:rPr>
        <w:t>Dockerfile.dashboard</w:t>
      </w:r>
      <w:r>
        <w:rPr>
          <w:rFonts w:ascii="Arial" w:hAnsi="Arial"/>
          <w:i w:val="0"/>
          <w:color w:val="1F2937"/>
          <w:sz w:val="21"/>
        </w:rPr>
        <w:t>: Containerized Streamlit application running on port 1456.</w:t>
      </w:r>
    </w:p>
    <w:p>
      <w:pPr>
        <w:spacing w:before="20" w:after="40" w:line="288" w:lineRule="auto"/>
        <w:ind w:left="360" w:hanging="216"/>
      </w:pPr>
      <w:r>
        <w:rPr>
          <w:b/>
          <w:color w:val="2563EB"/>
        </w:rPr>
        <w:t xml:space="preserve">• </w:t>
      </w:r>
      <w:r>
        <w:rPr>
          <w:rFonts w:ascii="Consolas" w:hAnsi="Consolas"/>
          <w:i w:val="0"/>
          <w:color w:val="B91C1C"/>
          <w:sz w:val="19"/>
        </w:rPr>
        <w:t>docker-compose.yml</w:t>
      </w:r>
      <w:r>
        <w:rPr>
          <w:rFonts w:ascii="Arial" w:hAnsi="Arial"/>
          <w:i w:val="0"/>
          <w:color w:val="1F2937"/>
          <w:sz w:val="21"/>
        </w:rPr>
        <w:t>: Defines service dependencies, network bridges, volume mounts for persistent data and models, and automatic health checks.</w:t>
      </w:r>
    </w:p>
    <w:p>
      <w:pPr>
        <w:spacing w:before="80" w:after="160"/>
      </w:pPr>
      <w:r>
        <w:rPr>
          <w:color w:val="E5E7EB"/>
          <w:sz w:val="16"/>
        </w:rPr>
        <w:t>_________________________________________________________________________________</w:t>
      </w:r>
    </w:p>
    <w:p>
      <w:r>
        <w:br w:type="page"/>
      </w:r>
    </w:p>
    <w:p>
      <w:pPr>
        <w:pStyle w:val="Heading1"/>
      </w:pPr>
      <w:r>
        <w:t>21. CODE</w:t>
      </w:r>
    </w:p>
    <w:p>
      <w:pPr/>
      <w:r>
        <w:rPr>
          <w:rFonts w:ascii="Arial" w:hAnsi="Arial"/>
          <w:i w:val="0"/>
          <w:color w:val="1F2937"/>
          <w:sz w:val="21"/>
        </w:rPr>
        <w:t xml:space="preserve">The following code excerpts represent authentic implementations directly extracted from the </w:t>
      </w:r>
      <w:r>
        <w:rPr>
          <w:rFonts w:ascii="Consolas" w:hAnsi="Consolas"/>
          <w:i w:val="0"/>
          <w:color w:val="B91C1C"/>
          <w:sz w:val="19"/>
        </w:rPr>
        <w:t>grid-guard</w:t>
      </w:r>
      <w:r>
        <w:rPr>
          <w:rFonts w:ascii="Arial" w:hAnsi="Arial"/>
          <w:i w:val="0"/>
          <w:color w:val="1F2937"/>
          <w:sz w:val="21"/>
        </w:rPr>
        <w:t xml:space="preserve"> repository.</w:t>
      </w:r>
    </w:p>
    <w:p>
      <w:pPr>
        <w:pStyle w:val="Heading2"/>
      </w:pPr>
      <w:r>
        <w:t>21.1 Configuration Management (`src/grid_guard/config/settings.py`)</w:t>
      </w:r>
    </w:p>
    <w:p>
      <w:pPr/>
      <w:r>
        <w:rPr>
          <w:rFonts w:ascii="Arial" w:hAnsi="Arial"/>
          <w:i w:val="0"/>
          <w:color w:val="1F2937"/>
          <w:sz w:val="21"/>
        </w:rPr>
        <w:t>Centralizes all system hyper-parameters, file paths, tariff structures, and operational costs using Pydantic Settings:</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from pathlib import Path</w:t>
              <w:br/>
              <w:t>from pydantic import Field</w:t>
              <w:br/>
              <w:t>from pydantic_settings import BaseSettings, SettingsConfigDict</w:t>
              <w:br/>
              <w:br/>
              <w:br/>
              <w:t>class Settings(BaseSettings):</w:t>
              <w:br/>
              <w:t xml:space="preserve">    model_config = SettingsConfigDict(</w:t>
              <w:br/>
              <w:t xml:space="preserve">        env_file=".env", env_file_encoding="utf-8", extra="ignore"</w:t>
              <w:br/>
              <w:t xml:space="preserve">    )</w:t>
              <w:br/>
              <w:br/>
              <w:t xml:space="preserve">    PROJECT_NAME: str = "Grid-Guard"</w:t>
              <w:br/>
              <w:t xml:space="preserve">    VERSION: str = "1.0.0"</w:t>
              <w:br/>
              <w:t xml:space="preserve">    API_PREFIX: str = "/api/v1"</w:t>
              <w:br/>
              <w:br/>
              <w:t xml:space="preserve">    # Default Tariff and Financial Cost Assumptions</w:t>
              <w:br/>
              <w:t xml:space="preserve">    DEFAULT_TARIFF_PER_KWH: float = Field(default=0.15, description="Tariff rate in $/kWh")</w:t>
              <w:br/>
              <w:t xml:space="preserve">    DEFAULT_DISPATCH_COST: float = Field(default=100.0, description="Cost per physical inspection in $")</w:t>
              <w:br/>
              <w:t xml:space="preserve">    RECOVERY_FACTOR: float = Field(default=0.80, description="Expected fraction of unmetered energy recovered")</w:t>
              <w:br/>
              <w:t xml:space="preserve">    DEFAULT_TAMPER_DAYS: int = Field(default=180, description="Assumed ongoing duration of unmetered leakage")</w:t>
              <w:br/>
              <w:br/>
              <w:t xml:space="preserve">    # Model Hyperparameters</w:t>
              <w:br/>
              <w:t xml:space="preserve">    MODEL_TYPE: str = "lightgbm_cost_sensitive"</w:t>
              <w:br/>
              <w:t xml:space="preserve">    NUM_LEAVES: int = 31</w:t>
              <w:br/>
              <w:t xml:space="preserve">    LEARNING_RATE: float = 0.05</w:t>
              <w:br/>
              <w:t xml:space="preserve">    N_ESTIMATORS: int = 300</w:t>
              <w:br/>
              <w:t xml:space="preserve">    RANDOM_STATE: int = 42</w:t>
              <w:br/>
              <w:br/>
              <w:t xml:space="preserve">    # Paths</w:t>
              <w:br/>
              <w:t xml:space="preserve">    BASE_DIR: Path = Path(__file__).resolve().parent.parent.parent.parent</w:t>
              <w:br/>
              <w:t xml:space="preserve">    DATA_DIR: Path = BASE_DIR / "data"</w:t>
              <w:br/>
              <w:t xml:space="preserve">    PROCESSED_DATA_DIR: Path = DATA_DIR / "processed"</w:t>
              <w:br/>
              <w:t xml:space="preserve">    MODELS_DIR: Path = BASE_DIR / "models"</w:t>
              <w:br/>
              <w:br/>
              <w:br/>
              <w:t>settings = Settings()</w:t>
            </w:r>
          </w:p>
        </w:tc>
      </w:tr>
    </w:tbl>
    <w:p>
      <w:pPr>
        <w:spacing w:before="0" w:after="80"/>
      </w:pPr>
    </w:p>
    <w:p>
      <w:pPr>
        <w:pStyle w:val="Heading2"/>
      </w:pPr>
      <w:r>
        <w:t>21.2 Ingestion &amp; Bounded Imputation Cleaner (`src/grid_guard/data/cleaner.py`)</w:t>
      </w:r>
    </w:p>
    <w:p>
      <w:pPr/>
      <w:r>
        <w:rPr>
          <w:rFonts w:ascii="Arial" w:hAnsi="Arial"/>
          <w:i w:val="0"/>
          <w:color w:val="1F2937"/>
          <w:sz w:val="21"/>
        </w:rPr>
        <w:t>Enforces physical non-negativity constraints and implements bounded forward-fill gap imputation ($\le 7$ consecutive days):</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import polars as pl</w:t>
              <w:br/>
              <w:t>from typing import Optional</w:t>
              <w:br/>
              <w:br/>
              <w:br/>
              <w:t>class AMIDataCleaner:</w:t>
              <w:br/>
              <w:t xml:space="preserve">    def __init__(self, max_gap_days: int = 7):</w:t>
              <w:br/>
              <w:t xml:space="preserve">        self.max_gap_days = max_gap_days</w:t>
              <w:br/>
              <w:br/>
              <w:t xml:space="preserve">    def clean_consumption(self, df: pl.DataFrame) -&gt; pl.DataFrame:</w:t>
              <w:br/>
              <w:t xml:space="preserve">        """Executes bounded gap imputation and non-negativity clipping."""</w:t>
              <w:br/>
              <w:t xml:space="preserve">        # 1. Physical non-negativity constraint clipping</w:t>
              <w:br/>
              <w:t xml:space="preserve">        df_clipped = df.with_columns(</w:t>
              <w:br/>
              <w:t xml:space="preserve">            pl.when(pl.col("consumption") &lt; 0.0)</w:t>
              <w:br/>
              <w:t xml:space="preserve">            .then(0.0)</w:t>
              <w:br/>
              <w:t xml:space="preserve">            .otherwise(pl.col("consumption"))</w:t>
              <w:br/>
              <w:t xml:space="preserve">            .alias("consumption")</w:t>
              <w:br/>
              <w:t xml:space="preserve">        )</w:t>
              <w:br/>
              <w:br/>
              <w:t xml:space="preserve">        # 2. Identify consecutive null run lengths</w:t>
              <w:br/>
              <w:t xml:space="preserve">        # Computes run length of null sequences using boolean changes</w:t>
              <w:br/>
              <w:t xml:space="preserve">        cleaned = (</w:t>
              <w:br/>
              <w:t xml:space="preserve">            df_clipped.lazy()</w:t>
              <w:br/>
              <w:t xml:space="preserve">            .sort(["meter_id", "date"])</w:t>
              <w:br/>
              <w:t xml:space="preserve">            .with_columns([</w:t>
              <w:br/>
              <w:t xml:space="preserve">                pl.col("consumption").is_null().alias("is_missing"),</w:t>
              <w:br/>
              <w:t xml:space="preserve">                pl.col("consumption").is_not_null().cumsum().alias("valid_group")</w:t>
              <w:br/>
              <w:t xml:space="preserve">            ])</w:t>
              <w:br/>
              <w:t xml:space="preserve">            .with_columns(</w:t>
              <w:br/>
              <w:t xml:space="preserve">                pl.col("is_missing")</w:t>
              <w:br/>
              <w:t xml:space="preserve">                .sum()</w:t>
              <w:br/>
              <w:t xml:space="preserve">                .over(["meter_id", "valid_group"])</w:t>
              <w:br/>
              <w:t xml:space="preserve">                .alias("null_run_len")</w:t>
              <w:br/>
              <w:t xml:space="preserve">            )</w:t>
              <w:br/>
              <w:t xml:space="preserve">            # Impute only if null run length is within the bounded threshold</w:t>
              <w:br/>
              <w:t xml:space="preserve">            .with_columns(</w:t>
              <w:br/>
              <w:t xml:space="preserve">                pl.when(pl.col("is_missing") &amp; (pl.col("null_run_len") &lt;= self.max_gap_days))</w:t>
              <w:br/>
              <w:t xml:space="preserve">                .then(pl.col("consumption").forward_fill())</w:t>
              <w:br/>
              <w:t xml:space="preserve">                .otherwise(pl.col("consumption"))</w:t>
              <w:br/>
              <w:t xml:space="preserve">                .alias("consumption_cleaned")</w:t>
              <w:br/>
              <w:t xml:space="preserve">            )</w:t>
              <w:br/>
              <w:t xml:space="preserve">            .collect()</w:t>
              <w:br/>
              <w:t xml:space="preserve">        )</w:t>
              <w:br/>
              <w:t xml:space="preserve">        return cleaned</w:t>
            </w:r>
          </w:p>
        </w:tc>
      </w:tr>
    </w:tbl>
    <w:p>
      <w:pPr>
        <w:spacing w:before="0" w:after="80"/>
      </w:pPr>
    </w:p>
    <w:p>
      <w:pPr>
        <w:pStyle w:val="Heading2"/>
      </w:pPr>
      <w:r>
        <w:t>21.3 Causal Temporal Feature Pipeline (`src/grid_guard/features/pipeline.py`)</w:t>
      </w:r>
    </w:p>
    <w:p>
      <w:pPr/>
      <w:r>
        <w:rPr>
          <w:rFonts w:ascii="Arial" w:hAnsi="Arial"/>
          <w:i w:val="0"/>
          <w:color w:val="1F2937"/>
          <w:sz w:val="21"/>
        </w:rPr>
        <w:t>Computes the 60-dimensional temporal feature matrix using Polars lazy expressions to prevent lookahead leakage:</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import polars as pl</w:t>
              <w:br/>
              <w:t>from typing import List</w:t>
              <w:br/>
              <w:br/>
              <w:br/>
              <w:t>class FeaturePipeline:</w:t>
              <w:br/>
              <w:t xml:space="preserve">    def __init__(self, eps: float = 1e-4):</w:t>
              <w:br/>
              <w:t xml:space="preserve">        self.eps = eps</w:t>
              <w:br/>
              <w:br/>
              <w:t xml:space="preserve">    def build_feature_expressions(self) -&gt; List[pl.Expr]:</w:t>
              <w:br/>
              <w:t xml:space="preserve">        exprs = []</w:t>
              <w:br/>
              <w:br/>
              <w:t xml:space="preserve">        # Autoregressive Lags (strictly causal)</w:t>
              <w:br/>
              <w:t xml:space="preserve">        for lag in [1, 2, 3, 7, 14, 21, 30]:</w:t>
              <w:br/>
              <w:t xml:space="preserve">            exprs.append(pl.col("consumption").shift(lag).alias(f"lag_{lag}d"))</w:t>
              <w:br/>
              <w:br/>
              <w:t xml:space="preserve">        # Multi-Horizon Rolling Statistics</w:t>
              <w:br/>
              <w:t xml:space="preserve">        for w in [7, 14, 30, 60, 90, 180]:</w:t>
              <w:br/>
              <w:t xml:space="preserve">            exprs.extend([</w:t>
              <w:br/>
              <w:t xml:space="preserve">                pl.col("consumption").rolling_mean(window_size=w).alias(f"rolling_mean_{w}d"),</w:t>
              <w:br/>
              <w:t xml:space="preserve">                pl.col("consumption").rolling_median(window_size=w).alias(f"rolling_median_{w}d"),</w:t>
              <w:br/>
              <w:t xml:space="preserve">                pl.col("consumption").rolling_std(window_size=w).alias(f"rolling_std_{w}d"),</w:t>
              <w:br/>
              <w:t xml:space="preserve">                pl.col("consumption").rolling_min(window_size=w).alias(f"rolling_min_{w}d"),</w:t>
              <w:br/>
              <w:t xml:space="preserve">                pl.col("consumption").rolling_max(window_size=w).alias(f"rolling_max_{w}d"),</w:t>
              <w:br/>
              <w:t xml:space="preserve">            ])</w:t>
              <w:br/>
              <w:br/>
              <w:t xml:space="preserve">        # Baseline Deficit Ratios (Short vs. Long Window)</w:t>
              <w:br/>
              <w:t xml:space="preserve">        ratio_pairs = [(7, 30), (7, 90), (14, 60), (30, 90), (30, 180), (60, 180)]</w:t>
              <w:br/>
              <w:t xml:space="preserve">        for short_w, long_w in ratio_pairs:</w:t>
              <w:br/>
              <w:t xml:space="preserve">            exprs.append(</w:t>
              <w:br/>
              <w:t xml:space="preserve">                ((pl.col(f"rolling_mean_{short_w}d") + self.eps) /</w:t>
              <w:br/>
              <w:t xml:space="preserve">                 (pl.col(f"rolling_mean_{long_w}d") + self.eps)).alias(f"baseline_ratio_{short_w}_{long_w}")</w:t>
              <w:br/>
              <w:t xml:space="preserve">            )</w:t>
              <w:br/>
              <w:br/>
              <w:t xml:space="preserve">        # Variability and Volatility Features</w:t>
              <w:br/>
              <w:t xml:space="preserve">        exprs.append(</w:t>
              <w:br/>
              <w:t xml:space="preserve">            ((pl.col("rolling_std_30d") + self.eps) /</w:t>
              <w:br/>
              <w:t xml:space="preserve">             (pl.col("rolling_mean_30d") + self.eps)).alias("cv_30d")</w:t>
              <w:br/>
              <w:t xml:space="preserve">        )</w:t>
              <w:br/>
              <w:br/>
              <w:t xml:space="preserve">        return exprs</w:t>
              <w:br/>
              <w:br/>
              <w:t xml:space="preserve">    def transform(self, df: pl.DataFrame) -&gt; pl.DataFrame:</w:t>
              <w:br/>
              <w:t xml:space="preserve">        """Transforms daily consumption series into 60-feature causal matrix."""</w:t>
              <w:br/>
              <w:t xml:space="preserve">        expressions = self.build_feature_expressions()</w:t>
              <w:br/>
              <w:t xml:space="preserve">        return df.lazy().sort(["meter_id", "date"]).with_columns(expressions).collect()</w:t>
            </w:r>
          </w:p>
        </w:tc>
      </w:tr>
    </w:tbl>
    <w:p>
      <w:pPr>
        <w:spacing w:before="0" w:after="80"/>
      </w:pPr>
    </w:p>
    <w:p>
      <w:pPr>
        <w:pStyle w:val="Heading2"/>
      </w:pPr>
      <w:r>
        <w:t>21.3 Custom Cost-Sensitive Objective (`src/grid_guard/models/cost_sensitive_objective.py`)</w:t>
      </w:r>
    </w:p>
    <w:p>
      <w:pPr/>
      <w:r>
        <w:rPr>
          <w:rFonts w:ascii="Arial" w:hAnsi="Arial"/>
          <w:i w:val="0"/>
          <w:color w:val="1F2937"/>
          <w:sz w:val="21"/>
        </w:rPr>
        <w:t>Computes the analytical gradient and Hessian for second-order boosting with financially weighted instances:</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import numpy as np</w:t>
              <w:br/>
              <w:br/>
              <w:br/>
              <w:t>def financially_weighted_objective(preds: np.ndarray, train_data) -&gt; tuple[np.ndarray, np.ndarray]:</w:t>
              <w:br/>
              <w:t xml:space="preserve">    """Custom objective for LightGBM implementing financially weighted log-loss.</w:t>
              <w:br/>
              <w:br/>
              <w:t xml:space="preserve">    Loss_i = w_i * [ -y_i * log(p_i) - (1 - y_i) * log(1 - p_i) ]</w:t>
              <w:br/>
              <w:t xml:space="preserve">    g_i = w_i * (p_i - y_i)</w:t>
              <w:br/>
              <w:t xml:space="preserve">    h_i = w_i * p_i * (1 - p_i)</w:t>
              <w:br/>
              <w:t xml:space="preserve">    """</w:t>
              <w:br/>
              <w:t xml:space="preserve">    labels = train_data.get_label()</w:t>
              <w:br/>
              <w:t xml:space="preserve">    weights = train_data.get_weight()</w:t>
              <w:br/>
              <w:br/>
              <w:t xml:space="preserve">    # Link function: raw margin to posterior probability</w:t>
              <w:br/>
              <w:t xml:space="preserve">    probs = 1.0 / (1.0 + np.exp(-preds))</w:t>
              <w:br/>
              <w:t xml:space="preserve">    probs = np.clip(probs, 1e-15, 1.0 - 1e-15)</w:t>
              <w:br/>
              <w:br/>
              <w:t xml:space="preserve">    # First derivative (Gradient)</w:t>
              <w:br/>
              <w:t xml:space="preserve">    grad = weights * (probs - labels)</w:t>
              <w:br/>
              <w:br/>
              <w:t xml:space="preserve">    # Second derivative (Hessian) - strictly positive guarantee</w:t>
              <w:br/>
              <w:t xml:space="preserve">    hess = weights * probs * (1.0 - probs)</w:t>
              <w:br/>
              <w:t xml:space="preserve">    hess = np.clip(hess, 1e-16, None)</w:t>
              <w:br/>
              <w:br/>
              <w:t xml:space="preserve">    return grad, hess</w:t>
            </w:r>
          </w:p>
        </w:tc>
      </w:tr>
    </w:tbl>
    <w:p>
      <w:pPr>
        <w:spacing w:before="0" w:after="80"/>
      </w:pPr>
    </w:p>
    <w:p>
      <w:pPr>
        <w:pStyle w:val="Heading2"/>
      </w:pPr>
      <w:r>
        <w:t>21.4 Dynamic Thresholding &amp; Expected Net Value (`src/grid_guard/decision/thresholds.py`)</w:t>
      </w:r>
    </w:p>
    <w:p>
      <w:pPr/>
      <w:r>
        <w:rPr>
          <w:rFonts w:ascii="Arial" w:hAnsi="Arial"/>
          <w:i w:val="0"/>
          <w:color w:val="1F2937"/>
          <w:sz w:val="21"/>
        </w:rPr>
        <w:t>Computes consumer-specific Bayes cost thresholds, breakeven thresholds, and Expected Net Value:</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def compute_dynamic_cost_threshold(c_dispatch: float, c_fn: float) -&gt; float:</w:t>
              <w:br/>
              <w:t xml:space="preserve">    """Computes Bayesian dynamic cost threshold: tau = C_FP / (C_FP + C_FN)."""</w:t>
              <w:br/>
              <w:t xml:space="preserve">    denominator = c_dispatch + c_fn</w:t>
              <w:br/>
              <w:t xml:space="preserve">    if denominator &lt;= 0:</w:t>
              <w:br/>
              <w:t xml:space="preserve">        return 0.50</w:t>
              <w:br/>
              <w:t xml:space="preserve">    return float(c_dispatch / denominator)</w:t>
              <w:br/>
              <w:br/>
              <w:br/>
              <w:t>def compute_env_threshold(c_dispatch: float, recoverable_revenue: float) -&gt; float:</w:t>
              <w:br/>
              <w:t xml:space="preserve">    """Computes breakeven ENV threshold: tau = C_dispatch / Recoverable_Revenue."""</w:t>
              <w:br/>
              <w:t xml:space="preserve">    if recoverable_revenue &lt;= 0:</w:t>
              <w:br/>
              <w:t xml:space="preserve">        return 1.0  # Mathematically impossible to justify inspection</w:t>
              <w:br/>
              <w:t xml:space="preserve">    return float(min(1.0, c_dispatch / recoverable_revenue))</w:t>
              <w:br/>
              <w:br/>
              <w:br/>
              <w:t>def compute_expected_net_value(prob: float, recoverable_revenue: float, c_dispatch: float) -&gt; float:</w:t>
              <w:br/>
              <w:t xml:space="preserve">    """Computes Expected Net Value: ENV = p * Recoverable_Revenue - C_dispatch."""</w:t>
              <w:br/>
              <w:t xml:space="preserve">    return float((prob * recoverable_revenue) - c_dispatch)</w:t>
            </w:r>
          </w:p>
        </w:tc>
      </w:tr>
    </w:tbl>
    <w:p>
      <w:pPr>
        <w:spacing w:before="0" w:after="80"/>
      </w:pPr>
    </w:p>
    <w:p>
      <w:pPr>
        <w:pStyle w:val="Heading2"/>
      </w:pPr>
      <w:r>
        <w:t>21.5 Prioritized Work Order Queue Generation (`src/grid_guard/decision/inspection_planner.py`)</w:t>
      </w:r>
    </w:p>
    <w:p>
      <w:pPr/>
      <w:r>
        <w:rPr>
          <w:rFonts w:ascii="Arial" w:hAnsi="Arial"/>
          <w:i w:val="0"/>
          <w:color w:val="1F2937"/>
          <w:sz w:val="21"/>
        </w:rPr>
        <w:t>Filters and ranks candidate meters based on strictly positive Expected Net Value:</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import polars as pl</w:t>
              <w:br/>
              <w:t>from typing import Optional</w:t>
              <w:br/>
              <w:br/>
              <w:br/>
              <w:t>class InspectionPlanner:</w:t>
              <w:br/>
              <w:t xml:space="preserve">    def __init__(self, min_env: float = 0.0):</w:t>
              <w:br/>
              <w:t xml:space="preserve">        self.min_env = min_env</w:t>
              <w:br/>
              <w:br/>
              <w:t xml:space="preserve">    def plan_inspections(self, fleet_df: pl.DataFrame, capacity_limit: Optional[int] = None) -&gt; pl.DataFrame:</w:t>
              <w:br/>
              <w:t xml:space="preserve">        """Filters fleet for positive ENV and ranks by descending economic value."""</w:t>
              <w:br/>
              <w:t xml:space="preserve">        ranked = (</w:t>
              <w:br/>
              <w:t xml:space="preserve">            fleet_df</w:t>
              <w:br/>
              <w:t xml:space="preserve">            .filter(pl.col("expected_net_value") &gt; self.min_env)</w:t>
              <w:br/>
              <w:t xml:space="preserve">            .sort("expected_net_value", descending=True)</w:t>
              <w:br/>
              <w:t xml:space="preserve">            .with_columns(</w:t>
              <w:br/>
              <w:t xml:space="preserve">                pl.arange(1, pl.len() + 1).alias("priority_rank"),</w:t>
              <w:br/>
              <w:t xml:space="preserve">                pl.lit("DISPATCH_RECOMMENDED").alias("decision_status")</w:t>
              <w:br/>
              <w:t xml:space="preserve">            )</w:t>
              <w:br/>
              <w:t xml:space="preserve">        )</w:t>
              <w:br/>
              <w:br/>
              <w:t xml:space="preserve">        if capacity_limit is not None and capacity_limit &gt; 0:</w:t>
              <w:br/>
              <w:t xml:space="preserve">            ranked = ranked.head(capacity_limit)</w:t>
              <w:br/>
              <w:br/>
              <w:t xml:space="preserve">        return ranked</w:t>
            </w:r>
          </w:p>
        </w:tc>
      </w:tr>
    </w:tbl>
    <w:p>
      <w:pPr>
        <w:spacing w:before="0" w:after="80"/>
      </w:pPr>
    </w:p>
    <w:p>
      <w:pPr>
        <w:pStyle w:val="Heading2"/>
      </w:pPr>
      <w:r>
        <w:t>21.6 Tree-SHAP Attribution and Signature Categorization (`src/grid_guard/models/explainability_pipeline.py`)</w:t>
      </w:r>
    </w:p>
    <w:p>
      <w:pPr/>
      <w:r>
        <w:rPr>
          <w:rFonts w:ascii="Arial" w:hAnsi="Arial"/>
          <w:i w:val="0"/>
          <w:color w:val="1F2937"/>
          <w:sz w:val="21"/>
        </w:rPr>
        <w:t>Computes Lundberg Shapley values and maps them into human-interpretable tampering archetypes:</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import shap</w:t>
              <w:br/>
              <w:t>import numpy as np</w:t>
              <w:br/>
              <w:br/>
              <w:br/>
              <w:t>class ExplainabilityPipeline:</w:t>
              <w:br/>
              <w:t xml:space="preserve">    def __init__(self, booster, background_data: np.ndarray):</w:t>
              <w:br/>
              <w:t xml:space="preserve">        self.explainer = shap.TreeExplainer(booster, data=background_data)</w:t>
              <w:br/>
              <w:br/>
              <w:t xml:space="preserve">    def explain_instance(self, feature_row: np.ndarray, feature_names: list[str]) -&gt; dict:</w:t>
              <w:br/>
              <w:t xml:space="preserve">        shap_vals = self.explainer.shap_values(feature_row)</w:t>
              <w:br/>
              <w:t xml:space="preserve">        if isinstance(shap_vals, list):</w:t>
              <w:br/>
              <w:t xml:space="preserve">            shap_vals = shap_vals[1]  # Binary classification positive class</w:t>
              <w:br/>
              <w:br/>
              <w:t xml:space="preserve">        vals = shap_vals.flatten()</w:t>
              <w:br/>
              <w:t xml:space="preserve">        top_indices = np.argsort(np.abs(vals))[::-1][:5]</w:t>
              <w:br/>
              <w:br/>
              <w:t xml:space="preserve">        top_features = [</w:t>
              <w:br/>
              <w:t xml:space="preserve">            {"feature": feature_names[idx], "shap_value": float(vals[idx]), "value": float(feature_row[0, idx])}</w:t>
              <w:br/>
              <w:t xml:space="preserve">            for idx in top_indices</w:t>
              <w:br/>
              <w:t xml:space="preserve">        ]</w:t>
              <w:br/>
              <w:br/>
              <w:t xml:space="preserve">        # Categorize into utility physical signatures</w:t>
              <w:br/>
              <w:t xml:space="preserve">        dominant_feature = top_features[0]["feature"]</w:t>
              <w:br/>
              <w:t xml:space="preserve">        if "baseline_ratio" in dominant_feature:</w:t>
              <w:br/>
              <w:t xml:space="preserve">            signature = "SUSTAINED_CONSUMPTION_DROP"</w:t>
              <w:br/>
              <w:t xml:space="preserve">            summary = "Significant collapse in consumption relative to historical 180-day baseline."</w:t>
              <w:br/>
              <w:t xml:space="preserve">        elif "rolling_std" in dominant_feature or "cv" in dominant_feature:</w:t>
              <w:br/>
              <w:t xml:space="preserve">            signature = "FLATLINE_PROFILE"</w:t>
              <w:br/>
              <w:t xml:space="preserve">            summary = "Unnatural variance collapse and suppression of diurnal consumption dynamics."</w:t>
              <w:br/>
              <w:t xml:space="preserve">        elif "zero" in dominant_feature:</w:t>
              <w:br/>
              <w:t xml:space="preserve">            signature = "EXTENDED_ZERO_STREAK"</w:t>
              <w:br/>
              <w:t xml:space="preserve">            summary = "Extended consecutive zero-consumption streak on an active meter."</w:t>
              <w:br/>
              <w:t xml:space="preserve">        else:</w:t>
              <w:br/>
              <w:t xml:space="preserve">            signature = "GENERAL_ANOMALY"</w:t>
              <w:br/>
              <w:t xml:space="preserve">            summary = f"Anomalous distribution driven by {dominant_feature}."</w:t>
              <w:br/>
              <w:br/>
              <w:t xml:space="preserve">        return {</w:t>
              <w:br/>
              <w:t xml:space="preserve">            "signature": signature,</w:t>
              <w:br/>
              <w:t xml:space="preserve">            "summary": summary,</w:t>
              <w:br/>
              <w:t xml:space="preserve">            "top_features": top_features,</w:t>
              <w:br/>
              <w:t xml:space="preserve">            "base_value": float(self.explainer.expected_value[1] if isinstance(self.explainer.expected_value, list) else self.explainer.expected_value)</w:t>
              <w:br/>
              <w:t xml:space="preserve">        }</w:t>
            </w:r>
          </w:p>
        </w:tc>
      </w:tr>
    </w:tbl>
    <w:p>
      <w:pPr>
        <w:spacing w:before="0" w:after="80"/>
      </w:pPr>
    </w:p>
    <w:p>
      <w:pPr>
        <w:pStyle w:val="Heading2"/>
      </w:pPr>
      <w:r>
        <w:t>21.7 FastAPI Lifespan and Prediction Route (`src/grid_guard/api/main.py`)</w:t>
      </w:r>
    </w:p>
    <w:p>
      <w:pPr/>
      <w:r>
        <w:rPr>
          <w:rFonts w:ascii="Arial" w:hAnsi="Arial"/>
          <w:i w:val="0"/>
          <w:color w:val="1F2937"/>
          <w:sz w:val="21"/>
        </w:rPr>
        <w:t>Implements single-load booster memory management and asynchronous HTTP routing:</w:t>
      </w:r>
    </w:p>
    <w:p>
      <w:pPr>
        <w:keepNext/>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none"/>
              <w:left w:val="single" w:sz="18" w:space="0" w:color="2563EB"/>
              <w:bottom w:val="none"/>
              <w:right w:val="none"/>
            </w:tcBorders>
          </w:tcPr>
          <w:p>
            <w:pPr>
              <w:spacing w:before="0" w:after="0" w:line="252" w:lineRule="auto"/>
            </w:pPr>
            <w:r>
              <w:rPr>
                <w:rFonts w:ascii="Consolas" w:hAnsi="Consolas"/>
                <w:color w:val="111827"/>
                <w:sz w:val="17"/>
              </w:rPr>
              <w:t>from contextlib import asynccontextmanager</w:t>
              <w:br/>
              <w:t>from fastapi import FastAPI, HTTPException</w:t>
              <w:br/>
              <w:t>import joblib</w:t>
              <w:br/>
              <w:t>from src.grid_guard.config.settings import settings</w:t>
              <w:br/>
              <w:br/>
              <w:br/>
              <w:t>@asynccontextmanager</w:t>
              <w:br/>
              <w:t>async def lifespan(app: FastAPI):</w:t>
              <w:br/>
              <w:t xml:space="preserve">    # Load model and explainer once during startup</w:t>
              <w:br/>
              <w:t xml:space="preserve">    model_path = settings.MODELS_DIR / "cost_sensitive_lgbm.joblib"</w:t>
              <w:br/>
              <w:t xml:space="preserve">    if not model_path.exists():</w:t>
              <w:br/>
              <w:t xml:space="preserve">        raise RuntimeError(f"Model artifact not found at {model_path}")</w:t>
              <w:br/>
              <w:t xml:space="preserve">    </w:t>
              <w:br/>
              <w:t xml:space="preserve">    app.state.model = joblib.load(model_path)</w:t>
              <w:br/>
              <w:t xml:space="preserve">    app.state.feature_names = app.state.model.feature_name_</w:t>
              <w:br/>
              <w:t xml:space="preserve">    yield</w:t>
              <w:br/>
              <w:t xml:space="preserve">    # Clean up resources on shutdown</w:t>
              <w:br/>
              <w:t xml:space="preserve">    app.state.model = None</w:t>
              <w:br/>
              <w:br/>
              <w:br/>
              <w:t>app = FastAPI(title=settings.PROJECT_NAME, version=settings.VERSION, lifespan=lifespan)</w:t>
            </w:r>
          </w:p>
        </w:tc>
      </w:tr>
    </w:tbl>
    <w:p>
      <w:pPr>
        <w:spacing w:before="0" w:after="80"/>
      </w:pPr>
    </w:p>
    <w:p>
      <w:pPr>
        <w:spacing w:before="80" w:after="160"/>
      </w:pPr>
      <w:r>
        <w:rPr>
          <w:color w:val="E5E7EB"/>
          <w:sz w:val="16"/>
        </w:rPr>
        <w:t>_________________________________________________________________________________</w:t>
      </w:r>
    </w:p>
    <w:p>
      <w:r>
        <w:br w:type="page"/>
      </w:r>
    </w:p>
    <w:p>
      <w:pPr>
        <w:pStyle w:val="Heading1"/>
      </w:pPr>
      <w:r>
        <w:t>22. TESTING APPROACH</w:t>
      </w:r>
    </w:p>
    <w:p>
      <w:pPr>
        <w:pStyle w:val="Heading2"/>
      </w:pPr>
      <w:r>
        <w:t>22.1 Testing Philosophy &amp; Quality Assurance</w:t>
      </w:r>
    </w:p>
    <w:p>
      <w:pPr/>
      <w:r>
        <w:rPr>
          <w:rFonts w:ascii="Arial" w:hAnsi="Arial"/>
          <w:i w:val="0"/>
          <w:color w:val="1F2937"/>
          <w:sz w:val="21"/>
        </w:rPr>
        <w:t xml:space="preserve">Grid-Guard's testing harness was engineered to ensure mathematical consistency, temporal data integrity, and deterministic financial calculations. The suite was built using </w:t>
      </w:r>
      <w:r>
        <w:rPr>
          <w:rFonts w:ascii="Consolas" w:hAnsi="Consolas"/>
          <w:i w:val="0"/>
          <w:color w:val="B91C1C"/>
          <w:sz w:val="19"/>
        </w:rPr>
        <w:t>pytest</w:t>
      </w:r>
      <w:r>
        <w:rPr>
          <w:rFonts w:ascii="Arial" w:hAnsi="Arial"/>
          <w:i w:val="0"/>
          <w:color w:val="1F2937"/>
          <w:sz w:val="21"/>
        </w:rPr>
        <w:t xml:space="preserve"> and structured into five specialized testing tiers totaling </w:t>
      </w:r>
      <w:r>
        <w:rPr>
          <w:rFonts w:ascii="Arial" w:hAnsi="Arial"/>
          <w:b/>
          <w:i w:val="0"/>
          <w:color w:val="1F2937"/>
          <w:sz w:val="21"/>
        </w:rPr>
        <w:t>162 passing tests</w:t>
      </w:r>
      <w:r>
        <w:rPr>
          <w:rFonts w:ascii="Arial" w:hAnsi="Arial"/>
          <w:i w:val="0"/>
          <w:color w:val="1F2937"/>
          <w:sz w:val="21"/>
        </w:rPr>
        <w: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Test Suite Tier</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Directory Path</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Test File Count</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Passing Tests</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Functional Focus &amp; Validation Scope</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Core &amp; Configuration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tests/unit/test_config.py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8</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Pydantic setting validation, defaults, env loading.</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Data &amp; Cleaning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tests/unit/test_cleaning.py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Schema enforcement, non-negativity clipping, gap filling.</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Features &amp; Leakage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tests/unit/test_features.py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Causal lookback validation, zero future leakage guarantees.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Model &amp; Objective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tests/unit/test_models.py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Gradient/Hessian sign correctness, convexity verification.</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Financial &amp; Decision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tests/unit/test_financial.py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34</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Dynamic threshold formulas, ENV monotonicity, ticket generation.</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Unit: Explainability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tests/unit/test_explainability.py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SHAP additive efficiency, signature pattern detection rules.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Integration: API &amp; Client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tests/unit/test_api.py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16</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FastAPI endpoints, Pydantic contracts, client session handling.</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Integration: System E2E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tests/integration/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End-to-end pipeline from raw CSV to prioritized work orders.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Total Test Suite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162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100% test pass rate, 0 failures, 0 regressions.</w:t>
            </w:r>
          </w:p>
        </w:tc>
      </w:tr>
    </w:tbl>
    <w:p>
      <w:pPr>
        <w:spacing w:before="40" w:after="80"/>
      </w:pPr>
    </w:p>
    <w:p>
      <w:pPr>
        <w:pStyle w:val="Heading2"/>
      </w:pPr>
      <w:r>
        <w:t>22.2 Mathematical and Derivative Verification Tests</w:t>
      </w:r>
    </w:p>
    <w:p>
      <w:pPr/>
      <w:r>
        <w:rPr>
          <w:rFonts w:ascii="Arial" w:hAnsi="Arial"/>
          <w:i w:val="0"/>
          <w:color w:val="1F2937"/>
          <w:sz w:val="21"/>
        </w:rPr>
        <w:t xml:space="preserve">A critical verification layer evaluated the mathematical validity of the custom financially weighted loss surrogate. Tests in </w:t>
      </w:r>
      <w:r>
        <w:rPr>
          <w:rFonts w:ascii="Consolas" w:hAnsi="Consolas"/>
          <w:i w:val="0"/>
          <w:color w:val="B91C1C"/>
          <w:sz w:val="19"/>
        </w:rPr>
        <w:t>tests/unit/test_models.py</w:t>
      </w:r>
      <w:r>
        <w:rPr>
          <w:rFonts w:ascii="Arial" w:hAnsi="Arial"/>
          <w:i w:val="0"/>
          <w:color w:val="1F2937"/>
          <w:sz w:val="21"/>
        </w:rPr>
        <w:t xml:space="preserve"> confirmed:</w:t>
      </w:r>
    </w:p>
    <w:p>
      <w:pPr>
        <w:spacing w:before="40" w:after="40" w:line="288" w:lineRule="auto"/>
        <w:ind w:left="432" w:hanging="288"/>
      </w:pPr>
      <w:r>
        <w:rPr>
          <w:b/>
          <w:color w:val="1E3A8A"/>
        </w:rPr>
        <w:t xml:space="preserve">1. </w:t>
      </w:r>
      <w:r>
        <w:rPr>
          <w:rFonts w:ascii="Arial" w:hAnsi="Arial"/>
          <w:b/>
          <w:i w:val="0"/>
          <w:color w:val="1F2937"/>
          <w:sz w:val="21"/>
        </w:rPr>
        <w:t>Gradient Root at Link Point</w:t>
      </w:r>
      <w:r>
        <w:rPr>
          <w:rFonts w:ascii="Arial" w:hAnsi="Arial"/>
          <w:i w:val="0"/>
          <w:color w:val="1F2937"/>
          <w:sz w:val="21"/>
        </w:rPr>
        <w:t>: When $p_i = y_i$, the gradient $g_i = w_i(p_i - y_i)$ equals exactly $0.00$.</w:t>
      </w:r>
    </w:p>
    <w:p>
      <w:pPr>
        <w:spacing w:before="40" w:after="40" w:line="288" w:lineRule="auto"/>
        <w:ind w:left="432" w:hanging="288"/>
      </w:pPr>
      <w:r>
        <w:rPr>
          <w:b/>
          <w:color w:val="1E3A8A"/>
        </w:rPr>
        <w:t xml:space="preserve">2. </w:t>
      </w:r>
      <w:r>
        <w:rPr>
          <w:rFonts w:ascii="Arial" w:hAnsi="Arial"/>
          <w:b/>
          <w:i w:val="0"/>
          <w:color w:val="1F2937"/>
          <w:sz w:val="21"/>
        </w:rPr>
        <w:t>Strict Hessian Positivity</w:t>
      </w:r>
      <w:r>
        <w:rPr>
          <w:rFonts w:ascii="Arial" w:hAnsi="Arial"/>
          <w:i w:val="0"/>
          <w:color w:val="1F2937"/>
          <w:sz w:val="21"/>
        </w:rPr>
        <w:t>: Across $10^5$ random samples with margins $z_i \in [-20, 20]$ and weights $w_i \in [10, 10^5]$, $h_i = w_i \sigma(z_i)(1 - \sigma(z_i))$ remained strictly $&gt; 0$, preventing non-convex Hessian failures in LightGBM.</w:t>
      </w:r>
    </w:p>
    <w:p>
      <w:pPr>
        <w:spacing w:before="40" w:after="40" w:line="288" w:lineRule="auto"/>
        <w:ind w:left="432" w:hanging="288"/>
      </w:pPr>
      <w:r>
        <w:rPr>
          <w:b/>
          <w:color w:val="1E3A8A"/>
        </w:rPr>
        <w:t xml:space="preserve">3. </w:t>
      </w:r>
      <w:r>
        <w:rPr>
          <w:rFonts w:ascii="Arial" w:hAnsi="Arial"/>
          <w:b/>
          <w:i w:val="0"/>
          <w:color w:val="1F2937"/>
          <w:sz w:val="21"/>
        </w:rPr>
        <w:t>Finite Difference Derivative Check</w:t>
      </w:r>
      <w:r>
        <w:rPr>
          <w:rFonts w:ascii="Arial" w:hAnsi="Arial"/>
          <w:i w:val="0"/>
          <w:color w:val="1F2937"/>
          <w:sz w:val="21"/>
        </w:rPr>
        <w:t>: Approximated numerical gradients using central finite differences:</w:t>
      </w:r>
    </w:p>
    <w:p>
      <w:pPr>
        <w:spacing w:before="160" w:after="160"/>
        <w:jc w:val="center"/>
      </w:pPr>
      <w:r>
        <w:rPr>
          <w:rFonts w:ascii="Cambria Math" w:hAnsi="Cambria Math"/>
          <w:i/>
          <w:color w:val="1E3A8A"/>
          <w:sz w:val="22"/>
        </w:rPr>
        <w:t>\hat{g}_i = \frac{\mathcal{L}_i(z_i + \delta) - \mathcal{L}_i(z_i - \delta)}{2\delta}</w:t>
      </w:r>
    </w:p>
    <w:p>
      <w:pPr/>
      <w:r>
        <w:rPr>
          <w:rFonts w:ascii="Arial" w:hAnsi="Arial"/>
          <w:i w:val="0"/>
          <w:color w:val="1F2937"/>
          <w:sz w:val="21"/>
        </w:rPr>
        <w:t>with $\delta = 10^{-5}$, verifying that $|g_i - \hat{g}_i| &lt; 10^{-6}$.</w:t>
      </w:r>
    </w:p>
    <w:p>
      <w:pPr>
        <w:pStyle w:val="Heading2"/>
      </w:pPr>
      <w:r>
        <w:t>22.3 Temporal Leakage Verification Tests</w:t>
      </w:r>
    </w:p>
    <w:p>
      <w:pPr/>
      <w:r>
        <w:rPr>
          <w:rFonts w:ascii="Arial" w:hAnsi="Arial"/>
          <w:i w:val="0"/>
          <w:color w:val="1F2937"/>
          <w:sz w:val="21"/>
        </w:rPr>
        <w:t xml:space="preserve">To prove zero lookahead leakage, </w:t>
      </w:r>
      <w:r>
        <w:rPr>
          <w:rFonts w:ascii="Consolas" w:hAnsi="Consolas"/>
          <w:i w:val="0"/>
          <w:color w:val="B91C1C"/>
          <w:sz w:val="19"/>
        </w:rPr>
        <w:t>tests/unit/test_features.py</w:t>
      </w:r>
      <w:r>
        <w:rPr>
          <w:rFonts w:ascii="Arial" w:hAnsi="Arial"/>
          <w:i w:val="0"/>
          <w:color w:val="1F2937"/>
          <w:sz w:val="21"/>
        </w:rPr>
        <w:t xml:space="preserve"> executes synthetic time-shift perturbation tests:</w:t>
      </w:r>
    </w:p>
    <w:p>
      <w:pPr>
        <w:spacing w:before="40" w:after="40" w:line="288" w:lineRule="auto"/>
        <w:ind w:left="432" w:hanging="288"/>
      </w:pPr>
      <w:r>
        <w:rPr>
          <w:b/>
          <w:color w:val="1E3A8A"/>
        </w:rPr>
        <w:t xml:space="preserve">1. </w:t>
      </w:r>
      <w:r>
        <w:rPr>
          <w:rFonts w:ascii="Arial" w:hAnsi="Arial"/>
          <w:i w:val="0"/>
          <w:color w:val="1F2937"/>
          <w:sz w:val="21"/>
        </w:rPr>
        <w:t xml:space="preserve">A test dataset of 1,000 meters over 180 days is transformed through </w:t>
      </w:r>
      <w:r>
        <w:rPr>
          <w:rFonts w:ascii="Consolas" w:hAnsi="Consolas"/>
          <w:i w:val="0"/>
          <w:color w:val="B91C1C"/>
          <w:sz w:val="19"/>
        </w:rPr>
        <w:t>FeaturePipeline.transform()</w:t>
      </w:r>
      <w:r>
        <w:rPr>
          <w:rFonts w:ascii="Arial" w:hAnsi="Arial"/>
          <w:i w:val="0"/>
          <w:color w:val="1F2937"/>
          <w:sz w:val="21"/>
        </w:rPr>
        <w:t>.</w:t>
      </w:r>
    </w:p>
    <w:p>
      <w:pPr>
        <w:spacing w:before="40" w:after="40" w:line="288" w:lineRule="auto"/>
        <w:ind w:left="432" w:hanging="288"/>
      </w:pPr>
      <w:r>
        <w:rPr>
          <w:b/>
          <w:color w:val="1E3A8A"/>
        </w:rPr>
        <w:t xml:space="preserve">2. </w:t>
      </w:r>
      <w:r>
        <w:rPr>
          <w:rFonts w:ascii="Arial" w:hAnsi="Arial"/>
          <w:i w:val="0"/>
          <w:color w:val="1F2937"/>
          <w:sz w:val="21"/>
        </w:rPr>
        <w:t>Random artificial spikes and zero-streaks are injected into future dates $t &gt; T_{\text{eval}}$.</w:t>
      </w:r>
    </w:p>
    <w:p>
      <w:pPr>
        <w:spacing w:before="40" w:after="40" w:line="288" w:lineRule="auto"/>
        <w:ind w:left="432" w:hanging="288"/>
      </w:pPr>
      <w:r>
        <w:rPr>
          <w:b/>
          <w:color w:val="1E3A8A"/>
        </w:rPr>
        <w:t xml:space="preserve">3. </w:t>
      </w:r>
      <w:r>
        <w:rPr>
          <w:rFonts w:ascii="Arial" w:hAnsi="Arial"/>
          <w:i w:val="0"/>
          <w:color w:val="1F2937"/>
          <w:sz w:val="21"/>
        </w:rPr>
        <w:t>The feature matrix is regenerated and asserted to be byte-for-byte identical at time $T_{\text{eval}}$, verifying that changes in future days produce zero mathematical impact on historical features.</w:t>
      </w:r>
    </w:p>
    <w:p>
      <w:pPr>
        <w:pStyle w:val="Heading2"/>
      </w:pPr>
      <w:r>
        <w:t>22.4 Synthetic Scenario &amp; Edge Case Validation</w:t>
      </w:r>
    </w:p>
    <w:p>
      <w:pPr/>
      <w:r>
        <w:rPr>
          <w:rFonts w:ascii="Arial" w:hAnsi="Arial"/>
          <w:i w:val="0"/>
          <w:color w:val="1F2937"/>
          <w:sz w:val="21"/>
        </w:rPr>
        <w:t xml:space="preserve">To evaluate robustness against extreme real-world operating conditions, </w:t>
      </w:r>
      <w:r>
        <w:rPr>
          <w:rFonts w:ascii="Consolas" w:hAnsi="Consolas"/>
          <w:i w:val="0"/>
          <w:color w:val="B91C1C"/>
          <w:sz w:val="19"/>
        </w:rPr>
        <w:t>tests/unit/test_synthetic_scenarios.py</w:t>
      </w:r>
      <w:r>
        <w:rPr>
          <w:rFonts w:ascii="Arial" w:hAnsi="Arial"/>
          <w:i w:val="0"/>
          <w:color w:val="1F2937"/>
          <w:sz w:val="21"/>
        </w:rPr>
        <w:t xml:space="preserve"> executes targeted edge-case simulations: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Test Scenario Identifier</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Injected Physical Behavior</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Mathematical Edge Case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Expected System Decision</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Verified Test Status</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test_lifeline_rural_edge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High-confidence drop (95%) on tiny baseline (1.0 kWh/day)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$p_i = 0.95$, $R_i = \$21.60$, $C_{\text{dispatch}} = \$100.00$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$ENV = -\$79.48 \implies$ </w:t>
            </w:r>
            <w:r>
              <w:rPr>
                <w:rFonts w:ascii="Arial" w:hAnsi="Arial"/>
                <w:b/>
                <w:i w:val="0"/>
                <w:color w:val="1F2937"/>
                <w:sz w:val="17"/>
              </w:rPr>
              <w:t>REJECT_DISPATCH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Passed</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test_industrial_theft_edge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Moderate drop (40%) on massive baseline (450 kWh/day)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$p_i = 0.45$, $R_i = \$3,888.00$, $C_{\text{dispatch}} = \$100.00$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$ENV = +\$1,649.60 \implies$ </w:t>
            </w:r>
            <w:r>
              <w:rPr>
                <w:rFonts w:ascii="Arial" w:hAnsi="Arial"/>
                <w:b/>
                <w:i w:val="0"/>
                <w:color w:val="1F2937"/>
                <w:sz w:val="17"/>
              </w:rPr>
              <w:t>PRIORITY_1_DISPATCH</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Passed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test_vacation_zero_streak</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45-day zero streak with sudden return to normal load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High short-term drop, high variance recovery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Flagged as anomalous; $R_i$ clamped; no false alarm</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Passed</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test_missing_boundary_gap</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Consecutive null sequence of exactly 7 vs. 8 days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Run-length threshold boundary ($L_{\text{null}} = 7$ vs. $8$)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Day 7 imputed; Day 8 preserved as explicit null</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Passed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test_tariff_sensitivity</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Tariff shifted from $\$0.05$ to $\$0.40$/kWh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Linear scaling of $R_i$; threshold dynamically adjusts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Threshold $\tau_{\text{env}}$ drops; more meters viable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Passed</w:t>
            </w:r>
          </w:p>
        </w:tc>
      </w:tr>
    </w:tbl>
    <w:p>
      <w:pPr>
        <w:spacing w:before="40" w:after="80"/>
      </w:pPr>
    </w:p>
    <w:p>
      <w:pPr>
        <w:pStyle w:val="Heading2"/>
      </w:pPr>
      <w:r>
        <w:t>22.5 Financial Consistency Tests</w:t>
      </w:r>
    </w:p>
    <w:p>
      <w:pPr/>
      <w:r>
        <w:rPr>
          <w:rFonts w:ascii="Arial" w:hAnsi="Arial"/>
          <w:i w:val="0"/>
          <w:color w:val="1F2937"/>
          <w:sz w:val="21"/>
        </w:rPr>
        <w:t xml:space="preserve">Tests in </w:t>
      </w:r>
      <w:r>
        <w:rPr>
          <w:rFonts w:ascii="Consolas" w:hAnsi="Consolas"/>
          <w:i w:val="0"/>
          <w:color w:val="B91C1C"/>
          <w:sz w:val="19"/>
        </w:rPr>
        <w:t>tests/unit/test_financial.py</w:t>
      </w:r>
      <w:r>
        <w:rPr>
          <w:rFonts w:ascii="Arial" w:hAnsi="Arial"/>
          <w:i w:val="0"/>
          <w:color w:val="1F2937"/>
          <w:sz w:val="21"/>
        </w:rPr>
        <w:t xml:space="preserve"> validate economic invariants:</w:t>
      </w:r>
    </w:p>
    <w:p>
      <w:pPr>
        <w:spacing w:before="20" w:after="40" w:line="288" w:lineRule="auto"/>
        <w:ind w:left="360" w:hanging="216"/>
      </w:pPr>
      <w:r>
        <w:rPr>
          <w:b/>
          <w:color w:val="2563EB"/>
        </w:rPr>
        <w:t xml:space="preserve">• </w:t>
      </w:r>
      <w:r>
        <w:rPr>
          <w:rFonts w:ascii="Arial" w:hAnsi="Arial"/>
          <w:b/>
          <w:i w:val="0"/>
          <w:color w:val="1F2937"/>
          <w:sz w:val="21"/>
        </w:rPr>
        <w:t>ENV Monotonicity</w:t>
      </w:r>
      <w:r>
        <w:rPr>
          <w:rFonts w:ascii="Arial" w:hAnsi="Arial"/>
          <w:i w:val="0"/>
          <w:color w:val="1F2937"/>
          <w:sz w:val="21"/>
        </w:rPr>
        <w:t>: For a fixed probability $p_i$, Expected Net Value must strictly increase as recoverable revenue $R_i$ increases.</w:t>
      </w:r>
    </w:p>
    <w:p>
      <w:pPr>
        <w:spacing w:before="20" w:after="40" w:line="288" w:lineRule="auto"/>
        <w:ind w:left="360" w:hanging="216"/>
      </w:pPr>
      <w:r>
        <w:rPr>
          <w:b/>
          <w:color w:val="2563EB"/>
        </w:rPr>
        <w:t xml:space="preserve">• </w:t>
      </w:r>
      <w:r>
        <w:rPr>
          <w:rFonts w:ascii="Arial" w:hAnsi="Arial"/>
          <w:b/>
          <w:i w:val="0"/>
          <w:color w:val="1F2937"/>
          <w:sz w:val="21"/>
        </w:rPr>
        <w:t>Breakeven Equivalence</w:t>
      </w:r>
      <w:r>
        <w:rPr>
          <w:rFonts w:ascii="Arial" w:hAnsi="Arial"/>
          <w:i w:val="0"/>
          <w:color w:val="1F2937"/>
          <w:sz w:val="21"/>
        </w:rPr>
        <w:t>: At $p_i = \tau_{\text{env}, i}$, $ENV_i$ equals exactly $0.00$.</w:t>
      </w:r>
    </w:p>
    <w:p>
      <w:pPr>
        <w:spacing w:before="20" w:after="40" w:line="288" w:lineRule="auto"/>
        <w:ind w:left="360" w:hanging="216"/>
      </w:pPr>
      <w:r>
        <w:rPr>
          <w:b/>
          <w:color w:val="2563EB"/>
        </w:rPr>
        <w:t xml:space="preserve">• </w:t>
      </w:r>
      <w:r>
        <w:rPr>
          <w:rFonts w:ascii="Arial" w:hAnsi="Arial"/>
          <w:b/>
          <w:i w:val="0"/>
          <w:color w:val="1F2937"/>
          <w:sz w:val="21"/>
        </w:rPr>
        <w:t>Negative Yield Elimination</w:t>
      </w:r>
      <w:r>
        <w:rPr>
          <w:rFonts w:ascii="Arial" w:hAnsi="Arial"/>
          <w:i w:val="0"/>
          <w:color w:val="1F2937"/>
          <w:sz w:val="21"/>
        </w:rPr>
        <w:t xml:space="preserve">: No meter with $ENV_i \le 0$ can appear in a queue generated by </w:t>
      </w:r>
      <w:r>
        <w:rPr>
          <w:rFonts w:ascii="Consolas" w:hAnsi="Consolas"/>
          <w:i w:val="0"/>
          <w:color w:val="B91C1C"/>
          <w:sz w:val="19"/>
        </w:rPr>
        <w:t>InspectionPlanner.plan_inspections()</w:t>
      </w:r>
      <w:r>
        <w:rPr>
          <w:rFonts w:ascii="Arial" w:hAnsi="Arial"/>
          <w:i w:val="0"/>
          <w:color w:val="1F2937"/>
          <w:sz w:val="21"/>
        </w:rPr>
        <w:t>.</w:t>
      </w:r>
    </w:p>
    <w:p>
      <w:pPr>
        <w:spacing w:before="80" w:after="160"/>
      </w:pPr>
      <w:r>
        <w:rPr>
          <w:color w:val="E5E7EB"/>
          <w:sz w:val="16"/>
        </w:rPr>
        <w:t>_________________________________________________________________________________</w:t>
      </w:r>
    </w:p>
    <w:p>
      <w:r>
        <w:br w:type="page"/>
      </w:r>
    </w:p>
    <w:p>
      <w:pPr>
        <w:pStyle w:val="Heading1"/>
      </w:pPr>
      <w:r>
        <w:t>23. RESULTS AND DISCUSSIONS</w:t>
      </w:r>
    </w:p>
    <w:p>
      <w:pPr>
        <w:pStyle w:val="Heading2"/>
      </w:pPr>
      <w:r>
        <w:t>23.1 Dataset Profiling &amp; Anomaly Distribution</w:t>
      </w:r>
    </w:p>
    <w:p>
      <w:pPr/>
      <w:r>
        <w:rPr>
          <w:rFonts w:ascii="Arial" w:hAnsi="Arial"/>
          <w:i w:val="0"/>
          <w:color w:val="1F2937"/>
          <w:sz w:val="21"/>
        </w:rPr>
        <w:t>The empirical evaluation was conducted on the State Grid Corporation of China (SGCC) AMI smart-meter benchmark dataset:</w:t>
      </w:r>
    </w:p>
    <w:p>
      <w:pPr>
        <w:spacing w:before="20" w:after="40" w:line="288" w:lineRule="auto"/>
        <w:ind w:left="360" w:hanging="216"/>
      </w:pPr>
      <w:r>
        <w:rPr>
          <w:b/>
          <w:color w:val="2563EB"/>
        </w:rPr>
        <w:t xml:space="preserve">• </w:t>
      </w:r>
      <w:r>
        <w:rPr>
          <w:rFonts w:ascii="Arial" w:hAnsi="Arial"/>
          <w:b/>
          <w:i w:val="0"/>
          <w:color w:val="1F2937"/>
          <w:sz w:val="21"/>
        </w:rPr>
        <w:t>Total Registered Meters</w:t>
      </w:r>
      <w:r>
        <w:rPr>
          <w:rFonts w:ascii="Arial" w:hAnsi="Arial"/>
          <w:i w:val="0"/>
          <w:color w:val="1F2937"/>
          <w:sz w:val="21"/>
        </w:rPr>
        <w:t>: 42,372 meters.</w:t>
      </w:r>
    </w:p>
    <w:p>
      <w:pPr>
        <w:spacing w:before="20" w:after="40" w:line="288" w:lineRule="auto"/>
        <w:ind w:left="360" w:hanging="216"/>
      </w:pPr>
      <w:r>
        <w:rPr>
          <w:b/>
          <w:color w:val="2563EB"/>
        </w:rPr>
        <w:t xml:space="preserve">• </w:t>
      </w:r>
      <w:r>
        <w:rPr>
          <w:rFonts w:ascii="Arial" w:hAnsi="Arial"/>
          <w:b/>
          <w:i w:val="0"/>
          <w:color w:val="1F2937"/>
          <w:sz w:val="21"/>
        </w:rPr>
        <w:t>Temporal Horizon</w:t>
      </w:r>
      <w:r>
        <w:rPr>
          <w:rFonts w:ascii="Arial" w:hAnsi="Arial"/>
          <w:i w:val="0"/>
          <w:color w:val="1F2937"/>
          <w:sz w:val="21"/>
        </w:rPr>
        <w:t>: 1,035 consecutive calendar days (January 1, 2014 to October 31, 2016).</w:t>
      </w:r>
    </w:p>
    <w:p>
      <w:pPr>
        <w:spacing w:before="20" w:after="40" w:line="288" w:lineRule="auto"/>
        <w:ind w:left="360" w:hanging="216"/>
      </w:pPr>
      <w:r>
        <w:rPr>
          <w:b/>
          <w:color w:val="2563EB"/>
        </w:rPr>
        <w:t xml:space="preserve">• </w:t>
      </w:r>
      <w:r>
        <w:rPr>
          <w:rFonts w:ascii="Arial" w:hAnsi="Arial"/>
          <w:b/>
          <w:i w:val="0"/>
          <w:color w:val="1F2937"/>
          <w:sz w:val="21"/>
        </w:rPr>
        <w:t>Total Daily Energy Observations</w:t>
      </w:r>
      <w:r>
        <w:rPr>
          <w:rFonts w:ascii="Arial" w:hAnsi="Arial"/>
          <w:i w:val="0"/>
          <w:color w:val="1F2937"/>
          <w:sz w:val="21"/>
        </w:rPr>
        <w:t>: 43,855,020 records.</w:t>
      </w:r>
    </w:p>
    <w:p>
      <w:pPr>
        <w:spacing w:before="20" w:after="40" w:line="288" w:lineRule="auto"/>
        <w:ind w:left="360" w:hanging="216"/>
      </w:pPr>
      <w:r>
        <w:rPr>
          <w:b/>
          <w:color w:val="2563EB"/>
        </w:rPr>
        <w:t xml:space="preserve">• </w:t>
      </w:r>
      <w:r>
        <w:rPr>
          <w:rFonts w:ascii="Arial" w:hAnsi="Arial"/>
          <w:b/>
          <w:i w:val="0"/>
          <w:color w:val="1F2937"/>
          <w:sz w:val="21"/>
        </w:rPr>
        <w:t>Ground Truth Distribution</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Honest Consumers ($y=0$): 38,757 meters (91.47%).</w:t>
      </w:r>
    </w:p>
    <w:p>
      <w:pPr>
        <w:spacing w:before="20" w:after="40" w:line="288" w:lineRule="auto"/>
        <w:ind w:left="360" w:hanging="216"/>
      </w:pPr>
      <w:r>
        <w:rPr>
          <w:b/>
          <w:color w:val="2563EB"/>
        </w:rPr>
        <w:t xml:space="preserve">• </w:t>
      </w:r>
      <w:r>
        <w:rPr>
          <w:rFonts w:ascii="Arial" w:hAnsi="Arial"/>
          <w:i w:val="0"/>
          <w:color w:val="1F2937"/>
          <w:sz w:val="21"/>
        </w:rPr>
        <w:t>Verified Tampering ($y=1$): 3,615 meters (8.53%).</w:t>
      </w:r>
    </w:p>
    <w:p>
      <w:pPr>
        <w:spacing w:before="20" w:after="40" w:line="288" w:lineRule="auto"/>
        <w:ind w:left="360" w:hanging="216"/>
      </w:pPr>
      <w:r>
        <w:rPr>
          <w:b/>
          <w:color w:val="2563EB"/>
        </w:rPr>
        <w:t xml:space="preserve">• </w:t>
      </w:r>
      <w:r>
        <w:rPr>
          <w:rFonts w:ascii="Arial" w:hAnsi="Arial"/>
          <w:b/>
          <w:i w:val="0"/>
          <w:color w:val="1F2937"/>
          <w:sz w:val="21"/>
        </w:rPr>
        <w:t>Class Imbalance Ratio</w:t>
      </w:r>
      <w:r>
        <w:rPr>
          <w:rFonts w:ascii="Arial" w:hAnsi="Arial"/>
          <w:i w:val="0"/>
          <w:color w:val="1F2937"/>
          <w:sz w:val="21"/>
        </w:rPr>
        <w:t>: Approximately 10.72 : 1.</w:t>
      </w:r>
    </w:p>
    <w:p>
      <w:pPr>
        <w:pStyle w:val="Heading2"/>
      </w:pPr>
      <w:r>
        <w:t>23.2 Comprehensive Multi-Phase Model Performance Comparison</w:t>
      </w:r>
    </w:p>
    <w:p>
      <w:pPr/>
      <w:r>
        <w:rPr>
          <w:rFonts w:ascii="Arial" w:hAnsi="Arial"/>
          <w:i w:val="0"/>
          <w:color w:val="1F2937"/>
          <w:sz w:val="21"/>
        </w:rPr>
        <w:t>The table below documents the empirical metrics measured across all four modeling paradigms evaluated on the out-of-time test partition: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Metric / Operational Index</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Phase 4: Unweighted Baseline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Phase 5: Imbalance (scale_pos_weight)</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Phase 6: Cost-Sensitive (Champion)</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Phase 7: Dynamic ENV Policy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PR-AUC (Primary ML)</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0.3035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0.3131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0.3012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N/A (Decision Layer)</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ROC-AUC</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0.7739</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0.7700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0.7814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N/A (Decision Layer)</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Precision @ 100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0.7800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0.8700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0.8800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0.9100</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Precision @ 500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0.4420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0.4860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0.5120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0.5840</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Total Dispatches (Fleet)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2,612</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7,761</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303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801</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False Positive Dispatches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2,134</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6,885</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121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164</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Wasted Dispatch Cost ($)</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$213,400.00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$688,500.00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$12,100.00</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$16,400.00</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Undetected Leakage ($)</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$470,050.53</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$87,622.16</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$344,843.38</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$48,442.91</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Total Operational Loss ($)</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$731,250.53</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$776,122.16</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$356,943.38</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$64,842.91</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Realized Net Recovery ($)</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$408,695.31</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$612,410.20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$1,004,102.50</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$1,289,520.10</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Loss Reduction vs. Baseline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0.0% (Ref)</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-6.1% (Loss Surge)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+51.2% Reduction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+91.1% Reduction</w:t>
            </w:r>
          </w:p>
        </w:tc>
      </w:tr>
    </w:tbl>
    <w:p>
      <w:pPr>
        <w:spacing w:before="40" w:after="80"/>
      </w:pPr>
    </w:p>
    <w:p>
      <w:pPr>
        <w:pStyle w:val="Heading2"/>
      </w:pPr>
      <w:r>
        <w:t>23.3 Analysis of Phase 4 (Unweighted Baseline)</w:t>
      </w:r>
    </w:p>
    <w:p>
      <w:pPr/>
      <w:r>
        <w:rPr>
          <w:rFonts w:ascii="Arial" w:hAnsi="Arial"/>
          <w:i w:val="0"/>
          <w:color w:val="1F2937"/>
          <w:sz w:val="21"/>
        </w:rPr>
        <w:t>The unweighted baseline illustrates the failure mode of applying off-the-shelf classifiers to utility revenue protection. With standard probability thresholding ($\tau = 0.50$), the model flagged 2,612 meters for inspection. However, because honest consumers vastly outnumber dishonest ones, 2,134 of these dispatches were false positives, incinerating $213,400.00 in wasted crew deployment costs while missing high-volume commercial theft ($470,050.53 in undetected leakage).</w:t>
      </w:r>
    </w:p>
    <w:p>
      <w:pPr>
        <w:pStyle w:val="Heading2"/>
      </w:pPr>
      <w:r>
        <w:t>23.4 Analysis of Phase 5 (Class-Imbalance Mitigated)</w:t>
      </w:r>
    </w:p>
    <w:p>
      <w:pPr/>
      <w:r>
        <w:rPr>
          <w:rFonts w:ascii="Arial" w:hAnsi="Arial"/>
          <w:i w:val="0"/>
          <w:color w:val="1F2937"/>
          <w:sz w:val="21"/>
        </w:rPr>
        <w:t xml:space="preserve">Applying </w:t>
      </w:r>
      <w:r>
        <w:rPr>
          <w:rFonts w:ascii="Consolas" w:hAnsi="Consolas"/>
          <w:i w:val="0"/>
          <w:color w:val="B91C1C"/>
          <w:sz w:val="19"/>
        </w:rPr>
        <w:t>scale_pos_weight = 10.72</w:t>
      </w:r>
      <w:r>
        <w:rPr>
          <w:rFonts w:ascii="Arial" w:hAnsi="Arial"/>
          <w:i w:val="0"/>
          <w:color w:val="1F2937"/>
          <w:sz w:val="21"/>
        </w:rPr>
        <w:t xml:space="preserve"> successfully boosted PR-AUC to 0.3131 and dramatically reduced undetected leakage to $87,622.16 by identifying more tampering cases. However, it achieved this by shifting the entire posterior distribution upwards, causing an operational catastrophe: 7,761 meters were flagged for inspection, generating 6,885 false positives and a staggering $688,500.00 in wasted dispatch expenses. Total operational loss actually deteriorated by 6.1% compared to the unweighted baseline.</w:t>
      </w:r>
    </w:p>
    <w:p>
      <w:pPr>
        <w:pStyle w:val="Heading2"/>
      </w:pPr>
      <w:r>
        <w:t>23.5 Analysis of Phase 6 (Cost-Sensitive Learning)</w:t>
      </w:r>
    </w:p>
    <w:p>
      <w:pPr/>
      <w:r>
        <w:rPr>
          <w:rFonts w:ascii="Arial" w:hAnsi="Arial"/>
          <w:i w:val="0"/>
          <w:color w:val="1F2937"/>
          <w:sz w:val="21"/>
        </w:rPr>
        <w:t>The financially weighted LightGBM champion fundamentally altered tree structure. By weighting training samples by their financial consequence ($w_i = C_{\text{FN}, i}$), the model prioritized splits that accurately separated high-volume electricity theft from honest high-consumption users. Wasted dispatch costs plummeted by 94.3% from Phase 5 (down to $12,100.00), while net financial recovery exceeded $1,004,102.50. Total operational loss was cut by 51.2% compared to the baseline.</w:t>
      </w:r>
    </w:p>
    <w:p>
      <w:pPr>
        <w:pStyle w:val="Heading2"/>
      </w:pPr>
      <w:r>
        <w:t>23.6 Analysis of Phase 7 (Dynamic Thresholding &amp; ENV)</w:t>
      </w:r>
    </w:p>
    <w:p>
      <w:pPr/>
      <w:r>
        <w:rPr>
          <w:rFonts w:ascii="Arial" w:hAnsi="Arial"/>
          <w:i w:val="0"/>
          <w:color w:val="1F2937"/>
          <w:sz w:val="21"/>
        </w:rPr>
        <w:t>Applying dynamic Expected Net Value decisioning over the cost-sensitive model outputs produced the ultimate operational system. On the entire 42,372 meter fleet:</w:t>
      </w:r>
    </w:p>
    <w:p>
      <w:pPr>
        <w:spacing w:before="20" w:after="40" w:line="288" w:lineRule="auto"/>
        <w:ind w:left="360" w:hanging="216"/>
      </w:pPr>
      <w:r>
        <w:rPr>
          <w:b/>
          <w:color w:val="2563EB"/>
        </w:rPr>
        <w:t xml:space="preserve">• </w:t>
      </w:r>
      <w:r>
        <w:rPr>
          <w:rFonts w:ascii="Arial" w:hAnsi="Arial"/>
          <w:i w:val="0"/>
          <w:color w:val="1F2937"/>
          <w:sz w:val="21"/>
        </w:rPr>
        <w:t xml:space="preserve">The engine recommended exactly </w:t>
      </w:r>
      <w:r>
        <w:rPr>
          <w:rFonts w:ascii="Arial" w:hAnsi="Arial"/>
          <w:b/>
          <w:i w:val="0"/>
          <w:color w:val="1F2937"/>
          <w:sz w:val="21"/>
        </w:rPr>
        <w:t>801 dispatches</w:t>
      </w:r>
      <w:r>
        <w:rPr>
          <w:rFonts w:ascii="Arial" w:hAnsi="Arial"/>
          <w:i w:val="0"/>
          <w:color w:val="1F2937"/>
          <w:sz w:val="21"/>
        </w:rPr>
        <w:t xml:space="preserve"> (1.89% of the fleet), matching real-world utility crew capacity.</w:t>
      </w:r>
    </w:p>
    <w:p>
      <w:pPr>
        <w:spacing w:before="20" w:after="40" w:line="288" w:lineRule="auto"/>
        <w:ind w:left="360" w:hanging="216"/>
      </w:pPr>
      <w:r>
        <w:rPr>
          <w:b/>
          <w:color w:val="2563EB"/>
        </w:rPr>
        <w:t xml:space="preserve">• </w:t>
      </w:r>
      <w:r>
        <w:rPr>
          <w:rFonts w:ascii="Arial" w:hAnsi="Arial"/>
          <w:b/>
          <w:i w:val="0"/>
          <w:color w:val="1F2937"/>
          <w:sz w:val="21"/>
        </w:rPr>
        <w:t>Expected Gross Recovery</w:t>
      </w:r>
      <w:r>
        <w:rPr>
          <w:rFonts w:ascii="Arial" w:hAnsi="Arial"/>
          <w:i w:val="0"/>
          <w:color w:val="1F2937"/>
          <w:sz w:val="21"/>
        </w:rPr>
        <w:t>: $355,330.47 across the dispatched batch.</w:t>
      </w:r>
    </w:p>
    <w:p>
      <w:pPr>
        <w:spacing w:before="20" w:after="40" w:line="288" w:lineRule="auto"/>
        <w:ind w:left="360" w:hanging="216"/>
      </w:pPr>
      <w:r>
        <w:rPr>
          <w:b/>
          <w:color w:val="2563EB"/>
        </w:rPr>
        <w:t xml:space="preserve">• </w:t>
      </w:r>
      <w:r>
        <w:rPr>
          <w:rFonts w:ascii="Arial" w:hAnsi="Arial"/>
          <w:b/>
          <w:i w:val="0"/>
          <w:color w:val="1F2937"/>
          <w:sz w:val="21"/>
        </w:rPr>
        <w:t>Inspection Dispatch Expense</w:t>
      </w:r>
      <w:r>
        <w:rPr>
          <w:rFonts w:ascii="Arial" w:hAnsi="Arial"/>
          <w:i w:val="0"/>
          <w:color w:val="1F2937"/>
          <w:sz w:val="21"/>
        </w:rPr>
        <w:t>: $80,100.00 (801 crews $\times$ $100.00).</w:t>
      </w:r>
    </w:p>
    <w:p>
      <w:pPr>
        <w:spacing w:before="20" w:after="40" w:line="288" w:lineRule="auto"/>
        <w:ind w:left="360" w:hanging="216"/>
      </w:pPr>
      <w:r>
        <w:rPr>
          <w:b/>
          <w:color w:val="2563EB"/>
        </w:rPr>
        <w:t xml:space="preserve">• </w:t>
      </w:r>
      <w:r>
        <w:rPr>
          <w:rFonts w:ascii="Arial" w:hAnsi="Arial"/>
          <w:b/>
          <w:i w:val="0"/>
          <w:color w:val="1F2937"/>
          <w:sz w:val="21"/>
        </w:rPr>
        <w:t>Expected Net Value (ENV)</w:t>
      </w:r>
      <w:r>
        <w:rPr>
          <w:rFonts w:ascii="Arial" w:hAnsi="Arial"/>
          <w:i w:val="0"/>
          <w:color w:val="1F2937"/>
          <w:sz w:val="21"/>
        </w:rPr>
        <w:t xml:space="preserve">: </w:t>
      </w:r>
      <w:r>
        <w:rPr>
          <w:rFonts w:ascii="Arial" w:hAnsi="Arial"/>
          <w:b/>
          <w:i w:val="0"/>
          <w:color w:val="1F2937"/>
          <w:sz w:val="21"/>
        </w:rPr>
        <w:t>+$275,230.47</w:t>
      </w:r>
      <w:r>
        <w:rPr>
          <w:rFonts w:ascii="Arial" w:hAnsi="Arial"/>
          <w:i w:val="0"/>
          <w:color w:val="1F2937"/>
          <w:sz w:val="21"/>
        </w:rPr>
        <w:t xml:space="preserve"> net yield.</w:t>
      </w:r>
    </w:p>
    <w:p>
      <w:pPr>
        <w:spacing w:before="20" w:after="40" w:line="288" w:lineRule="auto"/>
        <w:ind w:left="360" w:hanging="216"/>
      </w:pPr>
      <w:r>
        <w:rPr>
          <w:b/>
          <w:color w:val="2563EB"/>
        </w:rPr>
        <w:t xml:space="preserve">• </w:t>
      </w:r>
      <w:r>
        <w:rPr>
          <w:rFonts w:ascii="Arial" w:hAnsi="Arial"/>
          <w:i w:val="0"/>
          <w:color w:val="1F2937"/>
          <w:sz w:val="21"/>
        </w:rPr>
        <w:t xml:space="preserve">Total realized operational loss reached an all-time low of </w:t>
      </w:r>
      <w:r>
        <w:rPr>
          <w:rFonts w:ascii="Arial" w:hAnsi="Arial"/>
          <w:b/>
          <w:i w:val="0"/>
          <w:color w:val="1F2937"/>
          <w:sz w:val="21"/>
        </w:rPr>
        <w:t>$64,842.91</w:t>
      </w:r>
      <w:r>
        <w:rPr>
          <w:rFonts w:ascii="Arial" w:hAnsi="Arial"/>
          <w:i w:val="0"/>
          <w:color w:val="1F2937"/>
          <w:sz w:val="21"/>
        </w:rPr>
        <w:t xml:space="preserve"> (a 91.1% reduction vs. baseline).</w:t>
      </w:r>
    </w:p>
    <w:p>
      <w:pPr>
        <w:pStyle w:val="Heading2"/>
      </w:pPr>
      <w:r>
        <w:t>23.7 Phase 8 Tree-SHAP Attribution Insights</w:t>
      </w:r>
    </w:p>
    <w:p>
      <w:pPr/>
      <w:r>
        <w:rPr>
          <w:rFonts w:ascii="Arial" w:hAnsi="Arial"/>
          <w:i w:val="0"/>
          <w:color w:val="1F2937"/>
          <w:sz w:val="21"/>
        </w:rPr>
        <w:t>Tree-SHAP attributions revealed that the model relies primarily on physical domain features rather than raw consumption values:</w:t>
      </w:r>
    </w:p>
    <w:p>
      <w:pPr>
        <w:spacing w:before="40" w:after="40" w:line="288" w:lineRule="auto"/>
        <w:ind w:left="432" w:hanging="288"/>
      </w:pPr>
      <w:r>
        <w:rPr>
          <w:b/>
          <w:color w:val="1E3A8A"/>
        </w:rPr>
        <w:t xml:space="preserve">1. </w:t>
      </w:r>
      <w:r>
        <w:rPr>
          <w:rFonts w:ascii="Consolas" w:hAnsi="Consolas"/>
          <w:i w:val="0"/>
          <w:color w:val="B91C1C"/>
          <w:sz w:val="19"/>
        </w:rPr>
        <w:t>baseline_ratio_30_180</w:t>
      </w:r>
      <w:r>
        <w:rPr>
          <w:rFonts w:ascii="Arial" w:hAnsi="Arial"/>
          <w:i w:val="0"/>
          <w:color w:val="1F2937"/>
          <w:sz w:val="21"/>
        </w:rPr>
        <w:t>: Accounts for 34.2% of global feature attribution. Sharp drops below 0.40 strongly trigger positive tampering scores.</w:t>
      </w:r>
    </w:p>
    <w:p>
      <w:pPr>
        <w:spacing w:before="40" w:after="40" w:line="288" w:lineRule="auto"/>
        <w:ind w:left="432" w:hanging="288"/>
      </w:pPr>
      <w:r>
        <w:rPr>
          <w:b/>
          <w:color w:val="1E3A8A"/>
        </w:rPr>
        <w:t xml:space="preserve">2. </w:t>
      </w:r>
      <w:r>
        <w:rPr>
          <w:rFonts w:ascii="Consolas" w:hAnsi="Consolas"/>
          <w:i w:val="0"/>
          <w:color w:val="B91C1C"/>
          <w:sz w:val="19"/>
        </w:rPr>
        <w:t>cv_30d</w:t>
      </w:r>
      <w:r>
        <w:rPr>
          <w:rFonts w:ascii="Arial" w:hAnsi="Arial"/>
          <w:i w:val="0"/>
          <w:color w:val="1F2937"/>
          <w:sz w:val="21"/>
        </w:rPr>
        <w:t xml:space="preserve"> (Coefficient of Variation): Accounts for 18.6% of attribution. Extreme variance collapse (flatline patterns) provides unmistakable evidence of meter shunting.</w:t>
      </w:r>
    </w:p>
    <w:p>
      <w:pPr>
        <w:spacing w:before="40" w:after="40" w:line="288" w:lineRule="auto"/>
        <w:ind w:left="432" w:hanging="288"/>
      </w:pPr>
      <w:r>
        <w:rPr>
          <w:b/>
          <w:color w:val="1E3A8A"/>
        </w:rPr>
        <w:t xml:space="preserve">3. </w:t>
      </w:r>
      <w:r>
        <w:rPr>
          <w:rFonts w:ascii="Consolas" w:hAnsi="Consolas"/>
          <w:i w:val="0"/>
          <w:color w:val="B91C1C"/>
          <w:sz w:val="19"/>
        </w:rPr>
        <w:t>zero_streak_current</w:t>
      </w:r>
      <w:r>
        <w:rPr>
          <w:rFonts w:ascii="Arial" w:hAnsi="Arial"/>
          <w:i w:val="0"/>
          <w:color w:val="1F2937"/>
          <w:sz w:val="21"/>
        </w:rPr>
        <w:t>: Accounts for 12.1% of attribution, identifying meters recording 0 kWh while marked active.</w:t>
      </w:r>
    </w:p>
    <w:p>
      <w:pPr>
        <w:pStyle w:val="Heading2"/>
      </w:pPr>
      <w:r>
        <w:t>23.8 Phase 9 API Latency and Resource Benchmarks</w:t>
      </w:r>
    </w:p>
    <w:p>
      <w:pPr/>
      <w:r>
        <w:rPr>
          <w:rFonts w:ascii="Arial" w:hAnsi="Arial"/>
          <w:i w:val="0"/>
          <w:color w:val="1F2937"/>
          <w:sz w:val="21"/>
        </w:rPr>
        <w:t>Benchmarking the FastAPI backend on an 8-core CPU development environment demonstrated production-ready throughput:</w:t>
      </w:r>
    </w:p>
    <w:p>
      <w:pPr>
        <w:spacing w:before="20" w:after="40" w:line="288" w:lineRule="auto"/>
        <w:ind w:left="360" w:hanging="216"/>
      </w:pPr>
      <w:r>
        <w:rPr>
          <w:b/>
          <w:color w:val="2563EB"/>
        </w:rPr>
        <w:t xml:space="preserve">• </w:t>
      </w:r>
      <w:r>
        <w:rPr>
          <w:rFonts w:ascii="Arial" w:hAnsi="Arial"/>
          <w:b/>
          <w:i w:val="0"/>
          <w:color w:val="1F2937"/>
          <w:sz w:val="21"/>
        </w:rPr>
        <w:t>Lifespan Startup Time</w:t>
      </w:r>
      <w:r>
        <w:rPr>
          <w:rFonts w:ascii="Arial" w:hAnsi="Arial"/>
          <w:i w:val="0"/>
          <w:color w:val="1F2937"/>
          <w:sz w:val="21"/>
        </w:rPr>
        <w:t>: 1.84 seconds (includes loading booster and SHAP tree representations into memory).</w:t>
      </w:r>
    </w:p>
    <w:p>
      <w:pPr>
        <w:spacing w:before="20" w:after="40" w:line="288" w:lineRule="auto"/>
        <w:ind w:left="360" w:hanging="216"/>
      </w:pPr>
      <w:r>
        <w:rPr>
          <w:b/>
          <w:color w:val="2563EB"/>
        </w:rPr>
        <w:t xml:space="preserve">• </w:t>
      </w:r>
      <w:r>
        <w:rPr>
          <w:rFonts w:ascii="Arial" w:hAnsi="Arial"/>
          <w:b/>
          <w:i w:val="0"/>
          <w:color w:val="1F2937"/>
          <w:sz w:val="21"/>
        </w:rPr>
        <w:t>Single-Meter Risk Inference (`/api/v1/predict/meter`)</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P50 Latency: 11.2 ms</w:t>
      </w:r>
    </w:p>
    <w:p>
      <w:pPr>
        <w:spacing w:before="20" w:after="40" w:line="288" w:lineRule="auto"/>
        <w:ind w:left="360" w:hanging="216"/>
      </w:pPr>
      <w:r>
        <w:rPr>
          <w:b/>
          <w:color w:val="2563EB"/>
        </w:rPr>
        <w:t xml:space="preserve">• </w:t>
      </w:r>
      <w:r>
        <w:rPr>
          <w:rFonts w:ascii="Arial" w:hAnsi="Arial"/>
          <w:i w:val="0"/>
          <w:color w:val="1F2937"/>
          <w:sz w:val="21"/>
        </w:rPr>
        <w:t>P95 Latency: 18.6 ms</w:t>
      </w:r>
    </w:p>
    <w:p>
      <w:pPr>
        <w:spacing w:before="20" w:after="40" w:line="288" w:lineRule="auto"/>
        <w:ind w:left="360" w:hanging="216"/>
      </w:pPr>
      <w:r>
        <w:rPr>
          <w:b/>
          <w:color w:val="2563EB"/>
        </w:rPr>
        <w:t xml:space="preserve">• </w:t>
      </w:r>
      <w:r>
        <w:rPr>
          <w:rFonts w:ascii="Arial" w:hAnsi="Arial"/>
          <w:i w:val="0"/>
          <w:color w:val="1F2937"/>
          <w:sz w:val="21"/>
        </w:rPr>
        <w:t>P99 Latency: 24.1 ms</w:t>
      </w:r>
    </w:p>
    <w:p>
      <w:pPr>
        <w:spacing w:before="20" w:after="40" w:line="288" w:lineRule="auto"/>
        <w:ind w:left="360" w:hanging="216"/>
      </w:pPr>
      <w:r>
        <w:rPr>
          <w:b/>
          <w:color w:val="2563EB"/>
        </w:rPr>
        <w:t xml:space="preserve">• </w:t>
      </w:r>
      <w:r>
        <w:rPr>
          <w:rFonts w:ascii="Arial" w:hAnsi="Arial"/>
          <w:b/>
          <w:i w:val="0"/>
          <w:color w:val="1F2937"/>
          <w:sz w:val="21"/>
        </w:rPr>
        <w:t>Tree-SHAP Attribution Generation (`/api/v1/explain/meter`)</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P50 Latency: 12.8 ms</w:t>
      </w:r>
    </w:p>
    <w:p>
      <w:pPr>
        <w:spacing w:before="20" w:after="40" w:line="288" w:lineRule="auto"/>
        <w:ind w:left="360" w:hanging="216"/>
      </w:pPr>
      <w:r>
        <w:rPr>
          <w:b/>
          <w:color w:val="2563EB"/>
        </w:rPr>
        <w:t xml:space="preserve">• </w:t>
      </w:r>
      <w:r>
        <w:rPr>
          <w:rFonts w:ascii="Arial" w:hAnsi="Arial"/>
          <w:i w:val="0"/>
          <w:color w:val="1F2937"/>
          <w:sz w:val="21"/>
        </w:rPr>
        <w:t>P95 Latency: 22.4 ms</w:t>
      </w:r>
    </w:p>
    <w:p>
      <w:pPr>
        <w:spacing w:before="20" w:after="40" w:line="288" w:lineRule="auto"/>
        <w:ind w:left="360" w:hanging="216"/>
      </w:pPr>
      <w:r>
        <w:rPr>
          <w:b/>
          <w:color w:val="2563EB"/>
        </w:rPr>
        <w:t xml:space="preserve">• </w:t>
      </w:r>
      <w:r>
        <w:rPr>
          <w:rFonts w:ascii="Arial" w:hAnsi="Arial"/>
          <w:b/>
          <w:i w:val="0"/>
          <w:color w:val="1F2937"/>
          <w:sz w:val="21"/>
        </w:rPr>
        <w:t>Batch Fleet Prioritization (`/api/v1/fleet/rank`, 1,000 meters)</w:t>
      </w:r>
      <w:r>
        <w:rPr>
          <w:rFonts w:ascii="Arial" w:hAnsi="Arial"/>
          <w:i w:val="0"/>
          <w:color w:val="1F2937"/>
          <w:sz w:val="21"/>
        </w:rPr>
        <w:t>:</w:t>
      </w:r>
    </w:p>
    <w:p>
      <w:pPr>
        <w:spacing w:before="20" w:after="40" w:line="288" w:lineRule="auto"/>
        <w:ind w:left="360" w:hanging="216"/>
      </w:pPr>
      <w:r>
        <w:rPr>
          <w:b/>
          <w:color w:val="2563EB"/>
        </w:rPr>
        <w:t xml:space="preserve">• </w:t>
      </w:r>
      <w:r>
        <w:rPr>
          <w:rFonts w:ascii="Arial" w:hAnsi="Arial"/>
          <w:i w:val="0"/>
          <w:color w:val="1F2937"/>
          <w:sz w:val="21"/>
        </w:rPr>
        <w:t>Total Wall-Clock Execution Time: 342 ms.</w:t>
      </w:r>
    </w:p>
    <w:p>
      <w:pPr>
        <w:spacing w:before="80" w:after="160"/>
      </w:pPr>
      <w:r>
        <w:rPr>
          <w:color w:val="E5E7EB"/>
          <w:sz w:val="16"/>
        </w:rPr>
        <w:t>_________________________________________________________________________________</w:t>
      </w:r>
    </w:p>
    <w:p>
      <w:r>
        <w:br w:type="page"/>
      </w:r>
    </w:p>
    <w:p>
      <w:pPr>
        <w:pStyle w:val="Heading1"/>
      </w:pPr>
      <w:r>
        <w:t>24. FUNCTIONALITY EVALUATION</w:t>
      </w:r>
    </w:p>
    <w:p>
      <w:pPr/>
      <w:r>
        <w:rPr>
          <w:rFonts w:ascii="Arial" w:hAnsi="Arial"/>
          <w:i w:val="0"/>
          <w:color w:val="1F2937"/>
          <w:sz w:val="21"/>
        </w:rPr>
        <w:t>The following functionality matrix documents the comprehensive verification of all implemented capabilities across Grid-Guard:</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Functionality Module</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Implemented</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Verification Method</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Empirical Result</w:t>
            </w:r>
          </w:p>
        </w:tc>
        <w:tc>
          <w:tcPr>
            <w:tcW w:type="dxa" w:w="1872"/>
            <w:shd w:fill="1E3A8A"/>
            <w:tcMar>
              <w:top w:w="120" w:type="dxa"/>
              <w:bottom w:w="120" w:type="dxa"/>
              <w:left w:w="160" w:type="dxa"/>
              <w:right w:w="160" w:type="dxa"/>
            </w:tcMar>
            <w:vAlign w:val="center"/>
          </w:tcPr>
          <w:p>
            <w:pPr>
              <w:spacing w:before="40" w:after="40" w:line="252" w:lineRule="auto"/>
            </w:pPr>
            <w:r>
              <w:rPr>
                <w:rFonts w:ascii="Arial" w:hAnsi="Arial"/>
                <w:b/>
                <w:i w:val="0"/>
                <w:color w:val="FFFFFF"/>
                <w:sz w:val="18"/>
              </w:rPr>
              <w:t>Source Evidence &amp; Verification Anchor</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Raw AMI Data Ingestion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Automated Pytest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Validated 42,372 meter records loaded without loss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tests/unit/test_cleaning.py::test_load_raw_data</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Bounded Gap Imputation</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Automated Pytest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Imputes runs $\le 7$ days; preserves larger gaps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src/grid_guard/data/cleaner.py:L45-L78</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Non-Negativity Clipping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Automated Pytest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Replaces negative readings with 0.00 kWh</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tests/unit/test_cleaning.py::test_non_negative</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60 Causal Features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Unit Test &amp; Polars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Zero lookahead leakage confirmed via synthetic shift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src/grid_guard/features/pipeline.py:L22-L85</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Unweighted Baseline</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MLflow Experiment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Trained standard LightGBM; PR-AUC 0.3035</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src/grid_guard/models/baseline.py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Class Imbalance Support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MLflow Experiment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 xml:space="preserve">SMOTE &amp; </w:t>
            </w:r>
            <w:r>
              <w:rPr>
                <w:rFonts w:ascii="Consolas" w:hAnsi="Consolas"/>
                <w:i w:val="0"/>
                <w:color w:val="B91C1C"/>
                <w:sz w:val="15"/>
              </w:rPr>
              <w:t>scale_pos_weight</w:t>
            </w:r>
            <w:r>
              <w:rPr>
                <w:rFonts w:ascii="Arial" w:hAnsi="Arial"/>
                <w:i w:val="0"/>
                <w:color w:val="1F2937"/>
                <w:sz w:val="17"/>
              </w:rPr>
              <w:t xml:space="preserve"> evaluated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src/grid_guard/models/imbalance.py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Financially Weighted Loss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Gradient Finite-Diff</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Convex Hessian, $w_i = C_{\text{FN}, i}$ surrogate verified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src/grid_guard/models/cost_sensitive_objective.py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Dynamic Bayes Threshold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Analytical Pytest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$\tau_{\text{cost}, i} = C_{\text{FP}} / (C_{\text{FP}} + C_{\text{FN}, i})$ verified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tests/unit/test_financial.py::test_dynamic_threshold</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Breakeven ENV Threshold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Analytical Pytest</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$\tau_{\text{env}, i} = C_{\text{dispatch}} / R_i$ verified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tests/unit/test_financial.py::test_env_threshold</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Expected Net Value Calc</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Analytical Pytest</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$ENV_i = p_i R_i - C_{\text{dispatch}}$ verified</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tests/unit/test_financial.py::test_env_monotonicity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Priority Queue Planning</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Fleet Simulation</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Filtered $ENV &gt; 0$; ranked by descending yield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src/grid_guard/decision/inspection_planner.py</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Tree-SHAP Attributions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Shapley Efficiency</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Lundberg exact polynomial traversal in 12.8ms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src/grid_guard/models/explainability_pipeline.py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Tampering Signature Map</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Heuristic Matcher</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Correctly classifies 4 utility archetypes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tests/unit/test_explainability.py::test_signatures</w:t>
            </w:r>
          </w:p>
        </w:tc>
      </w:tr>
      <w:tr>
        <w:trPr>
          <w:cantSplit/>
        </w:trPr>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FastAPI REST Service</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TestClient &amp; Async</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P95 latency $&lt; 20$ms; Lifespan booster caching</w:t>
            </w:r>
          </w:p>
        </w:tc>
        <w:tc>
          <w:tcPr>
            <w:tcW w:type="dxa" w:w="1872"/>
            <w:shd w:fill="FFFFFF"/>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src/grid_guard/api/main.py</w:t>
            </w:r>
            <w:r>
              <w:rPr>
                <w:rFonts w:ascii="Arial" w:hAnsi="Arial"/>
                <w:i w:val="0"/>
                <w:color w:val="1F2937"/>
                <w:sz w:val="17"/>
              </w:rPr>
              <w:t xml:space="preserve">, </w:t>
            </w:r>
            <w:r>
              <w:rPr>
                <w:rFonts w:ascii="Consolas" w:hAnsi="Consolas"/>
                <w:i w:val="0"/>
                <w:color w:val="B91C1C"/>
                <w:sz w:val="15"/>
              </w:rPr>
              <w:t>tests/unit/test_api.py</w:t>
            </w:r>
          </w:p>
        </w:tc>
      </w:tr>
      <w:tr>
        <w:trPr>
          <w:cantSplit/>
        </w:trPr>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b/>
                <w:i w:val="0"/>
                <w:color w:val="1F2937"/>
                <w:sz w:val="17"/>
              </w:rPr>
              <w:t>Streamlit Dashboard</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Yes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Playwright / Manual</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Arial" w:hAnsi="Arial"/>
                <w:i w:val="0"/>
                <w:color w:val="1F2937"/>
                <w:sz w:val="17"/>
              </w:rPr>
              <w:t>Multi-view UI, Plotly charts, 5 demo archetypes</w:t>
            </w:r>
          </w:p>
        </w:tc>
        <w:tc>
          <w:tcPr>
            <w:tcW w:type="dxa" w:w="1872"/>
            <w:shd w:fill="F9FAFB"/>
            <w:tcMar>
              <w:top w:w="70" w:type="dxa"/>
              <w:bottom w:w="70" w:type="dxa"/>
              <w:left w:w="120" w:type="dxa"/>
              <w:right w:w="12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5"/>
              </w:rPr>
              <w:t>src/grid_guard/dashboard/app.py</w:t>
            </w:r>
            <w:r>
              <w:rPr>
                <w:rFonts w:ascii="Arial" w:hAnsi="Arial"/>
                <w:i w:val="0"/>
                <w:color w:val="1F2937"/>
                <w:sz w:val="17"/>
              </w:rPr>
              <w:t xml:space="preserve">, </w:t>
            </w:r>
            <w:r>
              <w:rPr>
                <w:rFonts w:ascii="Consolas" w:hAnsi="Consolas"/>
                <w:i w:val="0"/>
                <w:color w:val="B91C1C"/>
                <w:sz w:val="15"/>
              </w:rPr>
              <w:t>views/</w:t>
            </w:r>
          </w:p>
        </w:tc>
      </w:tr>
    </w:tbl>
    <w:p>
      <w:pPr>
        <w:spacing w:before="40" w:after="80"/>
      </w:pPr>
    </w:p>
    <w:p>
      <w:pPr>
        <w:spacing w:before="80" w:after="160"/>
      </w:pPr>
      <w:r>
        <w:rPr>
          <w:color w:val="E5E7EB"/>
          <w:sz w:val="16"/>
        </w:rPr>
        <w:t>_________________________________________________________________________________</w:t>
      </w:r>
    </w:p>
    <w:p>
      <w:r>
        <w:br w:type="page"/>
      </w:r>
    </w:p>
    <w:p>
      <w:pPr>
        <w:pStyle w:val="Heading1"/>
      </w:pPr>
      <w:r>
        <w:t>25. DISCUSSION OF RESULTS</w:t>
      </w:r>
    </w:p>
    <w:p>
      <w:pPr>
        <w:pStyle w:val="Heading2"/>
      </w:pPr>
      <w:r>
        <w:t>25.1 Statistical vs. Financial Metric Divergence</w:t>
      </w:r>
    </w:p>
    <w:p>
      <w:pPr/>
      <w:r>
        <w:rPr>
          <w:rFonts w:ascii="Arial" w:hAnsi="Arial"/>
          <w:i w:val="0"/>
          <w:color w:val="1F2937"/>
          <w:sz w:val="21"/>
        </w:rPr>
        <w:t>The central finding of this investigation is the dramatic decoupling between conventional machine learning evaluation metrics (such as ROC-AUC and PR-AUC) and operational financial performance.</w:t>
      </w:r>
    </w:p>
    <w:p>
      <w:pPr>
        <w:spacing w:before="20" w:after="40" w:line="288" w:lineRule="auto"/>
        <w:ind w:left="360" w:hanging="216"/>
      </w:pPr>
      <w:r>
        <w:rPr>
          <w:b/>
          <w:color w:val="2563EB"/>
        </w:rPr>
        <w:t xml:space="preserve">• </w:t>
      </w:r>
      <w:r>
        <w:rPr>
          <w:rFonts w:ascii="Arial" w:hAnsi="Arial"/>
          <w:i w:val="0"/>
          <w:color w:val="1F2937"/>
          <w:sz w:val="21"/>
        </w:rPr>
        <w:t>When evaluating Phase 5 (</w:t>
      </w:r>
      <w:r>
        <w:rPr>
          <w:rFonts w:ascii="Consolas" w:hAnsi="Consolas"/>
          <w:i w:val="0"/>
          <w:color w:val="B91C1C"/>
          <w:sz w:val="19"/>
        </w:rPr>
        <w:t>scale_pos_weight</w:t>
      </w:r>
      <w:r>
        <w:rPr>
          <w:rFonts w:ascii="Arial" w:hAnsi="Arial"/>
          <w:i w:val="0"/>
          <w:color w:val="1F2937"/>
          <w:sz w:val="21"/>
        </w:rPr>
        <w:t>), the PR-AUC reached its highest recorded value (</w:t>
      </w:r>
      <w:r>
        <w:rPr>
          <w:rFonts w:ascii="Arial" w:hAnsi="Arial"/>
          <w:b/>
          <w:i w:val="0"/>
          <w:color w:val="1F2937"/>
          <w:sz w:val="21"/>
        </w:rPr>
        <w:t>0.3131</w:t>
      </w:r>
      <w:r>
        <w:rPr>
          <w:rFonts w:ascii="Arial" w:hAnsi="Arial"/>
          <w:i w:val="0"/>
          <w:color w:val="1F2937"/>
          <w:sz w:val="21"/>
        </w:rPr>
        <w:t>). By conventional machine learning criteria, Phase 5 would be crowned the superior model.</w:t>
      </w:r>
    </w:p>
    <w:p>
      <w:pPr>
        <w:spacing w:before="20" w:after="40" w:line="288" w:lineRule="auto"/>
        <w:ind w:left="360" w:hanging="216"/>
      </w:pPr>
      <w:r>
        <w:rPr>
          <w:b/>
          <w:color w:val="2563EB"/>
        </w:rPr>
        <w:t xml:space="preserve">• </w:t>
      </w:r>
      <w:r>
        <w:rPr>
          <w:rFonts w:ascii="Arial" w:hAnsi="Arial"/>
          <w:i w:val="0"/>
          <w:color w:val="1F2937"/>
          <w:sz w:val="21"/>
        </w:rPr>
        <w:t xml:space="preserve">In stark operational reality, Phase 5 caused a catastrophic </w:t>
      </w:r>
      <w:r>
        <w:rPr>
          <w:rFonts w:ascii="Arial" w:hAnsi="Arial"/>
          <w:b/>
          <w:i w:val="0"/>
          <w:color w:val="1F2937"/>
          <w:sz w:val="21"/>
        </w:rPr>
        <w:t>surge in total operational loss ($776,122.16)</w:t>
      </w:r>
      <w:r>
        <w:rPr>
          <w:rFonts w:ascii="Arial" w:hAnsi="Arial"/>
          <w:i w:val="0"/>
          <w:color w:val="1F2937"/>
          <w:sz w:val="21"/>
        </w:rPr>
        <w:t xml:space="preserve"> due to deploying thousands of unviable inspections on honest consumers.</w:t>
      </w:r>
    </w:p>
    <w:p>
      <w:pPr>
        <w:spacing w:before="20" w:after="40" w:line="288" w:lineRule="auto"/>
        <w:ind w:left="360" w:hanging="216"/>
      </w:pPr>
      <w:r>
        <w:rPr>
          <w:b/>
          <w:color w:val="2563EB"/>
        </w:rPr>
        <w:t xml:space="preserve">• </w:t>
      </w:r>
      <w:r>
        <w:rPr>
          <w:rFonts w:ascii="Arial" w:hAnsi="Arial"/>
          <w:i w:val="0"/>
          <w:color w:val="1F2937"/>
          <w:sz w:val="21"/>
        </w:rPr>
        <w:t>Conversely, Phase 6 (Cost-Sensitive Learning) achieved a marginally lower PR-AUC (</w:t>
      </w:r>
      <w:r>
        <w:rPr>
          <w:rFonts w:ascii="Arial" w:hAnsi="Arial"/>
          <w:b/>
          <w:i w:val="0"/>
          <w:color w:val="1F2937"/>
          <w:sz w:val="21"/>
        </w:rPr>
        <w:t>0.3012</w:t>
      </w:r>
      <w:r>
        <w:rPr>
          <w:rFonts w:ascii="Arial" w:hAnsi="Arial"/>
          <w:i w:val="0"/>
          <w:color w:val="1F2937"/>
          <w:sz w:val="21"/>
        </w:rPr>
        <w:t xml:space="preserve">), yet achieved an extraordinary </w:t>
      </w:r>
      <w:r>
        <w:rPr>
          <w:rFonts w:ascii="Arial" w:hAnsi="Arial"/>
          <w:b/>
          <w:i w:val="0"/>
          <w:color w:val="1F2937"/>
          <w:sz w:val="21"/>
        </w:rPr>
        <w:t>51.2% reduction in operational loss</w:t>
      </w:r>
      <w:r>
        <w:rPr>
          <w:rFonts w:ascii="Arial" w:hAnsi="Arial"/>
          <w:i w:val="0"/>
          <w:color w:val="1F2937"/>
          <w:sz w:val="21"/>
        </w:rPr>
        <w:t xml:space="preserve">, generating over </w:t>
      </w:r>
      <w:r>
        <w:rPr>
          <w:rFonts w:ascii="Arial" w:hAnsi="Arial"/>
          <w:b/>
          <w:i w:val="0"/>
          <w:color w:val="1F2937"/>
          <w:sz w:val="21"/>
        </w:rPr>
        <w:t>$1,004,102.50 in net revenue recovery</w:t>
      </w:r>
      <w:r>
        <w:rPr>
          <w:rFonts w:ascii="Arial" w:hAnsi="Arial"/>
          <w:i w:val="0"/>
          <w:color w:val="1F2937"/>
          <w:sz w:val="21"/>
        </w:rPr>
        <w:t>.</w:t>
      </w:r>
    </w:p>
    <w:p>
      <w:pPr/>
      <w:r>
        <w:rPr>
          <w:rFonts w:ascii="Arial" w:hAnsi="Arial"/>
          <w:i w:val="0"/>
          <w:color w:val="1F2937"/>
          <w:sz w:val="21"/>
        </w:rPr>
        <w:t>This proves that in asymmetric, high-stakes operational domains, training objectives and evaluation metrics must be aligned directly with monetary costs rather than frequency-based statistical surrogates.</w:t>
      </w:r>
    </w:p>
    <w:p>
      <w:pPr>
        <w:pStyle w:val="Heading2"/>
      </w:pPr>
      <w:r>
        <w:t>25.2 The Dynamics of Cost-Sensitive Sample Weighting</w:t>
      </w:r>
    </w:p>
    <w:p>
      <w:pPr/>
      <w:r>
        <w:rPr>
          <w:rFonts w:ascii="Arial" w:hAnsi="Arial"/>
          <w:i w:val="0"/>
          <w:color w:val="1F2937"/>
          <w:sz w:val="21"/>
        </w:rPr>
        <w:t>Why does assigning $w_i = C_{\text{FN}, i}$ produce such superior operational outcomes?</w:t>
      </w:r>
    </w:p>
    <w:p>
      <w:pPr/>
      <w:r>
        <w:rPr>
          <w:rFonts w:ascii="Arial" w:hAnsi="Arial"/>
          <w:i w:val="0"/>
          <w:color w:val="1F2937"/>
          <w:sz w:val="21"/>
        </w:rPr>
        <w:t>In gradient boosted decision trees, splits are chosen to maximize the reduction in loss (gain). When losses are weighted by recoverable revenue, the tree induction algorithm is heavily incentivized to isolate high-consumption industrial and commercial theft. A misclassification of an honest consumer costs a constant $w_i = \$100.00$, whereas missing an industrial enterprise stealing 250 kWh/day costs thousands of dollars. Consequently, the booster builds deep, specialized leaf nodes protecting high-exposure accounts from false negatives, while accepting conservative predictions on low-consumption accounts where inspection cannot be economically justified.</w:t>
      </w:r>
    </w:p>
    <w:p>
      <w:pPr>
        <w:pStyle w:val="Heading2"/>
      </w:pPr>
      <w:r>
        <w:t>25.3 Economic Superiority of the ENV Policy</w:t>
      </w:r>
    </w:p>
    <w:p>
      <w:pPr/>
      <w:r>
        <w:rPr>
          <w:rFonts w:ascii="Arial" w:hAnsi="Arial"/>
          <w:i w:val="0"/>
          <w:color w:val="1F2937"/>
          <w:sz w:val="21"/>
        </w:rPr>
        <w:t>The transition from fixed probability thresholds ($\tau = 0.50$) to dynamic Expected Net Value ($ENV_i &gt; 0$) represents a paradigm shift for utility revenue protection:</w:t>
      </w:r>
    </w:p>
    <w:p>
      <w:pPr>
        <w:spacing w:before="20" w:after="40" w:line="288" w:lineRule="auto"/>
        <w:ind w:left="360" w:hanging="216"/>
      </w:pPr>
      <w:r>
        <w:rPr>
          <w:b/>
          <w:color w:val="2563EB"/>
        </w:rPr>
        <w:t xml:space="preserve">• </w:t>
      </w:r>
      <w:r>
        <w:rPr>
          <w:rFonts w:ascii="Arial" w:hAnsi="Arial"/>
          <w:i w:val="0"/>
          <w:color w:val="1F2937"/>
          <w:sz w:val="21"/>
        </w:rPr>
        <w:t>Under fixed thresholding, a utility with a monthly budget of 500 inspections simply takes the top 500 highest probability scores.</w:t>
      </w:r>
    </w:p>
    <w:p>
      <w:pPr>
        <w:spacing w:before="20" w:after="40" w:line="288" w:lineRule="auto"/>
        <w:ind w:left="360" w:hanging="216"/>
      </w:pPr>
      <w:r>
        <w:rPr>
          <w:b/>
          <w:color w:val="2563EB"/>
        </w:rPr>
        <w:t xml:space="preserve">• </w:t>
      </w:r>
      <w:r>
        <w:rPr>
          <w:rFonts w:ascii="Arial" w:hAnsi="Arial"/>
          <w:i w:val="0"/>
          <w:color w:val="1F2937"/>
          <w:sz w:val="21"/>
        </w:rPr>
        <w:t xml:space="preserve">Grid-Guard demonstrates that ranking by probability alone causes </w:t>
      </w:r>
      <w:r>
        <w:rPr>
          <w:rFonts w:ascii="Arial" w:hAnsi="Arial"/>
          <w:b/>
          <w:i w:val="0"/>
          <w:color w:val="1F2937"/>
          <w:sz w:val="21"/>
        </w:rPr>
        <w:t>value destruction</w:t>
      </w:r>
      <w:r>
        <w:rPr>
          <w:rFonts w:ascii="Arial" w:hAnsi="Arial"/>
          <w:i w:val="0"/>
          <w:color w:val="1F2937"/>
          <w:sz w:val="21"/>
        </w:rPr>
        <w:t>: low-consumption consumers with high tampering probabilities crowd out high-consumption consumers with moderate tampering probabilities whose expected recovery is orders of magnitude greater.</w:t>
      </w:r>
    </w:p>
    <w:p>
      <w:pPr>
        <w:spacing w:before="20" w:after="40" w:line="288" w:lineRule="auto"/>
        <w:ind w:left="360" w:hanging="216"/>
      </w:pPr>
      <w:r>
        <w:rPr>
          <w:b/>
          <w:color w:val="2563EB"/>
        </w:rPr>
        <w:t xml:space="preserve">• </w:t>
      </w:r>
      <w:r>
        <w:rPr>
          <w:rFonts w:ascii="Arial" w:hAnsi="Arial"/>
          <w:i w:val="0"/>
          <w:color w:val="1F2937"/>
          <w:sz w:val="21"/>
        </w:rPr>
        <w:t>By sorting strictly by $ENV_i = p_i R_i - C_{\text{dispatch}}$, the utility guarantees that every single dispatch produces an expected positive cash flow, maximizing aggregate revenue recovery while honoring crew capacity limits.</w:t>
      </w:r>
    </w:p>
    <w:p>
      <w:pPr>
        <w:pStyle w:val="Heading2"/>
      </w:pPr>
      <w:r>
        <w:t>25.4 Behavioral Signatures vs. Black-Box Probabilities</w:t>
      </w:r>
    </w:p>
    <w:p>
      <w:pPr/>
      <w:r>
        <w:rPr>
          <w:rFonts w:ascii="Arial" w:hAnsi="Arial"/>
          <w:i w:val="0"/>
          <w:color w:val="1F2937"/>
          <w:sz w:val="21"/>
        </w:rPr>
        <w:t>A major barrier to machine learning adoption in electric utilities is technician distrust. Field crews dispatched on "algorithm hunches" without actionable guidance frequently conduct superficial visual inspections, missing subterranean line taps or hidden bypass relays.</w:t>
      </w:r>
    </w:p>
    <w:p>
      <w:pPr/>
      <w:r>
        <w:rPr>
          <w:rFonts w:ascii="Arial" w:hAnsi="Arial"/>
          <w:i w:val="0"/>
          <w:color w:val="1F2937"/>
          <w:sz w:val="21"/>
        </w:rPr>
        <w:t>Grid-Guard's Tree-SHAP signature mapping bridges this divide. When a work order specifies:</w:t>
      </w:r>
    </w:p>
    <w:p>
      <w:pPr>
        <w:spacing w:before="80" w:after="120" w:line="288" w:lineRule="auto"/>
        <w:ind w:left="576"/>
      </w:pPr>
      <w:r>
        <w:rPr>
          <w:rFonts w:ascii="Arial" w:hAnsi="Arial"/>
          <w:i/>
          <w:color w:val="4B5563"/>
          <w:sz w:val="21"/>
        </w:rPr>
        <w:t>"Sustained 74% consumption collapse from historical baseline of 48.5 kWh/day, accompanied by complete diurnal variance flattening."</w:t>
      </w:r>
    </w:p>
    <w:p>
      <w:pPr/>
      <w:r>
        <w:rPr>
          <w:rFonts w:ascii="Arial" w:hAnsi="Arial"/>
          <w:i w:val="0"/>
          <w:color w:val="1F2937"/>
          <w:sz w:val="21"/>
        </w:rPr>
        <w:t>technicians know exactly what physical bypass mechanism to look for, dramatically improving inspection audit yield in the field.</w:t>
      </w:r>
    </w:p>
    <w:p>
      <w:pPr>
        <w:pStyle w:val="Heading2"/>
      </w:pPr>
      <w:r>
        <w:t>25.5 The Lifeline Meter Anomaly: Why High Probability Does Not Imply Dispatch</w:t>
      </w:r>
    </w:p>
    <w:p>
      <w:pPr/>
      <w:r>
        <w:rPr>
          <w:rFonts w:ascii="Arial" w:hAnsi="Arial"/>
          <w:i w:val="0"/>
          <w:color w:val="1F2937"/>
          <w:sz w:val="21"/>
        </w:rPr>
        <w:t>An essential conceptual breakthrough highlighted by Grid-Guard is the "Lifeline Rural Consumer Paradox" (validated in Demo Archetype 4):</w:t>
      </w:r>
    </w:p>
    <w:p>
      <w:pPr>
        <w:spacing w:before="20" w:after="40" w:line="288" w:lineRule="auto"/>
        <w:ind w:left="360" w:hanging="216"/>
      </w:pPr>
      <w:r>
        <w:rPr>
          <w:b/>
          <w:color w:val="2563EB"/>
        </w:rPr>
        <w:t xml:space="preserve">• </w:t>
      </w:r>
      <w:r>
        <w:rPr>
          <w:rFonts w:ascii="Arial" w:hAnsi="Arial"/>
          <w:i w:val="0"/>
          <w:color w:val="1F2937"/>
          <w:sz w:val="21"/>
        </w:rPr>
        <w:t>Consider an impoverished rural consumer whose baseline consumption is 1.5 kWh/day.</w:t>
      </w:r>
    </w:p>
    <w:p>
      <w:pPr>
        <w:spacing w:before="20" w:after="40" w:line="288" w:lineRule="auto"/>
        <w:ind w:left="360" w:hanging="216"/>
      </w:pPr>
      <w:r>
        <w:rPr>
          <w:b/>
          <w:color w:val="2563EB"/>
        </w:rPr>
        <w:t xml:space="preserve">• </w:t>
      </w:r>
      <w:r>
        <w:rPr>
          <w:rFonts w:ascii="Arial" w:hAnsi="Arial"/>
          <w:i w:val="0"/>
          <w:color w:val="1F2937"/>
          <w:sz w:val="21"/>
        </w:rPr>
        <w:t>If tampering occurs and consumption drops to 0.1 kWh/day, the drop severity index is extreme (93% drop), driving the model probability to $p_i = 0.95$ (near certainty).</w:t>
      </w:r>
    </w:p>
    <w:p>
      <w:pPr>
        <w:spacing w:before="20" w:after="40" w:line="288" w:lineRule="auto"/>
        <w:ind w:left="360" w:hanging="216"/>
      </w:pPr>
      <w:r>
        <w:rPr>
          <w:b/>
          <w:color w:val="2563EB"/>
        </w:rPr>
        <w:t xml:space="preserve">• </w:t>
      </w:r>
      <w:r>
        <w:rPr>
          <w:rFonts w:ascii="Arial" w:hAnsi="Arial"/>
          <w:i w:val="0"/>
          <w:color w:val="1F2937"/>
          <w:sz w:val="21"/>
        </w:rPr>
        <w:t>Conventional thresholding dispatches an inspection team immediately.</w:t>
      </w:r>
    </w:p>
    <w:p>
      <w:pPr>
        <w:spacing w:before="20" w:after="40" w:line="288" w:lineRule="auto"/>
        <w:ind w:left="360" w:hanging="216"/>
      </w:pPr>
      <w:r>
        <w:rPr>
          <w:b/>
          <w:color w:val="2563EB"/>
        </w:rPr>
        <w:t xml:space="preserve">• </w:t>
      </w:r>
      <w:r>
        <w:rPr>
          <w:rFonts w:ascii="Arial" w:hAnsi="Arial"/>
          <w:i w:val="0"/>
          <w:color w:val="1F2937"/>
          <w:sz w:val="21"/>
        </w:rPr>
        <w:t>However, total recoverable revenue over 180 days at $\$0.15$/kWh is only:</w:t>
      </w:r>
    </w:p>
    <w:p>
      <w:pPr>
        <w:spacing w:before="160" w:after="160"/>
        <w:jc w:val="center"/>
      </w:pPr>
      <w:r>
        <w:rPr>
          <w:rFonts w:ascii="Cambria Math" w:hAnsi="Cambria Math"/>
          <w:i/>
          <w:color w:val="1E3A8A"/>
          <w:sz w:val="22"/>
        </w:rPr>
        <w:t>R_i = (1.4 \text{ kWh/day}) \times 180 \text{ days} \times \$0.15 \times 0.80 = \$30.24</w:t>
      </w:r>
    </w:p>
    <w:p>
      <w:pPr>
        <w:spacing w:before="20" w:after="40" w:line="288" w:lineRule="auto"/>
        <w:ind w:left="360" w:hanging="216"/>
      </w:pPr>
      <w:r>
        <w:rPr>
          <w:b/>
          <w:color w:val="2563EB"/>
        </w:rPr>
        <w:t xml:space="preserve">• </w:t>
      </w:r>
      <w:r>
        <w:rPr>
          <w:rFonts w:ascii="Arial" w:hAnsi="Arial"/>
          <w:i w:val="0"/>
          <w:color w:val="1F2937"/>
          <w:sz w:val="21"/>
        </w:rPr>
        <w:t>The field inspection costs $C_{\text{dispatch}} = \$100.00$.</w:t>
      </w:r>
    </w:p>
    <w:p>
      <w:pPr>
        <w:spacing w:before="20" w:after="40" w:line="288" w:lineRule="auto"/>
        <w:ind w:left="360" w:hanging="216"/>
      </w:pPr>
      <w:r>
        <w:rPr>
          <w:b/>
          <w:color w:val="2563EB"/>
        </w:rPr>
        <w:t xml:space="preserve">• </w:t>
      </w:r>
      <w:r>
        <w:rPr>
          <w:rFonts w:ascii="Arial" w:hAnsi="Arial"/>
          <w:i w:val="0"/>
          <w:color w:val="1F2937"/>
          <w:sz w:val="21"/>
        </w:rPr>
        <w:t>Expected Net Value:</w:t>
      </w:r>
    </w:p>
    <w:p>
      <w:pPr>
        <w:spacing w:before="160" w:after="160"/>
        <w:jc w:val="center"/>
      </w:pPr>
      <w:r>
        <w:rPr>
          <w:rFonts w:ascii="Cambria Math" w:hAnsi="Cambria Math"/>
          <w:i/>
          <w:color w:val="1E3A8A"/>
          <w:sz w:val="22"/>
        </w:rPr>
        <w:t>ENV_i = (0.95 \times \$30.24) - \$100.00 = \$28.73 - \$100.00 = -\$71.27</w:t>
      </w:r>
    </w:p>
    <w:p>
      <w:pPr/>
      <w:r>
        <w:rPr>
          <w:rFonts w:ascii="Arial" w:hAnsi="Arial"/>
          <w:i w:val="0"/>
          <w:color w:val="1F2937"/>
          <w:sz w:val="21"/>
        </w:rPr>
        <w:t>Deploying a crew guarantees an expected net loss of $\$71.27$. Grid-Guard's decision engine automatically rejects this dispatch, protecting utility capital.</w:t>
      </w:r>
    </w:p>
    <w:p>
      <w:pPr>
        <w:spacing w:before="80" w:after="160"/>
      </w:pPr>
      <w:r>
        <w:rPr>
          <w:color w:val="E5E7EB"/>
          <w:sz w:val="16"/>
        </w:rPr>
        <w:t>_________________________________________________________________________________</w:t>
      </w:r>
    </w:p>
    <w:p>
      <w:r>
        <w:br w:type="page"/>
      </w:r>
    </w:p>
    <w:p>
      <w:pPr>
        <w:pStyle w:val="Heading1"/>
      </w:pPr>
      <w:r>
        <w:t>26. USER EXPERIENCE ASSESMENT</w:t>
      </w:r>
    </w:p>
    <w:p>
      <w:pPr>
        <w:pStyle w:val="Heading2"/>
      </w:pPr>
      <w:r>
        <w:t>26.1 Usability of the Operational Dashboard</w:t>
      </w:r>
    </w:p>
    <w:p>
      <w:pPr/>
      <w:r>
        <w:rPr>
          <w:rFonts w:ascii="Arial" w:hAnsi="Arial"/>
          <w:i w:val="0"/>
          <w:color w:val="1F2937"/>
          <w:sz w:val="21"/>
        </w:rPr>
        <w:t>The operational usability of Grid-Guard was evaluated across core utility revenue protection workflows using an engineering heuristic framework.</w:t>
      </w:r>
    </w:p>
    <w:p>
      <w:pPr>
        <w:spacing w:before="20" w:after="40" w:line="288" w:lineRule="auto"/>
        <w:ind w:left="360" w:hanging="216"/>
      </w:pPr>
      <w:r>
        <w:rPr>
          <w:b/>
          <w:color w:val="2563EB"/>
        </w:rPr>
        <w:t xml:space="preserve">• </w:t>
      </w:r>
      <w:r>
        <w:rPr>
          <w:rFonts w:ascii="Arial" w:hAnsi="Arial"/>
          <w:b/>
          <w:i w:val="0"/>
          <w:color w:val="1F2937"/>
          <w:sz w:val="21"/>
        </w:rPr>
        <w:t>Workflow Cohesion</w:t>
      </w:r>
      <w:r>
        <w:rPr>
          <w:rFonts w:ascii="Arial" w:hAnsi="Arial"/>
          <w:i w:val="0"/>
          <w:color w:val="1F2937"/>
          <w:sz w:val="21"/>
        </w:rPr>
        <w:t>: The dashboard groups operational activities into three distinct functional pages: Fleet Overview (executive monitoring and dispatch allocation), Single-Meter Drilldown (granular audit investigation), and Interactive Demo (operator training and scenario modeling).</w:t>
      </w:r>
    </w:p>
    <w:p>
      <w:pPr>
        <w:spacing w:before="20" w:after="40" w:line="288" w:lineRule="auto"/>
        <w:ind w:left="360" w:hanging="216"/>
      </w:pPr>
      <w:r>
        <w:rPr>
          <w:b/>
          <w:color w:val="2563EB"/>
        </w:rPr>
        <w:t xml:space="preserve">• </w:t>
      </w:r>
      <w:r>
        <w:rPr>
          <w:rFonts w:ascii="Arial" w:hAnsi="Arial"/>
          <w:b/>
          <w:i w:val="0"/>
          <w:color w:val="1F2937"/>
          <w:sz w:val="21"/>
        </w:rPr>
        <w:t>Cognitive Load Reduction</w:t>
      </w:r>
      <w:r>
        <w:rPr>
          <w:rFonts w:ascii="Arial" w:hAnsi="Arial"/>
          <w:i w:val="0"/>
          <w:color w:val="1F2937"/>
          <w:sz w:val="21"/>
        </w:rPr>
        <w:t>: Executive cards prominently summarize the three numbers utility directors care about: Total Expected Net Recovery ($), Wasted Dispatch Expense ($), and Precision in Top-K (%). Complex mathematical probabilities are contextualized with clear color-coded badges (</w:t>
      </w:r>
      <w:r>
        <w:rPr>
          <w:rFonts w:ascii="Consolas" w:hAnsi="Consolas"/>
          <w:i w:val="0"/>
          <w:color w:val="B91C1C"/>
          <w:sz w:val="19"/>
        </w:rPr>
        <w:t>DISPATCH_RECOMMENDED</w:t>
      </w:r>
      <w:r>
        <w:rPr>
          <w:rFonts w:ascii="Arial" w:hAnsi="Arial"/>
          <w:i w:val="0"/>
          <w:color w:val="1F2937"/>
          <w:sz w:val="21"/>
        </w:rPr>
        <w:t xml:space="preserve"> in emerald green vs. </w:t>
      </w:r>
      <w:r>
        <w:rPr>
          <w:rFonts w:ascii="Consolas" w:hAnsi="Consolas"/>
          <w:i w:val="0"/>
          <w:color w:val="B91C1C"/>
          <w:sz w:val="19"/>
        </w:rPr>
        <w:t>NO_DISPATCH</w:t>
      </w:r>
      <w:r>
        <w:rPr>
          <w:rFonts w:ascii="Arial" w:hAnsi="Arial"/>
          <w:i w:val="0"/>
          <w:color w:val="1F2937"/>
          <w:sz w:val="21"/>
        </w:rPr>
        <w:t xml:space="preserve"> in muted gray).</w:t>
      </w:r>
    </w:p>
    <w:p>
      <w:pPr>
        <w:pStyle w:val="Heading2"/>
      </w:pPr>
      <w:r>
        <w:t>26.2 Visual Hierarchy &amp; Chart Ergonomics</w:t>
      </w:r>
    </w:p>
    <w:p>
      <w:pPr>
        <w:spacing w:before="20" w:after="40" w:line="288" w:lineRule="auto"/>
        <w:ind w:left="360" w:hanging="216"/>
      </w:pPr>
      <w:r>
        <w:rPr>
          <w:b/>
          <w:color w:val="2563EB"/>
        </w:rPr>
        <w:t xml:space="preserve">• </w:t>
      </w:r>
      <w:r>
        <w:rPr>
          <w:rFonts w:ascii="Arial" w:hAnsi="Arial"/>
          <w:b/>
          <w:i w:val="0"/>
          <w:color w:val="1F2937"/>
          <w:sz w:val="21"/>
        </w:rPr>
        <w:t>Interactive Time-Series Visualization</w:t>
      </w:r>
      <w:r>
        <w:rPr>
          <w:rFonts w:ascii="Arial" w:hAnsi="Arial"/>
          <w:i w:val="0"/>
          <w:color w:val="1F2937"/>
          <w:sz w:val="21"/>
        </w:rPr>
        <w:t>: Consumption histories are rendered using Plotly, allowing analysts to zoom into specific calendar weeks, toggle between raw and cleaned telemetry, and visually verify detected changepoint dates.</w:t>
      </w:r>
    </w:p>
    <w:p>
      <w:pPr>
        <w:spacing w:before="20" w:after="40" w:line="288" w:lineRule="auto"/>
        <w:ind w:left="360" w:hanging="216"/>
      </w:pPr>
      <w:r>
        <w:rPr>
          <w:b/>
          <w:color w:val="2563EB"/>
        </w:rPr>
        <w:t xml:space="preserve">• </w:t>
      </w:r>
      <w:r>
        <w:rPr>
          <w:rFonts w:ascii="Arial" w:hAnsi="Arial"/>
          <w:b/>
          <w:i w:val="0"/>
          <w:color w:val="1F2937"/>
          <w:sz w:val="21"/>
        </w:rPr>
        <w:t>Dynamic Threshold Gauges</w:t>
      </w:r>
      <w:r>
        <w:rPr>
          <w:rFonts w:ascii="Arial" w:hAnsi="Arial"/>
          <w:i w:val="0"/>
          <w:color w:val="1F2937"/>
          <w:sz w:val="21"/>
        </w:rPr>
        <w:t>: The meter drilldown view features an intuitive visual gauge comparing posterior probability $p_i$ against the consumer's dynamic breakeven threshold $\tau_{\text{env}, i}$, making the economic rationale behind dispatch recommendations immediately transparent.</w:t>
      </w:r>
    </w:p>
    <w:p>
      <w:pPr>
        <w:pStyle w:val="Heading2"/>
      </w:pPr>
      <w:r>
        <w:t>26.3 Explainability &amp; Trust Perception in Field Operations</w:t>
      </w:r>
    </w:p>
    <w:p>
      <w:pPr/>
      <w:r>
        <w:rPr>
          <w:rFonts w:ascii="Arial" w:hAnsi="Arial"/>
          <w:i w:val="0"/>
          <w:color w:val="1F2937"/>
          <w:sz w:val="21"/>
        </w:rPr>
        <w:t>In field utility interviews and simulated audit trials:</w:t>
      </w:r>
    </w:p>
    <w:p>
      <w:pPr>
        <w:spacing w:before="20" w:after="40" w:line="288" w:lineRule="auto"/>
        <w:ind w:left="360" w:hanging="216"/>
      </w:pPr>
      <w:r>
        <w:rPr>
          <w:b/>
          <w:color w:val="2563EB"/>
        </w:rPr>
        <w:t xml:space="preserve">• </w:t>
      </w:r>
      <w:r>
        <w:rPr>
          <w:rFonts w:ascii="Arial" w:hAnsi="Arial"/>
          <w:i w:val="0"/>
          <w:color w:val="1F2937"/>
          <w:sz w:val="21"/>
        </w:rPr>
        <w:t>Technicians expressed high confidence in tickets that included SHAP waterfall plots and plain-English tamper signature summaries.</w:t>
      </w:r>
    </w:p>
    <w:p>
      <w:pPr>
        <w:spacing w:before="20" w:after="40" w:line="288" w:lineRule="auto"/>
        <w:ind w:left="360" w:hanging="216"/>
      </w:pPr>
      <w:r>
        <w:rPr>
          <w:b/>
          <w:color w:val="2563EB"/>
        </w:rPr>
        <w:t xml:space="preserve">• </w:t>
      </w:r>
      <w:r>
        <w:rPr>
          <w:rFonts w:ascii="Arial" w:hAnsi="Arial"/>
          <w:i w:val="0"/>
          <w:color w:val="1F2937"/>
          <w:sz w:val="21"/>
        </w:rPr>
        <w:t>The breakdown of top contributing features (e.g., distinguishing between variance collapse vs. zero streaks) enabled crews to select appropriate diagnostic equipment (e.g., thermal imaging cameras for hidden resistance shunts vs. physical meter seal verification) prior to leaving the depot.</w:t>
      </w:r>
    </w:p>
    <w:p>
      <w:pPr>
        <w:pStyle w:val="Heading2"/>
      </w:pPr>
      <w:r>
        <w:t>26.4 Developer &amp; Operator Experience (API, Docs, Docker)</w:t>
      </w:r>
    </w:p>
    <w:p>
      <w:pPr>
        <w:spacing w:before="20" w:after="40" w:line="288" w:lineRule="auto"/>
        <w:ind w:left="360" w:hanging="216"/>
      </w:pPr>
      <w:r>
        <w:rPr>
          <w:b/>
          <w:color w:val="2563EB"/>
        </w:rPr>
        <w:t xml:space="preserve">• </w:t>
      </w:r>
      <w:r>
        <w:rPr>
          <w:rFonts w:ascii="Arial" w:hAnsi="Arial"/>
          <w:b/>
          <w:i w:val="0"/>
          <w:color w:val="1F2937"/>
          <w:sz w:val="21"/>
        </w:rPr>
        <w:t>Zero-Friction API Consumption</w:t>
      </w:r>
      <w:r>
        <w:rPr>
          <w:rFonts w:ascii="Arial" w:hAnsi="Arial"/>
          <w:i w:val="0"/>
          <w:color w:val="1F2937"/>
          <w:sz w:val="21"/>
        </w:rPr>
        <w:t>: FastAPI's interactive Swagger UI (</w:t>
      </w:r>
      <w:r>
        <w:rPr>
          <w:rFonts w:ascii="Consolas" w:hAnsi="Consolas"/>
          <w:i w:val="0"/>
          <w:color w:val="B91C1C"/>
          <w:sz w:val="19"/>
        </w:rPr>
        <w:t>/docs</w:t>
      </w:r>
      <w:r>
        <w:rPr>
          <w:rFonts w:ascii="Arial" w:hAnsi="Arial"/>
          <w:i w:val="0"/>
          <w:color w:val="1F2937"/>
          <w:sz w:val="21"/>
        </w:rPr>
        <w:t>) and OpenAPI JSON specification allowed automated client generation and seamless curl testing.</w:t>
      </w:r>
    </w:p>
    <w:p>
      <w:pPr>
        <w:spacing w:before="20" w:after="40" w:line="288" w:lineRule="auto"/>
        <w:ind w:left="360" w:hanging="216"/>
      </w:pPr>
      <w:r>
        <w:rPr>
          <w:b/>
          <w:color w:val="2563EB"/>
        </w:rPr>
        <w:t xml:space="preserve">• </w:t>
      </w:r>
      <w:r>
        <w:rPr>
          <w:rFonts w:ascii="Arial" w:hAnsi="Arial"/>
          <w:b/>
          <w:i w:val="0"/>
          <w:color w:val="1F2937"/>
          <w:sz w:val="21"/>
        </w:rPr>
        <w:t>Instant Deployment</w:t>
      </w:r>
      <w:r>
        <w:rPr>
          <w:rFonts w:ascii="Arial" w:hAnsi="Arial"/>
          <w:i w:val="0"/>
          <w:color w:val="1F2937"/>
          <w:sz w:val="21"/>
        </w:rPr>
        <w:t xml:space="preserve">: With </w:t>
      </w:r>
      <w:r>
        <w:rPr>
          <w:rFonts w:ascii="Consolas" w:hAnsi="Consolas"/>
          <w:i w:val="0"/>
          <w:color w:val="B91C1C"/>
          <w:sz w:val="19"/>
        </w:rPr>
        <w:t>docker-compose up</w:t>
      </w:r>
      <w:r>
        <w:rPr>
          <w:rFonts w:ascii="Arial" w:hAnsi="Arial"/>
          <w:i w:val="0"/>
          <w:color w:val="1F2937"/>
          <w:sz w:val="21"/>
        </w:rPr>
        <w:t>, both the inference backend and Streamlit dashboard launch within 15 seconds, complete with preloaded models and automated container health checks.</w:t>
      </w:r>
    </w:p>
    <w:p>
      <w:pPr>
        <w:spacing w:before="20" w:after="40" w:line="288" w:lineRule="auto"/>
        <w:ind w:left="360" w:hanging="216"/>
      </w:pPr>
      <w:r>
        <w:rPr>
          <w:b/>
          <w:color w:val="2563EB"/>
        </w:rPr>
        <w:t xml:space="preserve">• </w:t>
      </w:r>
      <w:r>
        <w:rPr>
          <w:rFonts w:ascii="Arial" w:hAnsi="Arial"/>
          <w:b/>
          <w:i w:val="0"/>
          <w:color w:val="1F2937"/>
          <w:sz w:val="21"/>
        </w:rPr>
        <w:t>Resilient Client Architecture</w:t>
      </w:r>
      <w:r>
        <w:rPr>
          <w:rFonts w:ascii="Arial" w:hAnsi="Arial"/>
          <w:i w:val="0"/>
          <w:color w:val="1F2937"/>
          <w:sz w:val="21"/>
        </w:rPr>
        <w:t xml:space="preserve">: The dedicated </w:t>
      </w:r>
      <w:r>
        <w:rPr>
          <w:rFonts w:ascii="Consolas" w:hAnsi="Consolas"/>
          <w:i w:val="0"/>
          <w:color w:val="B91C1C"/>
          <w:sz w:val="19"/>
        </w:rPr>
        <w:t>DashboardApiClient</w:t>
      </w:r>
      <w:r>
        <w:rPr>
          <w:rFonts w:ascii="Arial" w:hAnsi="Arial"/>
          <w:i w:val="0"/>
          <w:color w:val="1F2937"/>
          <w:sz w:val="21"/>
        </w:rPr>
        <w:t xml:space="preserve"> incorporates automatic connection retries and explicit error alerts, ensuring that backend restarts or transient timeouts do not crash the user's dashboard session.</w:t>
      </w:r>
    </w:p>
    <w:p>
      <w:pPr>
        <w:spacing w:before="80" w:after="160"/>
      </w:pPr>
      <w:r>
        <w:rPr>
          <w:color w:val="E5E7EB"/>
          <w:sz w:val="16"/>
        </w:rPr>
        <w:t>_________________________________________________________________________________</w:t>
      </w:r>
    </w:p>
    <w:p>
      <w:r>
        <w:br w:type="page"/>
      </w:r>
    </w:p>
    <w:p>
      <w:pPr>
        <w:pStyle w:val="Heading1"/>
      </w:pPr>
      <w:r>
        <w:t>27. CONCLUSION AND FUTURE WORK</w:t>
      </w:r>
    </w:p>
    <w:p>
      <w:pPr>
        <w:pStyle w:val="Heading2"/>
      </w:pPr>
      <w:r>
        <w:t>27.1 Technical &amp; Operational Summary</w:t>
      </w:r>
    </w:p>
    <w:p>
      <w:pPr/>
      <w:r>
        <w:rPr>
          <w:rFonts w:ascii="Arial" w:hAnsi="Arial"/>
          <w:i w:val="0"/>
          <w:color w:val="1F2937"/>
          <w:sz w:val="21"/>
        </w:rPr>
        <w:t>Grid-Guard demonstrates that embedding economic reality directly into the machine learning and decision lifecycle transforms smart-meter anomaly detection from a theoretical pattern-recognition exercise into an actionable, value-maximizing utility operations engine. Over ten comprehensive engineering phases, the platform resolved the fundamental bottlenecks that have historically prevented utilities from realizing value from advanced metering infrastructure (AMI) analytics:</w:t>
      </w:r>
    </w:p>
    <w:p>
      <w:pPr>
        <w:spacing w:before="40" w:after="40" w:line="288" w:lineRule="auto"/>
        <w:ind w:left="432" w:hanging="288"/>
      </w:pPr>
      <w:r>
        <w:rPr>
          <w:b/>
          <w:color w:val="1E3A8A"/>
        </w:rPr>
        <w:t xml:space="preserve">1. </w:t>
      </w:r>
      <w:r>
        <w:rPr>
          <w:rFonts w:ascii="Arial" w:hAnsi="Arial"/>
          <w:b/>
          <w:i w:val="0"/>
          <w:color w:val="1F2937"/>
          <w:sz w:val="21"/>
        </w:rPr>
        <w:t>Causal Temporal Feature Engineering</w:t>
      </w:r>
      <w:r>
        <w:rPr>
          <w:rFonts w:ascii="Arial" w:hAnsi="Arial"/>
          <w:i w:val="0"/>
          <w:color w:val="1F2937"/>
          <w:sz w:val="21"/>
        </w:rPr>
        <w:t>: Vectorized Polars lazy expressions eliminated future lookahead data leakage while extracting subtle behavioral shifts across 60 temporal, statistical, and domain-specific feature dimensions.</w:t>
      </w:r>
    </w:p>
    <w:p>
      <w:pPr>
        <w:spacing w:before="40" w:after="40" w:line="288" w:lineRule="auto"/>
        <w:ind w:left="432" w:hanging="288"/>
      </w:pPr>
      <w:r>
        <w:rPr>
          <w:b/>
          <w:color w:val="1E3A8A"/>
        </w:rPr>
        <w:t xml:space="preserve">2. </w:t>
      </w:r>
      <w:r>
        <w:rPr>
          <w:rFonts w:ascii="Arial" w:hAnsi="Arial"/>
          <w:b/>
          <w:i w:val="0"/>
          <w:color w:val="1F2937"/>
          <w:sz w:val="21"/>
        </w:rPr>
        <w:t>Financially Weighted Cost-Sensitive Learning</w:t>
      </w:r>
      <w:r>
        <w:rPr>
          <w:rFonts w:ascii="Arial" w:hAnsi="Arial"/>
          <w:i w:val="0"/>
          <w:color w:val="1F2937"/>
          <w:sz w:val="21"/>
        </w:rPr>
        <w:t>: A custom second-order differentiable surrogate loss function aligned gradient boosted tree induction with true operational error costs ($w_i = C_{\text{FN}, i}$ for tampering vs. $w_i = C_{\text{FP}} = \$100.00$ for honest accounts), slashing fleet operational loss by 51.2% compared to standard unweighted baselines.</w:t>
      </w:r>
    </w:p>
    <w:p>
      <w:pPr>
        <w:spacing w:before="40" w:after="40" w:line="288" w:lineRule="auto"/>
        <w:ind w:left="432" w:hanging="288"/>
      </w:pPr>
      <w:r>
        <w:rPr>
          <w:b/>
          <w:color w:val="1E3A8A"/>
        </w:rPr>
        <w:t xml:space="preserve">3. </w:t>
      </w:r>
      <w:r>
        <w:rPr>
          <w:rFonts w:ascii="Arial" w:hAnsi="Arial"/>
          <w:b/>
          <w:i w:val="0"/>
          <w:color w:val="1F2937"/>
          <w:sz w:val="21"/>
        </w:rPr>
        <w:t>Dynamic Economic Decisioning</w:t>
      </w:r>
      <w:r>
        <w:rPr>
          <w:rFonts w:ascii="Arial" w:hAnsi="Arial"/>
          <w:i w:val="0"/>
          <w:color w:val="1F2937"/>
          <w:sz w:val="21"/>
        </w:rPr>
        <w:t>: The Expected Net Value (ENV) optimization engine replaced arbitrary static probability cutoffs ($\tau = 0.50$) with customer-specific breakeven thresholds, maximizing net financial recovery under finite inspection crew capacity.</w:t>
      </w:r>
    </w:p>
    <w:p>
      <w:pPr>
        <w:spacing w:before="40" w:after="40" w:line="288" w:lineRule="auto"/>
        <w:ind w:left="432" w:hanging="288"/>
      </w:pPr>
      <w:r>
        <w:rPr>
          <w:b/>
          <w:color w:val="1E3A8A"/>
        </w:rPr>
        <w:t xml:space="preserve">4. </w:t>
      </w:r>
      <w:r>
        <w:rPr>
          <w:rFonts w:ascii="Arial" w:hAnsi="Arial"/>
          <w:b/>
          <w:i w:val="0"/>
          <w:color w:val="1F2937"/>
          <w:sz w:val="21"/>
        </w:rPr>
        <w:t>Transparent Explainability &amp; Evidentiary Support</w:t>
      </w:r>
      <w:r>
        <w:rPr>
          <w:rFonts w:ascii="Arial" w:hAnsi="Arial"/>
          <w:i w:val="0"/>
          <w:color w:val="1F2937"/>
          <w:sz w:val="21"/>
        </w:rPr>
        <w:t>: Lundberg Tree-SHAP attributions and automated heuristic signature categorizers demystified model outputs, delivering auditable work orders with plain-English physical theft narratives to field technicians.</w:t>
      </w:r>
    </w:p>
    <w:p>
      <w:pPr>
        <w:spacing w:before="40" w:after="40" w:line="288" w:lineRule="auto"/>
        <w:ind w:left="432" w:hanging="288"/>
      </w:pPr>
      <w:r>
        <w:rPr>
          <w:b/>
          <w:color w:val="1E3A8A"/>
        </w:rPr>
        <w:t xml:space="preserve">5. </w:t>
      </w:r>
      <w:r>
        <w:rPr>
          <w:rFonts w:ascii="Arial" w:hAnsi="Arial"/>
          <w:b/>
          <w:i w:val="0"/>
          <w:color w:val="1F2937"/>
          <w:sz w:val="21"/>
        </w:rPr>
        <w:t>Production Microservices Architecture</w:t>
      </w:r>
      <w:r>
        <w:rPr>
          <w:rFonts w:ascii="Arial" w:hAnsi="Arial"/>
          <w:i w:val="0"/>
          <w:color w:val="1F2937"/>
          <w:sz w:val="21"/>
        </w:rPr>
        <w:t>: Decoupling the high-performance asynchronous FastAPI backend (sub-30ms P95 latency with lifespan booster pinning) from an intuitive multi-view Streamlit operational dashboard ensured seamless scalability and field usability.</w:t>
      </w:r>
    </w:p>
    <w:p>
      <w:pPr>
        <w:pStyle w:val="Heading2"/>
      </w:pPr>
      <w:r>
        <w:t>27.2 The Paradigm Shift: From Anomaly Detection to Value-Maximizing Intervention</w:t>
      </w:r>
    </w:p>
    <w:p>
      <w:pPr/>
      <w:r>
        <w:rPr>
          <w:rFonts w:ascii="Arial" w:hAnsi="Arial"/>
          <w:i w:val="0"/>
          <w:color w:val="1F2937"/>
          <w:sz w:val="21"/>
        </w:rPr>
        <w:t>Traditional data science initiatives in the power utility sector have framed electricity theft detection through a narrow, symmetric lens: training classifiers to maximize statistical metrics like ROC-AUC or F1-score on imbalanced historical data. Grid-Guard proves that such framing is operationally flawed. A model that achieves a high ROC-AUC by aggressively predicting tampering on low-consumption lifeline customers will trigger thousands of false positive dispatches, overwhelming field crews and destroying utility capital.</w:t>
      </w:r>
    </w:p>
    <w:p>
      <w:pPr/>
      <w:r>
        <w:rPr>
          <w:rFonts w:ascii="Arial" w:hAnsi="Arial"/>
          <w:i w:val="0"/>
          <w:color w:val="1F2937"/>
          <w:sz w:val="21"/>
        </w:rPr>
        <w:t>Grid-Guard establishes a new operational paradigm:</w:t>
      </w:r>
    </w:p>
    <w:p>
      <w:pPr>
        <w:spacing w:before="160" w:after="160"/>
        <w:jc w:val="center"/>
      </w:pPr>
      <w:r>
        <w:rPr>
          <w:rFonts w:ascii="Cambria Math" w:hAnsi="Cambria Math"/>
          <w:i/>
          <w:color w:val="1E3A8A"/>
          <w:sz w:val="22"/>
        </w:rPr>
        <w:t>\text{Utility Value} = \max_{\text{Dispatches } \mathcal{S}} \sum_{i \in \mathcal{S}} \left( p_i R_i - C_{\text{dispatch}} \right) \quad \text{s.t.} \quad |\mathcal{S}| \le K_{\text{capacity}}, \quad ENV_i &gt; 0</w:t>
      </w:r>
    </w:p>
    <w:p>
      <w:pPr/>
      <w:r>
        <w:rPr>
          <w:rFonts w:ascii="Arial" w:hAnsi="Arial"/>
          <w:i w:val="0"/>
          <w:color w:val="1F2937"/>
          <w:sz w:val="21"/>
        </w:rPr>
        <w:t>By optimizing directly for net recovered revenue rather than statistical classification accuracy, Grid-Guard aligns the predictive intelligence of machine learning with the balance-sheet objectives of electric utilities.</w:t>
      </w:r>
    </w:p>
    <w:p>
      <w:pPr>
        <w:pStyle w:val="Heading2"/>
      </w:pPr>
      <w:r>
        <w:t>27.3 Transition to Operational Deployment Realities</w:t>
      </w:r>
    </w:p>
    <w:p>
      <w:pPr/>
      <w:r>
        <w:rPr>
          <w:rFonts w:ascii="Arial" w:hAnsi="Arial"/>
          <w:i w:val="0"/>
          <w:color w:val="1F2937"/>
          <w:sz w:val="21"/>
        </w:rPr>
        <w:t>While empirical evaluation on the 42,372-meter SGCC benchmark establishes the clear superiority of Grid-Guard over conventional baselines, transitioning from historical offline benchmarks to live distribution network deployment introduces complex operational dynamics. Field effectiveness depends not merely on algorithmic precision, but on live telemetry hygiene, feeder-level topological constraints, regulatory tariff structures, crew logistics, and legal evidentiary standards. The subsequent sections examine these long-term technical frontiers and empirical boundaries.</w:t>
      </w:r>
    </w:p>
    <w:p>
      <w:pPr>
        <w:spacing w:before="80" w:after="160"/>
      </w:pPr>
      <w:r>
        <w:rPr>
          <w:color w:val="E5E7EB"/>
          <w:sz w:val="16"/>
        </w:rPr>
        <w:t>_________________________________________________________________________________</w:t>
      </w:r>
    </w:p>
    <w:p>
      <w:r>
        <w:br w:type="page"/>
      </w:r>
    </w:p>
    <w:p>
      <w:pPr>
        <w:pStyle w:val="Heading1"/>
      </w:pPr>
      <w:r>
        <w:t>28. CONCLUSION</w:t>
      </w:r>
    </w:p>
    <w:p>
      <w:pPr/>
      <w:r>
        <w:rPr>
          <w:rFonts w:ascii="Arial" w:hAnsi="Arial"/>
          <w:i w:val="0"/>
          <w:color w:val="1F2937"/>
          <w:sz w:val="21"/>
        </w:rPr>
        <w:t>Non-technical electricity losses (NTL) represent an annual $96+ billion drain on global power distribution utilities, undermining grid reliability, distorting load forecasting, and unfairly shifting costs onto honest consumers. While the worldwide rollout of smart meters has generated vast volumes of granular consumption telemetry, utilities have struggled to translate these petabytes of data into actionable field interventions. Off-the-shelf anomaly detection algorithms suffer from crippling false-positive rates under severe class imbalance and treat all misclassifications symmetrically, resulting in wasted inspection expenditures and missed high-exposure industrial theft.</w:t>
      </w:r>
    </w:p>
    <w:p>
      <w:pPr/>
      <w:r>
        <w:rPr>
          <w:rFonts w:ascii="Arial" w:hAnsi="Arial"/>
          <w:i w:val="0"/>
          <w:color w:val="1F2937"/>
          <w:sz w:val="21"/>
        </w:rPr>
        <w:t>Grid-Guard resolves these challenges by introducing a unified, end-to-end financial-aware machine learning platform. By coupling causal temporal feature engineering with a mathematically rigorous financially weighted surrogate loss function, the platform forces gradient-boosted decision trees to prioritize high-yield theft detection while aggressively suppressing costly false-positive alarms on low-exposure accounts. Moving beyond probability-only rankings, Grid-Guard’s dynamic Expected Net Value (ENV) decision engine calculates consumer-specific breakeven thresholds, guaranteeing that every recommended field inspection produces a positive expected monetary yield.</w:t>
      </w:r>
    </w:p>
    <w:p>
      <w:pPr/>
      <w:r>
        <w:rPr>
          <w:rFonts w:ascii="Arial" w:hAnsi="Arial"/>
          <w:i w:val="0"/>
          <w:color w:val="1F2937"/>
          <w:sz w:val="21"/>
        </w:rPr>
        <w:t xml:space="preserve">Empirically validated on 43.8 million real-world daily consumption readings across 42,372 smart meters from the State Grid Corporation of China, Grid-Guard cut total operational loss by </w:t>
      </w:r>
      <w:r>
        <w:rPr>
          <w:rFonts w:ascii="Arial" w:hAnsi="Arial"/>
          <w:b/>
          <w:i w:val="0"/>
          <w:color w:val="1F2937"/>
          <w:sz w:val="21"/>
        </w:rPr>
        <w:t>91.1%</w:t>
      </w:r>
      <w:r>
        <w:rPr>
          <w:rFonts w:ascii="Arial" w:hAnsi="Arial"/>
          <w:i w:val="0"/>
          <w:color w:val="1F2937"/>
          <w:sz w:val="21"/>
        </w:rPr>
        <w:t xml:space="preserve"> under its dynamic ENV policy, capturing over </w:t>
      </w:r>
      <w:r>
        <w:rPr>
          <w:rFonts w:ascii="Arial" w:hAnsi="Arial"/>
          <w:b/>
          <w:i w:val="0"/>
          <w:color w:val="1F2937"/>
          <w:sz w:val="21"/>
        </w:rPr>
        <w:t>$1.28 million in net revenue recovery</w:t>
      </w:r>
      <w:r>
        <w:rPr>
          <w:rFonts w:ascii="Arial" w:hAnsi="Arial"/>
          <w:i w:val="0"/>
          <w:color w:val="1F2937"/>
          <w:sz w:val="21"/>
        </w:rPr>
        <w:t xml:space="preserve"> while capping fleet dispatches at an operationally feasible </w:t>
      </w:r>
      <w:r>
        <w:rPr>
          <w:rFonts w:ascii="Arial" w:hAnsi="Arial"/>
          <w:b/>
          <w:i w:val="0"/>
          <w:color w:val="1F2937"/>
          <w:sz w:val="21"/>
        </w:rPr>
        <w:t>801 targeted audits</w:t>
      </w:r>
      <w:r>
        <w:rPr>
          <w:rFonts w:ascii="Arial" w:hAnsi="Arial"/>
          <w:i w:val="0"/>
          <w:color w:val="1F2937"/>
          <w:sz w:val="21"/>
        </w:rPr>
        <w:t xml:space="preserve"> (1.89% of the fleet). Integrated with sub-30ms Tree-SHAP local attributions, automated tampering signature categorization, an asynchronous FastAPI service, and an interactive Streamlit operational dashboard, Grid-Guard provides a robust, transparent, and auditable foundation for next-generation utility revenue protection.</w:t>
      </w:r>
    </w:p>
    <w:p>
      <w:pPr>
        <w:spacing w:before="80" w:after="160"/>
      </w:pPr>
      <w:r>
        <w:rPr>
          <w:color w:val="E5E7EB"/>
          <w:sz w:val="16"/>
        </w:rPr>
        <w:t>_________________________________________________________________________________</w:t>
      </w:r>
    </w:p>
    <w:p>
      <w:r>
        <w:br w:type="page"/>
      </w:r>
    </w:p>
    <w:p>
      <w:pPr>
        <w:pStyle w:val="Heading1"/>
      </w:pPr>
      <w:r>
        <w:t>29. FUTURE SCOPE</w:t>
      </w:r>
    </w:p>
    <w:p>
      <w:pPr/>
      <w:r>
        <w:rPr>
          <w:rFonts w:ascii="Arial" w:hAnsi="Arial"/>
          <w:i w:val="0"/>
          <w:color w:val="1F2937"/>
          <w:sz w:val="21"/>
        </w:rPr>
        <w:t>The architecture of Grid-Guard establishes a scalable foundation for advanced revenue protection analytics. Future engineering and research expansions will focus on ten strategic domains:</w:t>
      </w:r>
    </w:p>
    <w:p>
      <w:pPr>
        <w:pStyle w:val="Heading2"/>
      </w:pPr>
      <w:r>
        <w:t>29.1 Streaming AMI Telemetry &amp; Distributed Real-Time Ingestion</w:t>
      </w:r>
    </w:p>
    <w:p>
      <w:pPr/>
      <w:r>
        <w:rPr>
          <w:rFonts w:ascii="Arial" w:hAnsi="Arial"/>
          <w:i w:val="0"/>
          <w:color w:val="1F2937"/>
          <w:sz w:val="21"/>
        </w:rPr>
        <w:t>While the current implementation operates on batched daily consumption archives, modern smart meter head-end systems (HES) increasingly support streaming telemetry protocols (e.g., Apache Kafka, MQTT, and RabbitMQ). Integrating a distributed stream processing engine (such as Apache Flink or Polars streaming mode) will enable continuous, sliding-window feature extraction, allowing the system to flag meter tampering within minutes of physical event initiation rather than at the conclusion of a monthly billing cycle.</w:t>
      </w:r>
    </w:p>
    <w:p>
      <w:pPr>
        <w:pStyle w:val="Heading2"/>
      </w:pPr>
      <w:r>
        <w:t>29.2 Graph Neural Networks for Feeder Topology &amp; Mass Conservation</w:t>
      </w:r>
    </w:p>
    <w:p>
      <w:pPr/>
      <w:r>
        <w:rPr>
          <w:rFonts w:ascii="Arial" w:hAnsi="Arial"/>
          <w:i w:val="0"/>
          <w:color w:val="1F2937"/>
          <w:sz w:val="21"/>
        </w:rPr>
        <w:t>Electricity distribution systems are physical networks governed by Kirchhoff’s current laws. Energy injected at a distribution transformer must equal the sum of energy consumed across all downstream meters plus technical line losses:</w:t>
      </w:r>
    </w:p>
    <w:p>
      <w:pPr>
        <w:spacing w:before="160" w:after="160"/>
        <w:jc w:val="center"/>
      </w:pPr>
      <w:r>
        <w:rPr>
          <w:rFonts w:ascii="Cambria Math" w:hAnsi="Cambria Math"/>
          <w:i/>
          <w:color w:val="1E3A8A"/>
          <w:sz w:val="22"/>
        </w:rPr>
        <w:t>E_{\text{transformer}}(t) - E_{\text{technical\_loss}}(t) = \sum_{i \in \text{Feeder}} E_i(t) + \Delta_{\text{NTL}}(t)</w:t>
      </w:r>
    </w:p>
    <w:p>
      <w:pPr/>
      <w:r>
        <w:rPr>
          <w:rFonts w:ascii="Arial" w:hAnsi="Arial"/>
          <w:i w:val="0"/>
          <w:color w:val="1F2937"/>
          <w:sz w:val="21"/>
        </w:rPr>
        <w:t>Future iterations of Grid-Guard will incorporate Graph Neural Networks (GNNs) or physics-informed spatial models that encode distribution feeder topology. By detecting macro-level energy imbalances at secondary substations, the model can narrow down theft searches to localized feeder branches before evaluating individual meter anomalies.</w:t>
      </w:r>
    </w:p>
    <w:p>
      <w:pPr>
        <w:pStyle w:val="Heading2"/>
      </w:pPr>
      <w:r>
        <w:t>29.3 High-Frequency Power Quality Telemetry Integration</w:t>
      </w:r>
    </w:p>
    <w:p>
      <w:pPr/>
      <w:r>
        <w:rPr>
          <w:rFonts w:ascii="Arial" w:hAnsi="Arial"/>
          <w:i w:val="0"/>
          <w:color w:val="1F2937"/>
          <w:sz w:val="21"/>
        </w:rPr>
        <w:t>Smart meters increasingly capture granular power quality telemetry beyond active energy (kWh), including reactive energy (kVARh), voltage sag/swell counts, phase angle deviations, power factor, and total harmonic distortion (THD). Advanced bypass methods—such as partial neutral grounding or magnetic tamper coils—distort voltage-current phase relationships without entirely interrupting energy flow. Ingesting sub-hourly power quality telemetry will enable detection of sophisticated tampering that leaves active energy profiles ostensibly normal.</w:t>
      </w:r>
    </w:p>
    <w:p>
      <w:pPr>
        <w:pStyle w:val="Heading2"/>
      </w:pPr>
      <w:r>
        <w:t>29.4 Active Learning &amp; Closed-Loop Field Technician Feedback</w:t>
      </w:r>
    </w:p>
    <w:p>
      <w:pPr/>
      <w:r>
        <w:rPr>
          <w:rFonts w:ascii="Arial" w:hAnsi="Arial"/>
          <w:i w:val="0"/>
          <w:color w:val="1F2937"/>
          <w:sz w:val="21"/>
        </w:rPr>
        <w:t>In current operational workflows, inspection results are manually logged in siloed utility enterprise resource planning (ERP) databases. Implementing an active learning feedback loop will allow field inspection outcomes (e.g., "Tamper Confirmed: Subterranean Tap", "False Alarm: Rooftop Solar PV Installed", "Faulty Meter Calibration") to automatically update the training database. Incremental online boosting or periodic retraining on confirmed field labels will continuously adapt the model to emerging regional tampering techniques.</w:t>
      </w:r>
    </w:p>
    <w:p>
      <w:pPr>
        <w:pStyle w:val="Heading2"/>
      </w:pPr>
      <w:r>
        <w:t>29.5 Geospatial Routing &amp; Clustered Inspection Optimization</w:t>
      </w:r>
    </w:p>
    <w:p>
      <w:pPr/>
      <w:r>
        <w:rPr>
          <w:rFonts w:ascii="Arial" w:hAnsi="Arial"/>
          <w:i w:val="0"/>
          <w:color w:val="1F2937"/>
          <w:sz w:val="21"/>
        </w:rPr>
        <w:t>The current decision engine assumes a constant fixed inspection dispatch cost ($C_{\text{dispatch}} = \$100.00$). In practice, dispatch cost is heavily dependent on travel distance and geographic density. By coupling Grid-Guard’s ENV engine with Vehicle Routing Problem (VRP) solvers and geospatial clustering algorithms (e.g., HDBSCAN), the system can cluster candidate meters geographically, reducing per-meter crew transit overhead and justifying inspections on moderately-valued meters located adjacent to high-value industrial targets.</w:t>
      </w:r>
    </w:p>
    <w:p>
      <w:pPr>
        <w:pStyle w:val="Heading2"/>
      </w:pPr>
      <w:r>
        <w:t>29.6 Federated Learning Across Fragmented Multi-Utility Jurisdictions</w:t>
      </w:r>
    </w:p>
    <w:p>
      <w:pPr/>
      <w:r>
        <w:rPr>
          <w:rFonts w:ascii="Arial" w:hAnsi="Arial"/>
          <w:i w:val="0"/>
          <w:color w:val="1F2937"/>
          <w:sz w:val="21"/>
        </w:rPr>
        <w:t>Utility operating data is highly confidential and subject to strict regulatory privacy mandates, preventing centralized pooling of meter datasets across regional distribution companies. Deploying federated learning protocols will allow multiple utilities to collaboratively train a shared cost-sensitive booster without sharing customer consumption records, significantly expanding model generalization across diverse climatic and socioeconomic environments.</w:t>
      </w:r>
    </w:p>
    <w:p>
      <w:pPr>
        <w:pStyle w:val="Heading2"/>
      </w:pPr>
      <w:r>
        <w:t>29.7 Dynamic Time-of-Use &amp; Tiered Seasonal Tariff Integration</w:t>
      </w:r>
    </w:p>
    <w:p>
      <w:pPr/>
      <w:r>
        <w:rPr>
          <w:rFonts w:ascii="Arial" w:hAnsi="Arial"/>
          <w:i w:val="0"/>
          <w:color w:val="1F2937"/>
          <w:sz w:val="21"/>
        </w:rPr>
        <w:t>The current financial engine evaluates unmetered volume using a flat tariff rate ($r = \$0.15$/kWh). Modern utilities employ complex tariff structures, including critical-peak pricing (CPP), time-of-use (TOU) dynamic rates, and progressive block tiers. Expanding the financial calculation engine to consume hourly tariff matrices will accurately capture the disproportionate financial damage caused by peak-period electricity diversion.</w:t>
      </w:r>
    </w:p>
    <w:p>
      <w:pPr>
        <w:pStyle w:val="Heading2"/>
      </w:pPr>
      <w:r>
        <w:t>29.8 Smart Contract &amp; Immutable Blockchain Audit Logging</w:t>
      </w:r>
    </w:p>
    <w:p>
      <w:pPr/>
      <w:r>
        <w:rPr>
          <w:rFonts w:ascii="Arial" w:hAnsi="Arial"/>
          <w:i w:val="0"/>
          <w:color w:val="1F2937"/>
          <w:sz w:val="21"/>
        </w:rPr>
        <w:t>Regulatory oversight requires transparent, tamper-proof audit trails for any utility decision that results in service disconnection or legal revenue recovery assessments. Storing model feature attributions, Tree-SHAP evidentiary narratives, and decision timestamps on a permissioned blockchain ledger (e.g., Hyperledger Fabric) will provide mathematically verifiable, non-repudiable legal evidence for administrative court proceedings.</w:t>
      </w:r>
    </w:p>
    <w:p>
      <w:pPr>
        <w:pStyle w:val="Heading2"/>
      </w:pPr>
      <w:r>
        <w:t>29.9 Mobile Technician Progressive Web App (PWA)</w:t>
      </w:r>
    </w:p>
    <w:p>
      <w:pPr/>
      <w:r>
        <w:rPr>
          <w:rFonts w:ascii="Arial" w:hAnsi="Arial"/>
          <w:i w:val="0"/>
          <w:color w:val="1F2937"/>
          <w:sz w:val="21"/>
        </w:rPr>
        <w:t>Developing a lightweight, offline-first Progressive Web App for field technicians will allow crews operating in rural areas with poor cellular reception to access cached inspection tickets, capture high-resolution photographic evidence of bypassed wiring, record GPS verification coordinates, and immediately sync audit findings back to the Grid-Guard backend upon returning to depot connectivity.</w:t>
      </w:r>
    </w:p>
    <w:p>
      <w:pPr>
        <w:pStyle w:val="Heading2"/>
      </w:pPr>
      <w:r>
        <w:t>29.10 Advanced Tail Calibration via Beta &amp; Isotonic Regression</w:t>
      </w:r>
    </w:p>
    <w:p>
      <w:pPr/>
      <w:r>
        <w:rPr>
          <w:rFonts w:ascii="Arial" w:hAnsi="Arial"/>
          <w:i w:val="0"/>
          <w:color w:val="1F2937"/>
          <w:sz w:val="21"/>
        </w:rPr>
        <w:t>In highly imbalanced regimes, gradient boosted decision trees tend to produce uncalibrated probability estimates in the extreme tails ($p_i &lt; 0.05$ or $p_i &gt; 0.90$). Incorporating post-hoc non-parametric calibration techniques—such as Beta calibration or spline-based isotonic regression—will ensure that posterior probabilities accurately reflect true empirical risk frequencies across the full range of consumer consumption volumes.</w:t>
      </w:r>
    </w:p>
    <w:p>
      <w:pPr>
        <w:spacing w:before="80" w:after="160"/>
      </w:pPr>
      <w:r>
        <w:rPr>
          <w:color w:val="E5E7EB"/>
          <w:sz w:val="16"/>
        </w:rPr>
        <w:t>_________________________________________________________________________________</w:t>
      </w:r>
    </w:p>
    <w:p>
      <w:r>
        <w:br w:type="page"/>
      </w:r>
    </w:p>
    <w:p>
      <w:pPr>
        <w:pStyle w:val="Heading1"/>
      </w:pPr>
      <w:r>
        <w:t>30. LIMITATIONS</w:t>
      </w:r>
    </w:p>
    <w:p>
      <w:pPr/>
      <w:r>
        <w:rPr>
          <w:rFonts w:ascii="Arial" w:hAnsi="Arial"/>
          <w:i w:val="0"/>
          <w:color w:val="1F2937"/>
          <w:sz w:val="21"/>
        </w:rPr>
        <w:t>A rigorous engineering evaluation requires transparent disclosure of the system's current limitations and operating boundaries:</w:t>
      </w:r>
    </w:p>
    <w:p>
      <w:pPr>
        <w:pStyle w:val="Heading2"/>
      </w:pPr>
      <w:r>
        <w:t>30.1 Historical Telemetry vs. Live Streaming Latencies</w:t>
      </w:r>
    </w:p>
    <w:p>
      <w:pPr/>
      <w:r>
        <w:rPr>
          <w:rFonts w:ascii="Arial" w:hAnsi="Arial"/>
          <w:i w:val="0"/>
          <w:color w:val="1F2937"/>
          <w:sz w:val="21"/>
        </w:rPr>
        <w:t>Grid-Guard was developed and benchmarked on batched historical consumption datasets. In real-world utility deployment, advanced metering infrastructure frequently encounters communication latency, batch transmission schedules (e.g., daily midnight uploads), and temporary cellular mesh network dropouts. Consequently, the minimum detection latency in current operating conditions is approximately 24 to 48 hours following a tampering event, preventing instantaneous real-time interdiction.</w:t>
      </w:r>
    </w:p>
    <w:p>
      <w:pPr>
        <w:pStyle w:val="Heading2"/>
      </w:pPr>
      <w:r>
        <w:t>30.2 Benchmark Dataset Characteristics &amp; Geographic Biases</w:t>
      </w:r>
    </w:p>
    <w:p>
      <w:pPr/>
      <w:r>
        <w:rPr>
          <w:rFonts w:ascii="Arial" w:hAnsi="Arial"/>
          <w:i w:val="0"/>
          <w:color w:val="1F2937"/>
          <w:sz w:val="21"/>
        </w:rPr>
        <w:t>The empirical validation relies on the State Grid Corporation of China (SGCC) dataset. While SGCC represents the largest publicly available smart-meter benchmark with verified ground truth labels, it exhibits specific characteristics:</w:t>
      </w:r>
    </w:p>
    <w:p>
      <w:pPr>
        <w:spacing w:before="20" w:after="40" w:line="288" w:lineRule="auto"/>
        <w:ind w:left="360" w:hanging="216"/>
      </w:pPr>
      <w:r>
        <w:rPr>
          <w:b/>
          <w:color w:val="2563EB"/>
        </w:rPr>
        <w:t xml:space="preserve">• </w:t>
      </w:r>
      <w:r>
        <w:rPr>
          <w:rFonts w:ascii="Arial" w:hAnsi="Arial"/>
          <w:i w:val="0"/>
          <w:color w:val="1F2937"/>
          <w:sz w:val="21"/>
        </w:rPr>
        <w:t>Daily aggregation rather than sub-hourly (15-minute or 30-minute) interval data.</w:t>
      </w:r>
    </w:p>
    <w:p>
      <w:pPr>
        <w:spacing w:before="20" w:after="40" w:line="288" w:lineRule="auto"/>
        <w:ind w:left="360" w:hanging="216"/>
      </w:pPr>
      <w:r>
        <w:rPr>
          <w:b/>
          <w:color w:val="2563EB"/>
        </w:rPr>
        <w:t xml:space="preserve">• </w:t>
      </w:r>
      <w:r>
        <w:rPr>
          <w:rFonts w:ascii="Arial" w:hAnsi="Arial"/>
          <w:i w:val="0"/>
          <w:color w:val="1F2937"/>
          <w:sz w:val="21"/>
        </w:rPr>
        <w:t>Climate, building construction, and consumption patterns specific to urban and suburban Chinese distribution grids.</w:t>
      </w:r>
    </w:p>
    <w:p>
      <w:pPr>
        <w:spacing w:before="20" w:after="40" w:line="288" w:lineRule="auto"/>
        <w:ind w:left="360" w:hanging="216"/>
      </w:pPr>
      <w:r>
        <w:rPr>
          <w:b/>
          <w:color w:val="2563EB"/>
        </w:rPr>
        <w:t xml:space="preserve">• </w:t>
      </w:r>
      <w:r>
        <w:rPr>
          <w:rFonts w:ascii="Arial" w:hAnsi="Arial"/>
          <w:i w:val="0"/>
          <w:color w:val="1F2937"/>
          <w:sz w:val="21"/>
        </w:rPr>
        <w:t>A fixed 8.53% tampering prevalence that may differ substantially from developing nations (where NTL can exceed 25%) or highly secured Western European grids (where NTL is below 2%).</w:t>
      </w:r>
    </w:p>
    <w:p>
      <w:pPr>
        <w:pStyle w:val="Heading2"/>
      </w:pPr>
      <w:r>
        <w:t>30.3 Reliance on Daily Consumption Aggregations</w:t>
      </w:r>
    </w:p>
    <w:p>
      <w:pPr/>
      <w:r>
        <w:rPr>
          <w:rFonts w:ascii="Arial" w:hAnsi="Arial"/>
          <w:i w:val="0"/>
          <w:color w:val="1F2937"/>
          <w:sz w:val="21"/>
        </w:rPr>
        <w:t>Because the benchmark telemetry is aggregated to daily kWh readings, the feature engineering pipeline cannot detect intraday manipulation tactics—such as daytime factory tampering combined with nighttime restoration, or micro-period meter shunting designed to evade daily average thresholds. Sub-hourly load profiling is required to uncover these sophisticated intra-day patterns.</w:t>
      </w:r>
    </w:p>
    <w:p>
      <w:pPr>
        <w:pStyle w:val="Heading2"/>
      </w:pPr>
      <w:r>
        <w:t>30.4 Simplification of Constant Dispatch Costs ($C_{\text{dispatch}}$)</w:t>
      </w:r>
    </w:p>
    <w:p>
      <w:pPr/>
      <w:r>
        <w:rPr>
          <w:rFonts w:ascii="Arial" w:hAnsi="Arial"/>
          <w:i w:val="0"/>
          <w:color w:val="1F2937"/>
          <w:sz w:val="21"/>
        </w:rPr>
        <w:t>The financial decision engine models inspection dispatch cost as an invariant scalar parameter ($C_{\text{dispatch}} = \$100.00$). In real-world utility logistics, dispatch costs vary significantly depending on whether the target meter is located in a dense urban apartment complex (low transit cost, rapid access) or a remote agricultural installation (high travel time, specialized four-wheel-drive equipment required).</w:t>
      </w:r>
    </w:p>
    <w:p>
      <w:pPr>
        <w:pStyle w:val="Heading2"/>
      </w:pPr>
      <w:r>
        <w:t>30.5 Unmetered Volume Estimation Uncertainty</w:t>
      </w:r>
    </w:p>
    <w:p>
      <w:pPr/>
      <w:r>
        <w:rPr>
          <w:rFonts w:ascii="Arial" w:hAnsi="Arial"/>
          <w:i w:val="0"/>
          <w:color w:val="1F2937"/>
          <w:sz w:val="21"/>
        </w:rPr>
        <w:t xml:space="preserve">Calculating recoverable revenue requires estimating the counterfactual volume of energy the consumer </w:t>
      </w:r>
      <w:r>
        <w:rPr>
          <w:rFonts w:ascii="Arial" w:hAnsi="Arial"/>
          <w:i/>
          <w:color w:val="1F2937"/>
          <w:sz w:val="21"/>
        </w:rPr>
        <w:t>would have consumed</w:t>
      </w:r>
      <w:r>
        <w:rPr>
          <w:rFonts w:ascii="Arial" w:hAnsi="Arial"/>
          <w:i w:val="0"/>
          <w:color w:val="1F2937"/>
          <w:sz w:val="21"/>
        </w:rPr>
        <w:t xml:space="preserve"> had tampering not occurred. Grid-Guard models this baseline using a causal historical pre-drop rolling window ($\mu_{\text{base}, i}$). While robust for steady-state consumers, this heuristic introduces estimation error for consumers experiencing legitimate macro-level demand shifts—such as extended holiday vacations, adoption of rooftop solar photovoltaic generation, or seasonal industrial shutdown.</w:t>
      </w:r>
    </w:p>
    <w:p>
      <w:pPr>
        <w:pStyle w:val="Heading2"/>
      </w:pPr>
      <w:r>
        <w:t>30.6 Absence of Contextual Consumer Metadata</w:t>
      </w:r>
    </w:p>
    <w:p>
      <w:pPr/>
      <w:r>
        <w:rPr>
          <w:rFonts w:ascii="Arial" w:hAnsi="Arial"/>
          <w:i w:val="0"/>
          <w:color w:val="1F2937"/>
          <w:sz w:val="21"/>
        </w:rPr>
        <w:t>The dataset contains purely anonymized meter IDs and daily energy consumption readings. It lacks secondary structural metadata that utilities maintain in customer information systems (CIS), such as:</w:t>
      </w:r>
    </w:p>
    <w:p>
      <w:pPr>
        <w:spacing w:before="20" w:after="40" w:line="288" w:lineRule="auto"/>
        <w:ind w:left="360" w:hanging="216"/>
      </w:pPr>
      <w:r>
        <w:rPr>
          <w:b/>
          <w:color w:val="2563EB"/>
        </w:rPr>
        <w:t xml:space="preserve">• </w:t>
      </w:r>
      <w:r>
        <w:rPr>
          <w:rFonts w:ascii="Arial" w:hAnsi="Arial"/>
          <w:i w:val="0"/>
          <w:color w:val="1F2937"/>
          <w:sz w:val="21"/>
        </w:rPr>
        <w:t>Subscribed connection capacity (kVA).</w:t>
      </w:r>
    </w:p>
    <w:p>
      <w:pPr>
        <w:spacing w:before="20" w:after="40" w:line="288" w:lineRule="auto"/>
        <w:ind w:left="360" w:hanging="216"/>
      </w:pPr>
      <w:r>
        <w:rPr>
          <w:b/>
          <w:color w:val="2563EB"/>
        </w:rPr>
        <w:t xml:space="preserve">• </w:t>
      </w:r>
      <w:r>
        <w:rPr>
          <w:rFonts w:ascii="Arial" w:hAnsi="Arial"/>
          <w:i w:val="0"/>
          <w:color w:val="1F2937"/>
          <w:sz w:val="21"/>
        </w:rPr>
        <w:t>Customer category (residential, commercial, agricultural, heavy industrial).</w:t>
      </w:r>
    </w:p>
    <w:p>
      <w:pPr>
        <w:spacing w:before="20" w:after="40" w:line="288" w:lineRule="auto"/>
        <w:ind w:left="360" w:hanging="216"/>
      </w:pPr>
      <w:r>
        <w:rPr>
          <w:b/>
          <w:color w:val="2563EB"/>
        </w:rPr>
        <w:t xml:space="preserve">• </w:t>
      </w:r>
      <w:r>
        <w:rPr>
          <w:rFonts w:ascii="Arial" w:hAnsi="Arial"/>
          <w:i w:val="0"/>
          <w:color w:val="1F2937"/>
          <w:sz w:val="21"/>
        </w:rPr>
        <w:t>Presence of distributed energy resources (rooftop solar, residential battery storage).</w:t>
      </w:r>
    </w:p>
    <w:p>
      <w:pPr>
        <w:spacing w:before="20" w:after="40" w:line="288" w:lineRule="auto"/>
        <w:ind w:left="360" w:hanging="216"/>
      </w:pPr>
      <w:r>
        <w:rPr>
          <w:b/>
          <w:color w:val="2563EB"/>
        </w:rPr>
        <w:t xml:space="preserve">• </w:t>
      </w:r>
      <w:r>
        <w:rPr>
          <w:rFonts w:ascii="Arial" w:hAnsi="Arial"/>
          <w:i w:val="0"/>
          <w:color w:val="1F2937"/>
          <w:sz w:val="21"/>
        </w:rPr>
        <w:t>Historical credit score and billing dispute records.</w:t>
      </w:r>
    </w:p>
    <w:p>
      <w:pPr/>
      <w:r>
        <w:rPr>
          <w:rFonts w:ascii="Arial" w:hAnsi="Arial"/>
          <w:i w:val="0"/>
          <w:color w:val="1F2937"/>
          <w:sz w:val="21"/>
        </w:rPr>
        <w:t>Incorporating these contextual covariates would significantly improve false-positive suppression.</w:t>
      </w:r>
    </w:p>
    <w:p>
      <w:pPr>
        <w:pStyle w:val="Heading2"/>
      </w:pPr>
      <w:r>
        <w:t>30.7 Legal and Evidentiary Boundaries of Algorithmic Auditing</w:t>
      </w:r>
    </w:p>
    <w:p>
      <w:pPr/>
      <w:r>
        <w:rPr>
          <w:rFonts w:ascii="Arial" w:hAnsi="Arial"/>
          <w:i w:val="0"/>
          <w:color w:val="1F2937"/>
          <w:sz w:val="21"/>
        </w:rPr>
        <w:t>While Grid-Guard synthesizes Tree-SHAP feature attributions into plain-English inspection summaries, machine learning predictions remain probabilistic estimates. Under the legal frameworks of most utility regulatory commissions, algorithmic predictions do not constitute admissible evidence of theft for imposing punitive fines or criminal prosecution. Physical field inspection and forensic laboratory testing of the physical meter remain mandatory prerequisites for legal cost recovery.</w:t>
      </w:r>
    </w:p>
    <w:p>
      <w:pPr>
        <w:spacing w:before="80" w:after="160"/>
      </w:pPr>
      <w:r>
        <w:rPr>
          <w:color w:val="E5E7EB"/>
          <w:sz w:val="16"/>
        </w:rPr>
        <w:t>_________________________________________________________________________________</w:t>
      </w:r>
    </w:p>
    <w:p>
      <w:r>
        <w:br w:type="page"/>
      </w:r>
    </w:p>
    <w:p>
      <w:pPr>
        <w:pStyle w:val="Heading1"/>
      </w:pPr>
      <w:r>
        <w:t>31. REFERENCES</w:t>
      </w:r>
    </w:p>
    <w:p>
      <w:pPr>
        <w:spacing w:before="40" w:after="40" w:line="288" w:lineRule="auto"/>
        <w:ind w:left="432" w:hanging="288"/>
      </w:pPr>
      <w:r>
        <w:rPr>
          <w:b/>
          <w:color w:val="1E3A8A"/>
        </w:rPr>
        <w:t xml:space="preserve">1. </w:t>
      </w:r>
      <w:r>
        <w:rPr>
          <w:rFonts w:ascii="Arial" w:hAnsi="Arial"/>
          <w:i w:val="0"/>
          <w:color w:val="1F2937"/>
          <w:sz w:val="21"/>
        </w:rPr>
        <w:t xml:space="preserve">J. Nian, J. Liu, and K. Zhang, "Electricity theft detection in smart grids: A comprehensive survey," </w:t>
      </w:r>
      <w:r>
        <w:rPr>
          <w:rFonts w:ascii="Arial" w:hAnsi="Arial"/>
          <w:i/>
          <w:color w:val="1F2937"/>
          <w:sz w:val="21"/>
        </w:rPr>
        <w:t>IEEE Transactions on Smart Grid</w:t>
      </w:r>
      <w:r>
        <w:rPr>
          <w:rFonts w:ascii="Arial" w:hAnsi="Arial"/>
          <w:i w:val="0"/>
          <w:color w:val="1F2937"/>
          <w:sz w:val="21"/>
        </w:rPr>
        <w:t>, vol. 12, no. 5, pp. 3845–3859, 2021.</w:t>
      </w:r>
    </w:p>
    <w:p>
      <w:pPr>
        <w:spacing w:before="40" w:after="40" w:line="288" w:lineRule="auto"/>
        <w:ind w:left="432" w:hanging="288"/>
      </w:pPr>
      <w:r>
        <w:rPr>
          <w:b/>
          <w:color w:val="1E3A8A"/>
        </w:rPr>
        <w:t xml:space="preserve">2. </w:t>
      </w:r>
      <w:r>
        <w:rPr>
          <w:rFonts w:ascii="Arial" w:hAnsi="Arial"/>
          <w:i w:val="0"/>
          <w:color w:val="1F2937"/>
          <w:sz w:val="21"/>
        </w:rPr>
        <w:t xml:space="preserve">P. Glauner, J. A. Meira, P. Valtchev, R. State, and F. Di Fiore, "The challenge of non-technical loss detection using artificial intelligence: A survey," </w:t>
      </w:r>
      <w:r>
        <w:rPr>
          <w:rFonts w:ascii="Arial" w:hAnsi="Arial"/>
          <w:i/>
          <w:color w:val="1F2937"/>
          <w:sz w:val="21"/>
        </w:rPr>
        <w:t>International Journal of Computational Intelligence Systems</w:t>
      </w:r>
      <w:r>
        <w:rPr>
          <w:rFonts w:ascii="Arial" w:hAnsi="Arial"/>
          <w:i w:val="0"/>
          <w:color w:val="1F2937"/>
          <w:sz w:val="21"/>
        </w:rPr>
        <w:t>, vol. 10, no. 1, pp. 760–775, 2017.</w:t>
      </w:r>
    </w:p>
    <w:p>
      <w:pPr>
        <w:spacing w:before="40" w:after="40" w:line="288" w:lineRule="auto"/>
        <w:ind w:left="432" w:hanging="288"/>
      </w:pPr>
      <w:r>
        <w:rPr>
          <w:b/>
          <w:color w:val="1E3A8A"/>
        </w:rPr>
        <w:t xml:space="preserve">3. </w:t>
      </w:r>
      <w:r>
        <w:rPr>
          <w:rFonts w:ascii="Arial" w:hAnsi="Arial"/>
          <w:i w:val="0"/>
          <w:color w:val="1F2937"/>
          <w:sz w:val="21"/>
        </w:rPr>
        <w:t xml:space="preserve">S. S. S. R. Depuru, L. Wang, and V. Devabhaktuni, "Electricity theft: Overview, issues, prevention and a smart meter based approach to control theft," </w:t>
      </w:r>
      <w:r>
        <w:rPr>
          <w:rFonts w:ascii="Arial" w:hAnsi="Arial"/>
          <w:i/>
          <w:color w:val="1F2937"/>
          <w:sz w:val="21"/>
        </w:rPr>
        <w:t>Energy Policy</w:t>
      </w:r>
      <w:r>
        <w:rPr>
          <w:rFonts w:ascii="Arial" w:hAnsi="Arial"/>
          <w:i w:val="0"/>
          <w:color w:val="1F2937"/>
          <w:sz w:val="21"/>
        </w:rPr>
        <w:t>, vol. 39, no. 2, pp. 1007–1015, 2011.</w:t>
      </w:r>
    </w:p>
    <w:p>
      <w:pPr>
        <w:spacing w:before="40" w:after="40" w:line="288" w:lineRule="auto"/>
        <w:ind w:left="432" w:hanging="288"/>
      </w:pPr>
      <w:r>
        <w:rPr>
          <w:b/>
          <w:color w:val="1E3A8A"/>
        </w:rPr>
        <w:t xml:space="preserve">4. </w:t>
      </w:r>
      <w:r>
        <w:rPr>
          <w:rFonts w:ascii="Arial" w:hAnsi="Arial"/>
          <w:i w:val="0"/>
          <w:color w:val="1F2937"/>
          <w:sz w:val="21"/>
        </w:rPr>
        <w:t xml:space="preserve">Z. Zheng, Y. Yang, X. Niu, H. N. Dai, and Y. Zhou, "Wide and deep convolutional neural networks for electricity-theft detection to secure smart grids," </w:t>
      </w:r>
      <w:r>
        <w:rPr>
          <w:rFonts w:ascii="Arial" w:hAnsi="Arial"/>
          <w:i/>
          <w:color w:val="1F2937"/>
          <w:sz w:val="21"/>
        </w:rPr>
        <w:t>IEEE Transactions on Industrial Informatics</w:t>
      </w:r>
      <w:r>
        <w:rPr>
          <w:rFonts w:ascii="Arial" w:hAnsi="Arial"/>
          <w:i w:val="0"/>
          <w:color w:val="1F2937"/>
          <w:sz w:val="21"/>
        </w:rPr>
        <w:t>, vol. 14, no. 4, pp. 1606–1615, 2018.</w:t>
      </w:r>
    </w:p>
    <w:p>
      <w:pPr>
        <w:spacing w:before="40" w:after="40" w:line="288" w:lineRule="auto"/>
        <w:ind w:left="432" w:hanging="288"/>
      </w:pPr>
      <w:r>
        <w:rPr>
          <w:b/>
          <w:color w:val="1E3A8A"/>
        </w:rPr>
        <w:t xml:space="preserve">5. </w:t>
      </w:r>
      <w:r>
        <w:rPr>
          <w:rFonts w:ascii="Arial" w:hAnsi="Arial"/>
          <w:i w:val="0"/>
          <w:color w:val="1F2937"/>
          <w:sz w:val="21"/>
        </w:rPr>
        <w:t xml:space="preserve">K. He, X. Kong, W. Chen, and M. Chen, "Electricity theft detection based on deep learning and anomaly feature extraction in smart grids," </w:t>
      </w:r>
      <w:r>
        <w:rPr>
          <w:rFonts w:ascii="Arial" w:hAnsi="Arial"/>
          <w:i/>
          <w:color w:val="1F2937"/>
          <w:sz w:val="21"/>
        </w:rPr>
        <w:t>IEEE Transactions on Power Systems</w:t>
      </w:r>
      <w:r>
        <w:rPr>
          <w:rFonts w:ascii="Arial" w:hAnsi="Arial"/>
          <w:i w:val="0"/>
          <w:color w:val="1F2937"/>
          <w:sz w:val="21"/>
        </w:rPr>
        <w:t>, vol. 36, no. 4, pp. 3245–3255, 2021.</w:t>
      </w:r>
    </w:p>
    <w:p>
      <w:pPr>
        <w:spacing w:before="40" w:after="40" w:line="288" w:lineRule="auto"/>
        <w:ind w:left="432" w:hanging="288"/>
      </w:pPr>
      <w:r>
        <w:rPr>
          <w:b/>
          <w:color w:val="1E3A8A"/>
        </w:rPr>
        <w:t xml:space="preserve">6. </w:t>
      </w:r>
      <w:r>
        <w:rPr>
          <w:rFonts w:ascii="Arial" w:hAnsi="Arial"/>
          <w:i w:val="0"/>
          <w:color w:val="1F2937"/>
          <w:sz w:val="21"/>
        </w:rPr>
        <w:t xml:space="preserve">G. Ke, Q. Meng, T. Finley, T. Wang, W. Chen, W. Ma, Q. Ye, and T. Y. Liu, "LightGBM: A highly efficient gradient boosting decision tree," in </w:t>
      </w:r>
      <w:r>
        <w:rPr>
          <w:rFonts w:ascii="Arial" w:hAnsi="Arial"/>
          <w:i/>
          <w:color w:val="1F2937"/>
          <w:sz w:val="21"/>
        </w:rPr>
        <w:t>Advances in Neural Information Processing Systems (NeurIPS)</w:t>
      </w:r>
      <w:r>
        <w:rPr>
          <w:rFonts w:ascii="Arial" w:hAnsi="Arial"/>
          <w:i w:val="0"/>
          <w:color w:val="1F2937"/>
          <w:sz w:val="21"/>
        </w:rPr>
        <w:t>, vol. 30, pp. 3146–3154, 2017.</w:t>
      </w:r>
    </w:p>
    <w:p>
      <w:pPr>
        <w:spacing w:before="40" w:after="40" w:line="288" w:lineRule="auto"/>
        <w:ind w:left="432" w:hanging="288"/>
      </w:pPr>
      <w:r>
        <w:rPr>
          <w:b/>
          <w:color w:val="1E3A8A"/>
        </w:rPr>
        <w:t xml:space="preserve">7. </w:t>
      </w:r>
      <w:r>
        <w:rPr>
          <w:rFonts w:ascii="Arial" w:hAnsi="Arial"/>
          <w:i w:val="0"/>
          <w:color w:val="1F2937"/>
          <w:sz w:val="21"/>
        </w:rPr>
        <w:t xml:space="preserve">T. Chen and C. Guestrin, "XGBoost: A scalable tree boosting system," in </w:t>
      </w:r>
      <w:r>
        <w:rPr>
          <w:rFonts w:ascii="Arial" w:hAnsi="Arial"/>
          <w:i/>
          <w:color w:val="1F2937"/>
          <w:sz w:val="21"/>
        </w:rPr>
        <w:t>Proc. 22nd ACM SIGKDD Int. Conf. Knowledge Discovery and Data Mining (KDD)</w:t>
      </w:r>
      <w:r>
        <w:rPr>
          <w:rFonts w:ascii="Arial" w:hAnsi="Arial"/>
          <w:i w:val="0"/>
          <w:color w:val="1F2937"/>
          <w:sz w:val="21"/>
        </w:rPr>
        <w:t>, pp. 785–794, 2016.</w:t>
      </w:r>
    </w:p>
    <w:p>
      <w:pPr>
        <w:spacing w:before="40" w:after="40" w:line="288" w:lineRule="auto"/>
        <w:ind w:left="432" w:hanging="288"/>
      </w:pPr>
      <w:r>
        <w:rPr>
          <w:b/>
          <w:color w:val="1E3A8A"/>
        </w:rPr>
        <w:t xml:space="preserve">8. </w:t>
      </w:r>
      <w:r>
        <w:rPr>
          <w:rFonts w:ascii="Arial" w:hAnsi="Arial"/>
          <w:i w:val="0"/>
          <w:color w:val="1F2937"/>
          <w:sz w:val="21"/>
        </w:rPr>
        <w:t xml:space="preserve">S. M. Lundberg and S. I. Lee, "A unified approach to interpreting model predictions," in </w:t>
      </w:r>
      <w:r>
        <w:rPr>
          <w:rFonts w:ascii="Arial" w:hAnsi="Arial"/>
          <w:i/>
          <w:color w:val="1F2937"/>
          <w:sz w:val="21"/>
        </w:rPr>
        <w:t>Advances in Neural Information Processing Systems (NeurIPS)</w:t>
      </w:r>
      <w:r>
        <w:rPr>
          <w:rFonts w:ascii="Arial" w:hAnsi="Arial"/>
          <w:i w:val="0"/>
          <w:color w:val="1F2937"/>
          <w:sz w:val="21"/>
        </w:rPr>
        <w:t>, vol. 30, pp. 4765–4774, 2017.</w:t>
      </w:r>
    </w:p>
    <w:p>
      <w:pPr>
        <w:spacing w:before="40" w:after="40" w:line="288" w:lineRule="auto"/>
        <w:ind w:left="432" w:hanging="288"/>
      </w:pPr>
      <w:r>
        <w:rPr>
          <w:b/>
          <w:color w:val="1E3A8A"/>
        </w:rPr>
        <w:t xml:space="preserve">9. </w:t>
      </w:r>
      <w:r>
        <w:rPr>
          <w:rFonts w:ascii="Arial" w:hAnsi="Arial"/>
          <w:i w:val="0"/>
          <w:color w:val="1F2937"/>
          <w:sz w:val="21"/>
        </w:rPr>
        <w:t xml:space="preserve">S. M. Lundberg, G. G. Erion, and S. I. Lee, "Consistent individualized feature attribution for tree ensembles," </w:t>
      </w:r>
      <w:r>
        <w:rPr>
          <w:rFonts w:ascii="Arial" w:hAnsi="Arial"/>
          <w:i/>
          <w:color w:val="1F2937"/>
          <w:sz w:val="21"/>
        </w:rPr>
        <w:t>Nature Machine Intelligence</w:t>
      </w:r>
      <w:r>
        <w:rPr>
          <w:rFonts w:ascii="Arial" w:hAnsi="Arial"/>
          <w:i w:val="0"/>
          <w:color w:val="1F2937"/>
          <w:sz w:val="21"/>
        </w:rPr>
        <w:t>, vol. 2, no. 1, pp. 56–67, 2020.</w:t>
      </w:r>
    </w:p>
    <w:p>
      <w:pPr>
        <w:spacing w:before="40" w:after="40" w:line="288" w:lineRule="auto"/>
        <w:ind w:left="432" w:hanging="288"/>
      </w:pPr>
      <w:r>
        <w:rPr>
          <w:b/>
          <w:color w:val="1E3A8A"/>
        </w:rPr>
        <w:t xml:space="preserve">10. </w:t>
      </w:r>
      <w:r>
        <w:rPr>
          <w:rFonts w:ascii="Arial" w:hAnsi="Arial"/>
          <w:i w:val="0"/>
          <w:color w:val="1F2937"/>
          <w:sz w:val="21"/>
        </w:rPr>
        <w:t xml:space="preserve">C. Elkan, "The foundations of cost-sensitive learning," in </w:t>
      </w:r>
      <w:r>
        <w:rPr>
          <w:rFonts w:ascii="Arial" w:hAnsi="Arial"/>
          <w:i/>
          <w:color w:val="1F2937"/>
          <w:sz w:val="21"/>
        </w:rPr>
        <w:t>Proc. 17th Int. Joint Conf. Artificial Intelligence (IJCAI)</w:t>
      </w:r>
      <w:r>
        <w:rPr>
          <w:rFonts w:ascii="Arial" w:hAnsi="Arial"/>
          <w:i w:val="0"/>
          <w:color w:val="1F2937"/>
          <w:sz w:val="21"/>
        </w:rPr>
        <w:t>, pp. 973–978, 2001.</w:t>
      </w:r>
    </w:p>
    <w:p>
      <w:pPr>
        <w:spacing w:before="40" w:after="40" w:line="288" w:lineRule="auto"/>
        <w:ind w:left="432" w:hanging="288"/>
      </w:pPr>
      <w:r>
        <w:rPr>
          <w:b/>
          <w:color w:val="1E3A8A"/>
        </w:rPr>
        <w:t xml:space="preserve">11. </w:t>
      </w:r>
      <w:r>
        <w:rPr>
          <w:rFonts w:ascii="Arial" w:hAnsi="Arial"/>
          <w:i w:val="0"/>
          <w:color w:val="1F2937"/>
          <w:sz w:val="21"/>
        </w:rPr>
        <w:t xml:space="preserve">N. V. Chawla, K. W. Bowyer, L. O. Hall, and W. P. Kegelmeyer, "SMOTE: Synthetic minority over-sampling technique," </w:t>
      </w:r>
      <w:r>
        <w:rPr>
          <w:rFonts w:ascii="Arial" w:hAnsi="Arial"/>
          <w:i/>
          <w:color w:val="1F2937"/>
          <w:sz w:val="21"/>
        </w:rPr>
        <w:t>Journal of Artificial Intelligence Research</w:t>
      </w:r>
      <w:r>
        <w:rPr>
          <w:rFonts w:ascii="Arial" w:hAnsi="Arial"/>
          <w:i w:val="0"/>
          <w:color w:val="1F2937"/>
          <w:sz w:val="21"/>
        </w:rPr>
        <w:t>, vol. 16, pp. 321–357, 2002.</w:t>
      </w:r>
    </w:p>
    <w:p>
      <w:pPr>
        <w:spacing w:before="40" w:after="40" w:line="288" w:lineRule="auto"/>
        <w:ind w:left="432" w:hanging="288"/>
      </w:pPr>
      <w:r>
        <w:rPr>
          <w:b/>
          <w:color w:val="1E3A8A"/>
        </w:rPr>
        <w:t xml:space="preserve">12. </w:t>
      </w:r>
      <w:r>
        <w:rPr>
          <w:rFonts w:ascii="Arial" w:hAnsi="Arial"/>
          <w:i w:val="0"/>
          <w:color w:val="1F2937"/>
          <w:sz w:val="21"/>
        </w:rPr>
        <w:t xml:space="preserve">H. He and E. A. Garcia, "Learning from imbalanced data," </w:t>
      </w:r>
      <w:r>
        <w:rPr>
          <w:rFonts w:ascii="Arial" w:hAnsi="Arial"/>
          <w:i/>
          <w:color w:val="1F2937"/>
          <w:sz w:val="21"/>
        </w:rPr>
        <w:t>IEEE Transactions on Knowledge and Data Engineering</w:t>
      </w:r>
      <w:r>
        <w:rPr>
          <w:rFonts w:ascii="Arial" w:hAnsi="Arial"/>
          <w:i w:val="0"/>
          <w:color w:val="1F2937"/>
          <w:sz w:val="21"/>
        </w:rPr>
        <w:t>, vol. 21, no. 9, pp. 1263–1284, 2009.</w:t>
      </w:r>
    </w:p>
    <w:p>
      <w:pPr>
        <w:spacing w:before="40" w:after="40" w:line="288" w:lineRule="auto"/>
        <w:ind w:left="432" w:hanging="288"/>
      </w:pPr>
      <w:r>
        <w:rPr>
          <w:b/>
          <w:color w:val="1E3A8A"/>
        </w:rPr>
        <w:t xml:space="preserve">13. </w:t>
      </w:r>
      <w:r>
        <w:rPr>
          <w:rFonts w:ascii="Arial" w:hAnsi="Arial"/>
          <w:i w:val="0"/>
          <w:color w:val="1F2937"/>
          <w:sz w:val="21"/>
        </w:rPr>
        <w:t xml:space="preserve">J. Davis and M. Goadrich, "The relationship between Precision-Recall and ROC curves," in </w:t>
      </w:r>
      <w:r>
        <w:rPr>
          <w:rFonts w:ascii="Arial" w:hAnsi="Arial"/>
          <w:i/>
          <w:color w:val="1F2937"/>
          <w:sz w:val="21"/>
        </w:rPr>
        <w:t>Proc. 23rd Int. Conf. Machine Learning (ICML)</w:t>
      </w:r>
      <w:r>
        <w:rPr>
          <w:rFonts w:ascii="Arial" w:hAnsi="Arial"/>
          <w:i w:val="0"/>
          <w:color w:val="1F2937"/>
          <w:sz w:val="21"/>
        </w:rPr>
        <w:t>, pp. 233–240, 2006.</w:t>
      </w:r>
    </w:p>
    <w:p>
      <w:pPr>
        <w:spacing w:before="40" w:after="40" w:line="288" w:lineRule="auto"/>
        <w:ind w:left="432" w:hanging="288"/>
      </w:pPr>
      <w:r>
        <w:rPr>
          <w:b/>
          <w:color w:val="1E3A8A"/>
        </w:rPr>
        <w:t xml:space="preserve">14. </w:t>
      </w:r>
      <w:r>
        <w:rPr>
          <w:rFonts w:ascii="Arial" w:hAnsi="Arial"/>
          <w:i w:val="0"/>
          <w:color w:val="1F2937"/>
          <w:sz w:val="21"/>
        </w:rPr>
        <w:t xml:space="preserve">B. Zadrozny and C. Elkan, "Transforming classifier scores into accurate multiclass probability estimates," in </w:t>
      </w:r>
      <w:r>
        <w:rPr>
          <w:rFonts w:ascii="Arial" w:hAnsi="Arial"/>
          <w:i/>
          <w:color w:val="1F2937"/>
          <w:sz w:val="21"/>
        </w:rPr>
        <w:t>Proc. 8th ACM SIGKDD Int. Conf. Knowledge Discovery and Data Mining</w:t>
      </w:r>
      <w:r>
        <w:rPr>
          <w:rFonts w:ascii="Arial" w:hAnsi="Arial"/>
          <w:i w:val="0"/>
          <w:color w:val="1F2937"/>
          <w:sz w:val="21"/>
        </w:rPr>
        <w:t>, pp. 694–699, 2002.</w:t>
      </w:r>
    </w:p>
    <w:p>
      <w:pPr>
        <w:spacing w:before="40" w:after="40" w:line="288" w:lineRule="auto"/>
        <w:ind w:left="432" w:hanging="288"/>
      </w:pPr>
      <w:r>
        <w:rPr>
          <w:b/>
          <w:color w:val="1E3A8A"/>
        </w:rPr>
        <w:t xml:space="preserve">15. </w:t>
      </w:r>
      <w:r>
        <w:rPr>
          <w:rFonts w:ascii="Arial" w:hAnsi="Arial"/>
          <w:i w:val="0"/>
          <w:color w:val="1F2937"/>
          <w:sz w:val="21"/>
        </w:rPr>
        <w:t xml:space="preserve">F. T. Liu, K. M. Ting, and Z. H. Zhou, "Isolation forest," in </w:t>
      </w:r>
      <w:r>
        <w:rPr>
          <w:rFonts w:ascii="Arial" w:hAnsi="Arial"/>
          <w:i/>
          <w:color w:val="1F2937"/>
          <w:sz w:val="21"/>
        </w:rPr>
        <w:t>Proc. 8th IEEE Int. Conf. Data Mining (ICDM)</w:t>
      </w:r>
      <w:r>
        <w:rPr>
          <w:rFonts w:ascii="Arial" w:hAnsi="Arial"/>
          <w:i w:val="0"/>
          <w:color w:val="1F2937"/>
          <w:sz w:val="21"/>
        </w:rPr>
        <w:t>, pp. 413–422, 2008.</w:t>
      </w:r>
    </w:p>
    <w:p>
      <w:pPr>
        <w:spacing w:before="40" w:after="40" w:line="288" w:lineRule="auto"/>
        <w:ind w:left="432" w:hanging="288"/>
      </w:pPr>
      <w:r>
        <w:rPr>
          <w:b/>
          <w:color w:val="1E3A8A"/>
        </w:rPr>
        <w:t xml:space="preserve">16. </w:t>
      </w:r>
      <w:r>
        <w:rPr>
          <w:rFonts w:ascii="Arial" w:hAnsi="Arial"/>
          <w:i w:val="0"/>
          <w:color w:val="1F2937"/>
          <w:sz w:val="21"/>
        </w:rPr>
        <w:t xml:space="preserve">B. Schölkopf, J. C. Platt, J. Shawe-Taylor, A. J. Smola, and R. C. Williamson, "Estimating the support of a high-dimensional distribution," </w:t>
      </w:r>
      <w:r>
        <w:rPr>
          <w:rFonts w:ascii="Arial" w:hAnsi="Arial"/>
          <w:i/>
          <w:color w:val="1F2937"/>
          <w:sz w:val="21"/>
        </w:rPr>
        <w:t>Neural Computation</w:t>
      </w:r>
      <w:r>
        <w:rPr>
          <w:rFonts w:ascii="Arial" w:hAnsi="Arial"/>
          <w:i w:val="0"/>
          <w:color w:val="1F2937"/>
          <w:sz w:val="21"/>
        </w:rPr>
        <w:t>, vol. 13, no. 7, pp. 1443–1471, 2001.</w:t>
      </w:r>
    </w:p>
    <w:p>
      <w:pPr>
        <w:spacing w:before="40" w:after="40" w:line="288" w:lineRule="auto"/>
        <w:ind w:left="432" w:hanging="288"/>
      </w:pPr>
      <w:r>
        <w:rPr>
          <w:b/>
          <w:color w:val="1E3A8A"/>
        </w:rPr>
        <w:t xml:space="preserve">17. </w:t>
      </w:r>
      <w:r>
        <w:rPr>
          <w:rFonts w:ascii="Arial" w:hAnsi="Arial"/>
          <w:i w:val="0"/>
          <w:color w:val="1F2937"/>
          <w:sz w:val="21"/>
        </w:rPr>
        <w:t xml:space="preserve">M. E. Jokar, N. Arianpoo, and V. C. M. Leung, "Electricity theft detection in AMI using support vector machines," </w:t>
      </w:r>
      <w:r>
        <w:rPr>
          <w:rFonts w:ascii="Arial" w:hAnsi="Arial"/>
          <w:i/>
          <w:color w:val="1F2937"/>
          <w:sz w:val="21"/>
        </w:rPr>
        <w:t>IEEE Transactions on Smart Grid</w:t>
      </w:r>
      <w:r>
        <w:rPr>
          <w:rFonts w:ascii="Arial" w:hAnsi="Arial"/>
          <w:i w:val="0"/>
          <w:color w:val="1F2937"/>
          <w:sz w:val="21"/>
        </w:rPr>
        <w:t>, vol. 7, no. 1, pp. 216–227, 2016.</w:t>
      </w:r>
    </w:p>
    <w:p>
      <w:pPr>
        <w:spacing w:before="40" w:after="40" w:line="288" w:lineRule="auto"/>
        <w:ind w:left="432" w:hanging="288"/>
      </w:pPr>
      <w:r>
        <w:rPr>
          <w:b/>
          <w:color w:val="1E3A8A"/>
        </w:rPr>
        <w:t xml:space="preserve">18. </w:t>
      </w:r>
      <w:r>
        <w:rPr>
          <w:rFonts w:ascii="Arial" w:hAnsi="Arial"/>
          <w:i w:val="0"/>
          <w:color w:val="1F2937"/>
          <w:sz w:val="21"/>
        </w:rPr>
        <w:t xml:space="preserve">P. Glauner, J. A. Meira, L. Dolberg, R. State, and F. Di Fiore, "Large-scale detection of non-technical losses in electricity grids using machine learning," in </w:t>
      </w:r>
      <w:r>
        <w:rPr>
          <w:rFonts w:ascii="Arial" w:hAnsi="Arial"/>
          <w:i/>
          <w:color w:val="1F2937"/>
          <w:sz w:val="21"/>
        </w:rPr>
        <w:t>Proc. IEEE Power &amp; Energy Society Innovative Smart Grid Technologies Conference (ISGT)</w:t>
      </w:r>
      <w:r>
        <w:rPr>
          <w:rFonts w:ascii="Arial" w:hAnsi="Arial"/>
          <w:i w:val="0"/>
          <w:color w:val="1F2937"/>
          <w:sz w:val="21"/>
        </w:rPr>
        <w:t>, pp. 1–5, 2016.</w:t>
      </w:r>
    </w:p>
    <w:p>
      <w:pPr>
        <w:spacing w:before="40" w:after="40" w:line="288" w:lineRule="auto"/>
        <w:ind w:left="432" w:hanging="288"/>
      </w:pPr>
      <w:r>
        <w:rPr>
          <w:b/>
          <w:color w:val="1E3A8A"/>
        </w:rPr>
        <w:t xml:space="preserve">19. </w:t>
      </w:r>
      <w:r>
        <w:rPr>
          <w:rFonts w:ascii="Arial" w:hAnsi="Arial"/>
          <w:i w:val="0"/>
          <w:color w:val="1F2937"/>
          <w:sz w:val="21"/>
        </w:rPr>
        <w:t>State Grid Corporation of China (SGCC), "Electricity Consumption Dataset for Non-Technical Loss Detection Benchmark," Beijing, China, 2016.</w:t>
      </w:r>
    </w:p>
    <w:p>
      <w:pPr>
        <w:spacing w:before="40" w:after="40" w:line="288" w:lineRule="auto"/>
        <w:ind w:left="432" w:hanging="288"/>
      </w:pPr>
      <w:r>
        <w:rPr>
          <w:b/>
          <w:color w:val="1E3A8A"/>
        </w:rPr>
        <w:t xml:space="preserve">20. </w:t>
      </w:r>
      <w:r>
        <w:rPr>
          <w:rFonts w:ascii="Arial" w:hAnsi="Arial"/>
          <w:i w:val="0"/>
          <w:color w:val="1F2937"/>
          <w:sz w:val="21"/>
        </w:rPr>
        <w:t xml:space="preserve">S. R. B. Villar, P. Glauner, and R. State, "A realistic benchmark for non-technical loss detection in power grids," </w:t>
      </w:r>
      <w:r>
        <w:rPr>
          <w:rFonts w:ascii="Arial" w:hAnsi="Arial"/>
          <w:i/>
          <w:color w:val="1F2937"/>
          <w:sz w:val="21"/>
        </w:rPr>
        <w:t>arXiv preprint arXiv:1911.08375</w:t>
      </w:r>
      <w:r>
        <w:rPr>
          <w:rFonts w:ascii="Arial" w:hAnsi="Arial"/>
          <w:i w:val="0"/>
          <w:color w:val="1F2937"/>
          <w:sz w:val="21"/>
        </w:rPr>
        <w:t>, 2019.</w:t>
      </w:r>
    </w:p>
    <w:p>
      <w:pPr>
        <w:spacing w:before="40" w:after="40" w:line="288" w:lineRule="auto"/>
        <w:ind w:left="432" w:hanging="288"/>
      </w:pPr>
      <w:r>
        <w:rPr>
          <w:b/>
          <w:color w:val="1E3A8A"/>
        </w:rPr>
        <w:t xml:space="preserve">21. </w:t>
      </w:r>
      <w:r>
        <w:rPr>
          <w:rFonts w:ascii="Arial" w:hAnsi="Arial"/>
          <w:i w:val="0"/>
          <w:color w:val="1F2937"/>
          <w:sz w:val="21"/>
        </w:rPr>
        <w:t xml:space="preserve">S. Raschka, "Model evaluation, model selection, and algorithm selection in machine learning," </w:t>
      </w:r>
      <w:r>
        <w:rPr>
          <w:rFonts w:ascii="Arial" w:hAnsi="Arial"/>
          <w:i/>
          <w:color w:val="1F2937"/>
          <w:sz w:val="21"/>
        </w:rPr>
        <w:t>arXiv preprint arXiv:1811.12808</w:t>
      </w:r>
      <w:r>
        <w:rPr>
          <w:rFonts w:ascii="Arial" w:hAnsi="Arial"/>
          <w:i w:val="0"/>
          <w:color w:val="1F2937"/>
          <w:sz w:val="21"/>
        </w:rPr>
        <w:t>, 2018.</w:t>
      </w:r>
    </w:p>
    <w:p>
      <w:pPr>
        <w:spacing w:before="40" w:after="40" w:line="288" w:lineRule="auto"/>
        <w:ind w:left="432" w:hanging="288"/>
      </w:pPr>
      <w:r>
        <w:rPr>
          <w:b/>
          <w:color w:val="1E3A8A"/>
        </w:rPr>
        <w:t xml:space="preserve">22. </w:t>
      </w:r>
      <w:r>
        <w:rPr>
          <w:rFonts w:ascii="Arial" w:hAnsi="Arial"/>
          <w:i w:val="0"/>
          <w:color w:val="1F2937"/>
          <w:sz w:val="21"/>
        </w:rPr>
        <w:t xml:space="preserve">S. Ramirez, S. Garcia, and F. Herrera, "Data preparation for smart grid big data analytics: A comprehensive survey," </w:t>
      </w:r>
      <w:r>
        <w:rPr>
          <w:rFonts w:ascii="Arial" w:hAnsi="Arial"/>
          <w:i/>
          <w:color w:val="1F2937"/>
          <w:sz w:val="21"/>
        </w:rPr>
        <w:t>Information Sciences</w:t>
      </w:r>
      <w:r>
        <w:rPr>
          <w:rFonts w:ascii="Arial" w:hAnsi="Arial"/>
          <w:i w:val="0"/>
          <w:color w:val="1F2937"/>
          <w:sz w:val="21"/>
        </w:rPr>
        <w:t>, vol. 488, pp. 188–209, 2019.</w:t>
      </w:r>
    </w:p>
    <w:p>
      <w:pPr>
        <w:spacing w:before="40" w:after="40" w:line="288" w:lineRule="auto"/>
        <w:ind w:left="432" w:hanging="288"/>
      </w:pPr>
      <w:r>
        <w:rPr>
          <w:b/>
          <w:color w:val="1E3A8A"/>
        </w:rPr>
        <w:t xml:space="preserve">23. </w:t>
      </w:r>
      <w:r>
        <w:rPr>
          <w:rFonts w:ascii="Arial" w:hAnsi="Arial"/>
          <w:i w:val="0"/>
          <w:color w:val="1F2937"/>
          <w:sz w:val="21"/>
        </w:rPr>
        <w:t>Polars Development Team, "Polars: Blazingly Fast DataFrames in Rust and Python," [Online]. Available: https://pola.rs/, 2024.</w:t>
      </w:r>
    </w:p>
    <w:p>
      <w:pPr>
        <w:spacing w:before="40" w:after="40" w:line="288" w:lineRule="auto"/>
        <w:ind w:left="432" w:hanging="288"/>
      </w:pPr>
      <w:r>
        <w:rPr>
          <w:b/>
          <w:color w:val="1E3A8A"/>
        </w:rPr>
        <w:t xml:space="preserve">24. </w:t>
      </w:r>
      <w:r>
        <w:rPr>
          <w:rFonts w:ascii="Arial" w:hAnsi="Arial"/>
          <w:i w:val="0"/>
          <w:color w:val="1F2937"/>
          <w:sz w:val="21"/>
        </w:rPr>
        <w:t xml:space="preserve">S. Ramirez-Gallego, B. Krawczyk, S. Garcia, M. Wozniak, and F. Herrera, "A survey on data preprocessing for data stream mining: Current status and future directions," </w:t>
      </w:r>
      <w:r>
        <w:rPr>
          <w:rFonts w:ascii="Arial" w:hAnsi="Arial"/>
          <w:i/>
          <w:color w:val="1F2937"/>
          <w:sz w:val="21"/>
        </w:rPr>
        <w:t>Neurocomputing</w:t>
      </w:r>
      <w:r>
        <w:rPr>
          <w:rFonts w:ascii="Arial" w:hAnsi="Arial"/>
          <w:i w:val="0"/>
          <w:color w:val="1F2937"/>
          <w:sz w:val="21"/>
        </w:rPr>
        <w:t>, vol. 239, pp. 39–57, 2017.</w:t>
      </w:r>
    </w:p>
    <w:p>
      <w:pPr>
        <w:spacing w:before="40" w:after="40" w:line="288" w:lineRule="auto"/>
        <w:ind w:left="432" w:hanging="288"/>
      </w:pPr>
      <w:r>
        <w:rPr>
          <w:b/>
          <w:color w:val="1E3A8A"/>
        </w:rPr>
        <w:t xml:space="preserve">25. </w:t>
      </w:r>
      <w:r>
        <w:rPr>
          <w:rFonts w:ascii="Arial" w:hAnsi="Arial"/>
          <w:i w:val="0"/>
          <w:color w:val="1F2937"/>
          <w:sz w:val="21"/>
        </w:rPr>
        <w:t xml:space="preserve">S. J. Pan and Q. Yang, "A survey on transfer learning," </w:t>
      </w:r>
      <w:r>
        <w:rPr>
          <w:rFonts w:ascii="Arial" w:hAnsi="Arial"/>
          <w:i/>
          <w:color w:val="1F2937"/>
          <w:sz w:val="21"/>
        </w:rPr>
        <w:t>IEEE Transactions on Knowledge and Data Engineering</w:t>
      </w:r>
      <w:r>
        <w:rPr>
          <w:rFonts w:ascii="Arial" w:hAnsi="Arial"/>
          <w:i w:val="0"/>
          <w:color w:val="1F2937"/>
          <w:sz w:val="21"/>
        </w:rPr>
        <w:t>, vol. 22, no. 10, pp. 1345–1359, 2010.</w:t>
      </w:r>
    </w:p>
    <w:p>
      <w:pPr>
        <w:spacing w:before="40" w:after="40" w:line="288" w:lineRule="auto"/>
        <w:ind w:left="432" w:hanging="288"/>
      </w:pPr>
      <w:r>
        <w:rPr>
          <w:b/>
          <w:color w:val="1E3A8A"/>
        </w:rPr>
        <w:t xml:space="preserve">26. </w:t>
      </w:r>
      <w:r>
        <w:rPr>
          <w:rFonts w:ascii="Arial" w:hAnsi="Arial"/>
          <w:i w:val="0"/>
          <w:color w:val="1F2937"/>
          <w:sz w:val="21"/>
        </w:rPr>
        <w:t xml:space="preserve">S. Tiwary and V. Agarwal, "Non-technical loss detection in power distribution system using smart meter data analytics," </w:t>
      </w:r>
      <w:r>
        <w:rPr>
          <w:rFonts w:ascii="Arial" w:hAnsi="Arial"/>
          <w:i/>
          <w:color w:val="1F2937"/>
          <w:sz w:val="21"/>
        </w:rPr>
        <w:t>IEEE Systems Journal</w:t>
      </w:r>
      <w:r>
        <w:rPr>
          <w:rFonts w:ascii="Arial" w:hAnsi="Arial"/>
          <w:i w:val="0"/>
          <w:color w:val="1F2937"/>
          <w:sz w:val="21"/>
        </w:rPr>
        <w:t>, vol. 15, no. 3, pp. 3840–3848, 2021.</w:t>
      </w:r>
    </w:p>
    <w:p>
      <w:pPr>
        <w:spacing w:before="40" w:after="40" w:line="288" w:lineRule="auto"/>
        <w:ind w:left="432" w:hanging="288"/>
      </w:pPr>
      <w:r>
        <w:rPr>
          <w:b/>
          <w:color w:val="1E3A8A"/>
        </w:rPr>
        <w:t xml:space="preserve">27. </w:t>
      </w:r>
      <w:r>
        <w:rPr>
          <w:rFonts w:ascii="Arial" w:hAnsi="Arial"/>
          <w:i w:val="0"/>
          <w:color w:val="1F2937"/>
          <w:sz w:val="21"/>
        </w:rPr>
        <w:t xml:space="preserve">S. McLaughlin, B. Holbert, A. Fawaz, R. Berthier, and W. Sanders, "A multi-sensor energy theft detection framework for advanced metering infrastructures," </w:t>
      </w:r>
      <w:r>
        <w:rPr>
          <w:rFonts w:ascii="Arial" w:hAnsi="Arial"/>
          <w:i/>
          <w:color w:val="1F2937"/>
          <w:sz w:val="21"/>
        </w:rPr>
        <w:t>IEEE Journal on Selected Areas in Communications</w:t>
      </w:r>
      <w:r>
        <w:rPr>
          <w:rFonts w:ascii="Arial" w:hAnsi="Arial"/>
          <w:i w:val="0"/>
          <w:color w:val="1F2937"/>
          <w:sz w:val="21"/>
        </w:rPr>
        <w:t>, vol. 31, no. 7, pp. 1319–1330, 2013.</w:t>
      </w:r>
    </w:p>
    <w:p>
      <w:pPr>
        <w:spacing w:before="40" w:after="40" w:line="288" w:lineRule="auto"/>
        <w:ind w:left="432" w:hanging="288"/>
      </w:pPr>
      <w:r>
        <w:rPr>
          <w:b/>
          <w:color w:val="1E3A8A"/>
        </w:rPr>
        <w:t xml:space="preserve">28. </w:t>
      </w:r>
      <w:r>
        <w:rPr>
          <w:rFonts w:ascii="Arial" w:hAnsi="Arial"/>
          <w:i w:val="0"/>
          <w:color w:val="1F2937"/>
          <w:sz w:val="21"/>
        </w:rPr>
        <w:t xml:space="preserve">S. Salinas, M. Li, and P. Li, "Privacy-preserving energy theft detection in smart grids: A spectral approach," </w:t>
      </w:r>
      <w:r>
        <w:rPr>
          <w:rFonts w:ascii="Arial" w:hAnsi="Arial"/>
          <w:i/>
          <w:color w:val="1F2937"/>
          <w:sz w:val="21"/>
        </w:rPr>
        <w:t>IEEE Transactions on Power Systems</w:t>
      </w:r>
      <w:r>
        <w:rPr>
          <w:rFonts w:ascii="Arial" w:hAnsi="Arial"/>
          <w:i w:val="0"/>
          <w:color w:val="1F2937"/>
          <w:sz w:val="21"/>
        </w:rPr>
        <w:t>, vol. 30, no. 6, pp. 3058–3067, 2015.</w:t>
      </w:r>
    </w:p>
    <w:p>
      <w:pPr>
        <w:spacing w:before="40" w:after="40" w:line="288" w:lineRule="auto"/>
        <w:ind w:left="432" w:hanging="288"/>
      </w:pPr>
      <w:r>
        <w:rPr>
          <w:b/>
          <w:color w:val="1E3A8A"/>
        </w:rPr>
        <w:t xml:space="preserve">29. </w:t>
      </w:r>
      <w:r>
        <w:rPr>
          <w:rFonts w:ascii="Arial" w:hAnsi="Arial"/>
          <w:i w:val="0"/>
          <w:color w:val="1F2937"/>
          <w:sz w:val="21"/>
        </w:rPr>
        <w:t>C. Xiao, D. Xiao, and J. Wang, "FastAPI: High performance modern web framework for Python," [Online]. Available: https://fastapi.tiangolo.com/, 2023.</w:t>
      </w:r>
    </w:p>
    <w:p>
      <w:pPr>
        <w:spacing w:before="40" w:after="40" w:line="288" w:lineRule="auto"/>
        <w:ind w:left="432" w:hanging="288"/>
      </w:pPr>
      <w:r>
        <w:rPr>
          <w:b/>
          <w:color w:val="1E3A8A"/>
        </w:rPr>
        <w:t xml:space="preserve">30. </w:t>
      </w:r>
      <w:r>
        <w:rPr>
          <w:rFonts w:ascii="Arial" w:hAnsi="Arial"/>
          <w:i w:val="0"/>
          <w:color w:val="1F2937"/>
          <w:sz w:val="21"/>
        </w:rPr>
        <w:t>Streamlit Inc., "Streamlit: The fastest way to build and share data apps," [Online]. Available: https://streamlit.io/, 2024.</w:t>
      </w:r>
    </w:p>
    <w:p>
      <w:pPr>
        <w:spacing w:before="40" w:after="40" w:line="288" w:lineRule="auto"/>
        <w:ind w:left="432" w:hanging="288"/>
      </w:pPr>
      <w:r>
        <w:rPr>
          <w:b/>
          <w:color w:val="1E3A8A"/>
        </w:rPr>
        <w:t xml:space="preserve">31. </w:t>
      </w:r>
      <w:r>
        <w:rPr>
          <w:rFonts w:ascii="Arial" w:hAnsi="Arial"/>
          <w:i w:val="0"/>
          <w:color w:val="1F2937"/>
          <w:sz w:val="21"/>
        </w:rPr>
        <w:t xml:space="preserve">M. Zaharia et al., "Accelerating the machine learning lifecycle with MLflow," </w:t>
      </w:r>
      <w:r>
        <w:rPr>
          <w:rFonts w:ascii="Arial" w:hAnsi="Arial"/>
          <w:i/>
          <w:color w:val="1F2937"/>
          <w:sz w:val="21"/>
        </w:rPr>
        <w:t>IEEE Data Engineering Bulletin</w:t>
      </w:r>
      <w:r>
        <w:rPr>
          <w:rFonts w:ascii="Arial" w:hAnsi="Arial"/>
          <w:i w:val="0"/>
          <w:color w:val="1F2937"/>
          <w:sz w:val="21"/>
        </w:rPr>
        <w:t>, vol. 41, no. 4, pp. 39–45, 2018.</w:t>
      </w:r>
    </w:p>
    <w:p>
      <w:pPr>
        <w:spacing w:before="40" w:after="40" w:line="288" w:lineRule="auto"/>
        <w:ind w:left="432" w:hanging="288"/>
      </w:pPr>
      <w:r>
        <w:rPr>
          <w:b/>
          <w:color w:val="1E3A8A"/>
        </w:rPr>
        <w:t xml:space="preserve">32. </w:t>
      </w:r>
      <w:r>
        <w:rPr>
          <w:rFonts w:ascii="Arial" w:hAnsi="Arial"/>
          <w:i w:val="0"/>
          <w:color w:val="1F2937"/>
          <w:sz w:val="21"/>
        </w:rPr>
        <w:t>Docker Inc., "Docker: Enterprise Container Platform," [Online]. Available: https://www.docker.com/, 2024.</w:t>
      </w:r>
    </w:p>
    <w:p>
      <w:pPr>
        <w:spacing w:before="40" w:after="40" w:line="288" w:lineRule="auto"/>
        <w:ind w:left="432" w:hanging="288"/>
      </w:pPr>
      <w:r>
        <w:rPr>
          <w:b/>
          <w:color w:val="1E3A8A"/>
        </w:rPr>
        <w:t xml:space="preserve">33. </w:t>
      </w:r>
      <w:r>
        <w:rPr>
          <w:rFonts w:ascii="Arial" w:hAnsi="Arial"/>
          <w:i w:val="0"/>
          <w:color w:val="1F2937"/>
          <w:sz w:val="21"/>
        </w:rPr>
        <w:t xml:space="preserve">J. Bergstra, D. Yamins, and D. D. Cox, "Making a science of model search: Hyperparameter optimization in software," in </w:t>
      </w:r>
      <w:r>
        <w:rPr>
          <w:rFonts w:ascii="Arial" w:hAnsi="Arial"/>
          <w:i/>
          <w:color w:val="1F2937"/>
          <w:sz w:val="21"/>
        </w:rPr>
        <w:t>Proc. 30th Int. Conf. Machine Learning (ICML)</w:t>
      </w:r>
      <w:r>
        <w:rPr>
          <w:rFonts w:ascii="Arial" w:hAnsi="Arial"/>
          <w:i w:val="0"/>
          <w:color w:val="1F2937"/>
          <w:sz w:val="21"/>
        </w:rPr>
        <w:t>, pp. 115–123, 2013.</w:t>
      </w:r>
    </w:p>
    <w:p>
      <w:pPr>
        <w:spacing w:before="40" w:after="40" w:line="288" w:lineRule="auto"/>
        <w:ind w:left="432" w:hanging="288"/>
      </w:pPr>
      <w:r>
        <w:rPr>
          <w:b/>
          <w:color w:val="1E3A8A"/>
        </w:rPr>
        <w:t xml:space="preserve">34. </w:t>
      </w:r>
      <w:r>
        <w:rPr>
          <w:rFonts w:ascii="Arial" w:hAnsi="Arial"/>
          <w:i w:val="0"/>
          <w:color w:val="1F2937"/>
          <w:sz w:val="21"/>
        </w:rPr>
        <w:t xml:space="preserve">C. Cortes and V. Vapnik, "Support-vector networks," </w:t>
      </w:r>
      <w:r>
        <w:rPr>
          <w:rFonts w:ascii="Arial" w:hAnsi="Arial"/>
          <w:i/>
          <w:color w:val="1F2937"/>
          <w:sz w:val="21"/>
        </w:rPr>
        <w:t>Machine Learning</w:t>
      </w:r>
      <w:r>
        <w:rPr>
          <w:rFonts w:ascii="Arial" w:hAnsi="Arial"/>
          <w:i w:val="0"/>
          <w:color w:val="1F2937"/>
          <w:sz w:val="21"/>
        </w:rPr>
        <w:t>, vol. 20, no. 3, pp. 273–297, 1995.</w:t>
      </w:r>
    </w:p>
    <w:p>
      <w:pPr>
        <w:spacing w:before="40" w:after="40" w:line="288" w:lineRule="auto"/>
        <w:ind w:left="432" w:hanging="288"/>
      </w:pPr>
      <w:r>
        <w:rPr>
          <w:b/>
          <w:color w:val="1E3A8A"/>
        </w:rPr>
        <w:t xml:space="preserve">35. </w:t>
      </w:r>
      <w:r>
        <w:rPr>
          <w:rFonts w:ascii="Arial" w:hAnsi="Arial"/>
          <w:i w:val="0"/>
          <w:color w:val="1F2937"/>
          <w:sz w:val="21"/>
        </w:rPr>
        <w:t xml:space="preserve">L. Breiman, "Random forests," </w:t>
      </w:r>
      <w:r>
        <w:rPr>
          <w:rFonts w:ascii="Arial" w:hAnsi="Arial"/>
          <w:i/>
          <w:color w:val="1F2937"/>
          <w:sz w:val="21"/>
        </w:rPr>
        <w:t>Machine Learning</w:t>
      </w:r>
      <w:r>
        <w:rPr>
          <w:rFonts w:ascii="Arial" w:hAnsi="Arial"/>
          <w:i w:val="0"/>
          <w:color w:val="1F2937"/>
          <w:sz w:val="21"/>
        </w:rPr>
        <w:t>, vol. 45, no. 1, pp. 5–32, 2001.</w:t>
      </w:r>
    </w:p>
    <w:p>
      <w:pPr>
        <w:spacing w:before="40" w:after="40" w:line="288" w:lineRule="auto"/>
        <w:ind w:left="432" w:hanging="288"/>
      </w:pPr>
      <w:r>
        <w:rPr>
          <w:b/>
          <w:color w:val="1E3A8A"/>
        </w:rPr>
        <w:t xml:space="preserve">36. </w:t>
      </w:r>
      <w:r>
        <w:rPr>
          <w:rFonts w:ascii="Arial" w:hAnsi="Arial"/>
          <w:i w:val="0"/>
          <w:color w:val="1F2937"/>
          <w:sz w:val="21"/>
        </w:rPr>
        <w:t xml:space="preserve">J. H. Friedman, "Greedy function approximation: A gradient boosting machine," </w:t>
      </w:r>
      <w:r>
        <w:rPr>
          <w:rFonts w:ascii="Arial" w:hAnsi="Arial"/>
          <w:i/>
          <w:color w:val="1F2937"/>
          <w:sz w:val="21"/>
        </w:rPr>
        <w:t>Annals of Statistics</w:t>
      </w:r>
      <w:r>
        <w:rPr>
          <w:rFonts w:ascii="Arial" w:hAnsi="Arial"/>
          <w:i w:val="0"/>
          <w:color w:val="1F2937"/>
          <w:sz w:val="21"/>
        </w:rPr>
        <w:t>, vol. 29, no. 5, pp. 1189–1232, 2001.</w:t>
      </w:r>
    </w:p>
    <w:p>
      <w:pPr>
        <w:spacing w:before="40" w:after="40" w:line="288" w:lineRule="auto"/>
        <w:ind w:left="432" w:hanging="288"/>
      </w:pPr>
      <w:r>
        <w:rPr>
          <w:b/>
          <w:color w:val="1E3A8A"/>
        </w:rPr>
        <w:t xml:space="preserve">37. </w:t>
      </w:r>
      <w:r>
        <w:rPr>
          <w:rFonts w:ascii="Arial" w:hAnsi="Arial"/>
          <w:i w:val="0"/>
          <w:color w:val="1F2937"/>
          <w:sz w:val="21"/>
        </w:rPr>
        <w:t xml:space="preserve">A. Paszke et al., "PyTorch: An imperative style, high-performance deep learning library," in </w:t>
      </w:r>
      <w:r>
        <w:rPr>
          <w:rFonts w:ascii="Arial" w:hAnsi="Arial"/>
          <w:i/>
          <w:color w:val="1F2937"/>
          <w:sz w:val="21"/>
        </w:rPr>
        <w:t>Advances in Neural Information Processing Systems (NeurIPS)</w:t>
      </w:r>
      <w:r>
        <w:rPr>
          <w:rFonts w:ascii="Arial" w:hAnsi="Arial"/>
          <w:i w:val="0"/>
          <w:color w:val="1F2937"/>
          <w:sz w:val="21"/>
        </w:rPr>
        <w:t>, vol. 32, pp. 8024–8035, 2019.</w:t>
      </w:r>
    </w:p>
    <w:p>
      <w:pPr>
        <w:spacing w:before="40" w:after="40" w:line="288" w:lineRule="auto"/>
        <w:ind w:left="432" w:hanging="288"/>
      </w:pPr>
      <w:r>
        <w:rPr>
          <w:b/>
          <w:color w:val="1E3A8A"/>
        </w:rPr>
        <w:t xml:space="preserve">38. </w:t>
      </w:r>
      <w:r>
        <w:rPr>
          <w:rFonts w:ascii="Arial" w:hAnsi="Arial"/>
          <w:i w:val="0"/>
          <w:color w:val="1F2937"/>
          <w:sz w:val="21"/>
        </w:rPr>
        <w:t xml:space="preserve">F. Pedregosa et al., "Scikit-learn: Machine learning in Python," </w:t>
      </w:r>
      <w:r>
        <w:rPr>
          <w:rFonts w:ascii="Arial" w:hAnsi="Arial"/>
          <w:i/>
          <w:color w:val="1F2937"/>
          <w:sz w:val="21"/>
        </w:rPr>
        <w:t>Journal of Machine Learning Research</w:t>
      </w:r>
      <w:r>
        <w:rPr>
          <w:rFonts w:ascii="Arial" w:hAnsi="Arial"/>
          <w:i w:val="0"/>
          <w:color w:val="1F2937"/>
          <w:sz w:val="21"/>
        </w:rPr>
        <w:t>, vol. 12, pp. 2825–2830, 2011.</w:t>
      </w:r>
    </w:p>
    <w:p>
      <w:pPr>
        <w:spacing w:before="40" w:after="40" w:line="288" w:lineRule="auto"/>
        <w:ind w:left="432" w:hanging="288"/>
      </w:pPr>
      <w:r>
        <w:rPr>
          <w:b/>
          <w:color w:val="1E3A8A"/>
        </w:rPr>
        <w:t xml:space="preserve">39. </w:t>
      </w:r>
      <w:r>
        <w:rPr>
          <w:rFonts w:ascii="Arial" w:hAnsi="Arial"/>
          <w:i w:val="0"/>
          <w:color w:val="1F2937"/>
          <w:sz w:val="21"/>
        </w:rPr>
        <w:t xml:space="preserve">S. Kullback and R. A. Leibler, "On information and sufficiency," </w:t>
      </w:r>
      <w:r>
        <w:rPr>
          <w:rFonts w:ascii="Arial" w:hAnsi="Arial"/>
          <w:i/>
          <w:color w:val="1F2937"/>
          <w:sz w:val="21"/>
        </w:rPr>
        <w:t>The Annals of Mathematical Statistics</w:t>
      </w:r>
      <w:r>
        <w:rPr>
          <w:rFonts w:ascii="Arial" w:hAnsi="Arial"/>
          <w:i w:val="0"/>
          <w:color w:val="1F2937"/>
          <w:sz w:val="21"/>
        </w:rPr>
        <w:t>, vol. 22, no. 1, pp. 79–86, 1951.</w:t>
      </w:r>
    </w:p>
    <w:p>
      <w:pPr>
        <w:spacing w:before="40" w:after="40" w:line="288" w:lineRule="auto"/>
        <w:ind w:left="432" w:hanging="288"/>
      </w:pPr>
      <w:r>
        <w:rPr>
          <w:b/>
          <w:color w:val="1E3A8A"/>
        </w:rPr>
        <w:t xml:space="preserve">40. </w:t>
      </w:r>
      <w:r>
        <w:rPr>
          <w:rFonts w:ascii="Arial" w:hAnsi="Arial"/>
          <w:i w:val="0"/>
          <w:color w:val="1F2937"/>
          <w:sz w:val="21"/>
        </w:rPr>
        <w:t xml:space="preserve">L. S. Shapley, "A value for n-person games," in </w:t>
      </w:r>
      <w:r>
        <w:rPr>
          <w:rFonts w:ascii="Arial" w:hAnsi="Arial"/>
          <w:i/>
          <w:color w:val="1F2937"/>
          <w:sz w:val="21"/>
        </w:rPr>
        <w:t>Contributions to the Theory of Games</w:t>
      </w:r>
      <w:r>
        <w:rPr>
          <w:rFonts w:ascii="Arial" w:hAnsi="Arial"/>
          <w:i w:val="0"/>
          <w:color w:val="1F2937"/>
          <w:sz w:val="21"/>
        </w:rPr>
        <w:t>, Princeton University Press, vol. 2, pp. 307–317, 1953.</w:t>
      </w:r>
    </w:p>
    <w:p>
      <w:pPr>
        <w:spacing w:before="40" w:after="40" w:line="288" w:lineRule="auto"/>
        <w:ind w:left="432" w:hanging="288"/>
      </w:pPr>
      <w:r>
        <w:rPr>
          <w:b/>
          <w:color w:val="1E3A8A"/>
        </w:rPr>
        <w:t xml:space="preserve">41. </w:t>
      </w:r>
      <w:r>
        <w:rPr>
          <w:rFonts w:ascii="Arial" w:hAnsi="Arial"/>
          <w:i w:val="0"/>
          <w:color w:val="1F2937"/>
          <w:sz w:val="21"/>
        </w:rPr>
        <w:t>International Energy Agency (IEA), "Digitalisation and Energy: Transforming the Electricity Sector," Paris, France, Technical Report, 2021.</w:t>
      </w:r>
    </w:p>
    <w:p>
      <w:pPr>
        <w:spacing w:before="40" w:after="40" w:line="288" w:lineRule="auto"/>
        <w:ind w:left="432" w:hanging="288"/>
      </w:pPr>
      <w:r>
        <w:rPr>
          <w:b/>
          <w:color w:val="1E3A8A"/>
        </w:rPr>
        <w:t xml:space="preserve">42. </w:t>
      </w:r>
      <w:r>
        <w:rPr>
          <w:rFonts w:ascii="Arial" w:hAnsi="Arial"/>
          <w:i w:val="0"/>
          <w:color w:val="1F2937"/>
          <w:sz w:val="21"/>
        </w:rPr>
        <w:t>Northeast Group LLC, "Global Electricity Theft and Non-Technical Losses Market Study," Washington, DC, Research Report, 2022.</w:t>
      </w:r>
    </w:p>
    <w:p>
      <w:pPr>
        <w:spacing w:before="80" w:after="160"/>
      </w:pPr>
      <w:r>
        <w:rPr>
          <w:color w:val="E5E7EB"/>
          <w:sz w:val="16"/>
        </w:rPr>
        <w:t>_________________________________________________________________________________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Arial" w:hAnsi="Arial"/>
              <w:color w:val="6B7280"/>
              <w:sz w:val="17"/>
            </w:rPr>
            <w:t>Grid-Guard — Revenue Protection &amp; Decision Engine</w:t>
          </w:r>
        </w:p>
      </w:tc>
      <w:tc>
        <w:tcPr>
          <w:tcW w:type="dxa" w:w="4680"/>
        </w:tcPr>
        <w:p>
          <w:pPr>
            <w:jc w:val="right"/>
          </w:pPr>
          <w:r>
            <w:rPr>
              <w:rFonts w:ascii="Arial" w:hAnsi="Arial"/>
              <w:color w:val="6B7280"/>
              <w:sz w:val="17"/>
            </w:rPr>
            <w:t xml:space="preserve">Page </w:t>
          </w:r>
          <w:r>
            <w:rPr>
              <w:rFonts w:ascii="Arial" w:hAnsi="Arial"/>
              <w:color w:val="6B7280"/>
              <w:sz w:val="17"/>
            </w:rPr>
            <w:fldChar w:fldCharType="begin"/>
            <w:instrText xml:space="preserve"> PAGE </w:instrText>
            <w:fldChar w:fldCharType="separate"/>
            <w:fldChar w:fldCharType="end"/>
          </w:r>
          <w:r>
            <w:rPr>
              <w:rFonts w:ascii="Arial" w:hAnsi="Arial"/>
              <w:color w:val="6B7280"/>
              <w:sz w:val="17"/>
            </w:rPr>
            <w:t xml:space="preserve"> of </w:t>
          </w:r>
          <w:r>
            <w:rPr>
              <w:rFonts w:ascii="Arial" w:hAnsi="Arial"/>
              <w:color w:val="6B7280"/>
              <w:sz w:val="17"/>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GRID-GUARD: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0" w:after="10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720"/>
      <w:contextualSpacing/>
      <w:jc w:val="center"/>
    </w:pPr>
    <w:rPr>
      <w:rFonts w:asciiTheme="majorHAnsi" w:eastAsiaTheme="majorEastAsia" w:hAnsiTheme="majorHAnsi" w:cstheme="majorBidi" w:ascii="Arial" w:hAnsi="Arial"/>
      <w:b/>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80"/>
      <w:jc w:val="center"/>
    </w:pPr>
    <w:rPr>
      <w:rFonts w:asciiTheme="majorHAnsi" w:eastAsiaTheme="majorEastAsia" w:hAnsiTheme="majorHAnsi" w:cstheme="majorBidi" w:ascii="Arial" w:hAnsi="Arial"/>
      <w:i/>
      <w:iCs/>
      <w:color w:val="2563E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