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LEGAL NOTICE (SAMPLE WITH CITATIONS)</w:t>
      </w:r>
    </w:p>
    <w:p>
      <w:r>
        <w:t>1. You are hereby called upon to pay the arrears of rent within fifteen (15) days. The rights of my client are affected by the law laid down in Kesavananda Bharati v. State of Kerala, (1973) 4 SCC 225, and the principle of natural justice recognised in Maneka Gandhi v. Union of India, (1978) 1 SCC 248.</w:t>
      </w:r>
    </w:p>
    <w:p>
      <w:r>
        <w:t>2. Reliance is also placed on Balakrishnan Menon v. Corporation of Trivandrum, (1989) 3 SCC 412, which supports the claim for mesne profits.</w:t>
      </w:r>
    </w:p>
    <w:p>
      <w:r>
        <w:t>Note for testers: citation 1 and 2 are real and should verify green; citation 3 (clause 2) is planted and does not exist — it should show red/Unverified.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