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INSTRUCTION LETTER — RENT ARREARS MATTER (FICTIONAL)</w:t>
      </w:r>
    </w:p>
    <w:p>
      <w:r>
        <w:t>Dear Counsel,</w:t>
        <w:br/>
        <w:br/>
        <w:t>Our client, Mr. R. Deshmukh, owns a flat at Kothrud, Pune, let out to Mr. S. Kulkarni since 1 April 2023 at a monthly rent of Rs 15,000 under a registered leave and licence agreement. No rent has been paid for the months of May through October 2025, totalling Rs 90,000. Two oral demands and one WhatsApp reminder have been ignored. The agreement is governed by Maharashtra law; the security deposit of Rs 45,000 is with us. Please draft a legal notice demanding payment within 15 days, failing which we will pursue remedies under the Maharashtra Rent Control Act, 1999 and, if required, civil recovery.</w:t>
        <w:br/>
        <w:br/>
        <w:t>Yours faithfully,</w:t>
        <w:br/>
        <w:t>Alpha Chambers (fictional, for demo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