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Merriweather" w:cs="Merriweather" w:eastAsia="Merriweather" w:hAnsi="Merriweather"/>
          <w:b w:val="1"/>
          <w:sz w:val="34"/>
          <w:szCs w:val="34"/>
        </w:rPr>
      </w:pPr>
      <w:r w:rsidDel="00000000" w:rsidR="00000000" w:rsidRPr="00000000">
        <w:rPr>
          <w:rFonts w:ascii="Merriweather" w:cs="Merriweather" w:eastAsia="Merriweather" w:hAnsi="Merriweather"/>
          <w:b w:val="1"/>
          <w:sz w:val="34"/>
          <w:szCs w:val="34"/>
          <w:rtl w:val="0"/>
        </w:rPr>
        <w:t xml:space="preserve">VOCATIONAL SUPPORT</w:t>
      </w:r>
    </w:p>
    <w:p w:rsidR="00000000" w:rsidDel="00000000" w:rsidP="00000000" w:rsidRDefault="00000000" w:rsidRPr="00000000" w14:paraId="00000002">
      <w:pPr>
        <w:jc w:val="center"/>
        <w:rPr>
          <w:rFonts w:ascii="Merriweather" w:cs="Merriweather" w:eastAsia="Merriweather" w:hAnsi="Merriweather"/>
          <w:b w:val="1"/>
          <w:sz w:val="34"/>
          <w:szCs w:val="34"/>
        </w:rPr>
      </w:pPr>
      <w:r w:rsidDel="00000000" w:rsidR="00000000" w:rsidRPr="00000000">
        <w:rPr>
          <w:rtl w:val="0"/>
        </w:rPr>
      </w:r>
    </w:p>
    <w:p w:rsidR="00000000" w:rsidDel="00000000" w:rsidP="00000000" w:rsidRDefault="00000000" w:rsidRPr="00000000" w14:paraId="00000003">
      <w:pPr>
        <w:jc w:val="center"/>
        <w:rPr>
          <w:rFonts w:ascii="Merriweather" w:cs="Merriweather" w:eastAsia="Merriweather" w:hAnsi="Merriweather"/>
          <w:b w:val="1"/>
          <w:sz w:val="34"/>
          <w:szCs w:val="34"/>
        </w:rPr>
      </w:pPr>
      <w:r w:rsidDel="00000000" w:rsidR="00000000" w:rsidRPr="00000000">
        <w:rPr>
          <w:rtl w:val="0"/>
        </w:rPr>
      </w:r>
    </w:p>
    <w:p w:rsidR="00000000" w:rsidDel="00000000" w:rsidP="00000000" w:rsidRDefault="00000000" w:rsidRPr="00000000" w14:paraId="00000004">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color w:val="4e4e4e"/>
          <w:sz w:val="28"/>
          <w:szCs w:val="28"/>
          <w:highlight w:val="white"/>
          <w:rtl w:val="0"/>
        </w:rPr>
        <w:t xml:space="preserve">GCFGLOBAL:</w:t>
      </w:r>
      <w:r w:rsidDel="00000000" w:rsidR="00000000" w:rsidRPr="00000000">
        <w:rPr>
          <w:rFonts w:ascii="Times New Roman" w:cs="Times New Roman" w:eastAsia="Times New Roman" w:hAnsi="Times New Roman"/>
          <w:color w:val="4e4e4e"/>
          <w:sz w:val="28"/>
          <w:szCs w:val="28"/>
          <w:highlight w:val="white"/>
          <w:rtl w:val="0"/>
        </w:rPr>
        <w:t xml:space="preserve">From Microsoft Office and email, to reading, math, and more—GCFGlobal.org offers more than 200 topics, including more than 2,300 lessons, more than 2,000 videos, and more than 50 interactives and games, completely free.</w:t>
      </w:r>
      <w:r w:rsidDel="00000000" w:rsidR="00000000" w:rsidRPr="00000000">
        <w:rPr>
          <w:rtl w:val="0"/>
        </w:rPr>
      </w:r>
    </w:p>
    <w:p w:rsidR="00000000" w:rsidDel="00000000" w:rsidP="00000000" w:rsidRDefault="00000000" w:rsidRPr="00000000" w14:paraId="00000005">
      <w:pPr>
        <w:ind w:left="720" w:firstLine="0"/>
        <w:rPr>
          <w:rFonts w:ascii="Times New Roman" w:cs="Times New Roman" w:eastAsia="Times New Roman" w:hAnsi="Times New Roman"/>
          <w:sz w:val="26"/>
          <w:szCs w:val="26"/>
        </w:rPr>
      </w:pPr>
      <w:hyperlink r:id="rId6">
        <w:r w:rsidDel="00000000" w:rsidR="00000000" w:rsidRPr="00000000">
          <w:rPr>
            <w:rFonts w:ascii="Times New Roman" w:cs="Times New Roman" w:eastAsia="Times New Roman" w:hAnsi="Times New Roman"/>
            <w:color w:val="1155cc"/>
            <w:sz w:val="26"/>
            <w:szCs w:val="26"/>
            <w:u w:val="single"/>
            <w:rtl w:val="0"/>
          </w:rPr>
          <w:t xml:space="preserve">Free Online Learning at GCFGlobal</w:t>
        </w:r>
      </w:hyperlink>
      <w:r w:rsidDel="00000000" w:rsidR="00000000" w:rsidRPr="00000000">
        <w:rPr>
          <w:rtl w:val="0"/>
        </w:rPr>
      </w:r>
    </w:p>
    <w:p w:rsidR="00000000" w:rsidDel="00000000" w:rsidP="00000000" w:rsidRDefault="00000000" w:rsidRPr="00000000" w14:paraId="00000006">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numPr>
          <w:ilvl w:val="0"/>
          <w:numId w:val="2"/>
        </w:numPr>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color w:val="4a5568"/>
          <w:sz w:val="27"/>
          <w:szCs w:val="27"/>
          <w:highlight w:val="white"/>
          <w:rtl w:val="0"/>
        </w:rPr>
        <w:t xml:space="preserve">DIGITAL SKILLS LIBRARY:</w:t>
      </w:r>
      <w:r w:rsidDel="00000000" w:rsidR="00000000" w:rsidRPr="00000000">
        <w:rPr>
          <w:rFonts w:ascii="Times New Roman" w:cs="Times New Roman" w:eastAsia="Times New Roman" w:hAnsi="Times New Roman"/>
          <w:color w:val="4a5568"/>
          <w:sz w:val="27"/>
          <w:szCs w:val="27"/>
          <w:highlight w:val="white"/>
          <w:rtl w:val="0"/>
        </w:rPr>
        <w:t xml:space="preserve">The Digital Skills Library is an open repository of free learning resources designed to help all adult learners develop the digital skills needed to achieve their personal, civic, educational, and career goals.</w:t>
      </w:r>
      <w:r w:rsidDel="00000000" w:rsidR="00000000" w:rsidRPr="00000000">
        <w:rPr>
          <w:rtl w:val="0"/>
        </w:rPr>
      </w:r>
    </w:p>
    <w:p w:rsidR="00000000" w:rsidDel="00000000" w:rsidP="00000000" w:rsidRDefault="00000000" w:rsidRPr="00000000" w14:paraId="00000009">
      <w:pPr>
        <w:ind w:left="720" w:firstLine="0"/>
        <w:rPr>
          <w:color w:val="555555"/>
          <w:sz w:val="36"/>
          <w:szCs w:val="36"/>
          <w:highlight w:val="white"/>
        </w:rPr>
      </w:pPr>
      <w:hyperlink r:id="rId7">
        <w:r w:rsidDel="00000000" w:rsidR="00000000" w:rsidRPr="00000000">
          <w:rPr>
            <w:rFonts w:ascii="Times New Roman" w:cs="Times New Roman" w:eastAsia="Times New Roman" w:hAnsi="Times New Roman"/>
            <w:color w:val="1155cc"/>
            <w:sz w:val="26"/>
            <w:szCs w:val="26"/>
            <w:u w:val="single"/>
            <w:rtl w:val="0"/>
          </w:rPr>
          <w:t xml:space="preserve">Digital Skills Library • Digital Skills Library</w:t>
        </w:r>
      </w:hyperlink>
      <w:r w:rsidDel="00000000" w:rsidR="00000000" w:rsidRPr="00000000">
        <w:rPr>
          <w:rtl w:val="0"/>
        </w:rPr>
      </w:r>
    </w:p>
    <w:p w:rsidR="00000000" w:rsidDel="00000000" w:rsidP="00000000" w:rsidRDefault="00000000" w:rsidRPr="00000000" w14:paraId="0000000A">
      <w:pPr>
        <w:ind w:left="720" w:firstLine="0"/>
        <w:rPr>
          <w:color w:val="555555"/>
          <w:sz w:val="36"/>
          <w:szCs w:val="36"/>
          <w:highlight w:val="white"/>
        </w:rPr>
      </w:pPr>
      <w:r w:rsidDel="00000000" w:rsidR="00000000" w:rsidRPr="00000000">
        <w:rPr>
          <w:rtl w:val="0"/>
        </w:rPr>
      </w:r>
    </w:p>
    <w:p w:rsidR="00000000" w:rsidDel="00000000" w:rsidP="00000000" w:rsidRDefault="00000000" w:rsidRPr="00000000" w14:paraId="0000000B">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numPr>
          <w:ilvl w:val="0"/>
          <w:numId w:val="3"/>
        </w:numPr>
        <w:shd w:fill="ffffff" w:val="clear"/>
        <w:spacing w:after="0" w:afterAutospacing="0" w:line="360" w:lineRule="auto"/>
        <w:ind w:left="720" w:hanging="360"/>
        <w:rPr>
          <w:rFonts w:ascii="Times New Roman" w:cs="Times New Roman" w:eastAsia="Times New Roman" w:hAnsi="Times New Roman"/>
          <w:color w:val="555555"/>
          <w:sz w:val="26"/>
          <w:szCs w:val="26"/>
          <w:highlight w:val="white"/>
          <w:u w:val="none"/>
        </w:rPr>
      </w:pPr>
      <w:r w:rsidDel="00000000" w:rsidR="00000000" w:rsidRPr="00000000">
        <w:rPr>
          <w:rFonts w:ascii="Times New Roman" w:cs="Times New Roman" w:eastAsia="Times New Roman" w:hAnsi="Times New Roman"/>
          <w:color w:val="555555"/>
          <w:sz w:val="26"/>
          <w:szCs w:val="26"/>
          <w:highlight w:val="white"/>
          <w:rtl w:val="0"/>
        </w:rPr>
        <w:t xml:space="preserve">Even adults who hold college degrees and professional certifications can benefit from taking refresher courses in their field and/or acquiring additional business acumen. Taking these types of courses can provide opportunities for advancement or offer the skills needed to transition into a new career. Below are a few courses that will benefit most working professionals.</w:t>
      </w:r>
    </w:p>
    <w:p w:rsidR="00000000" w:rsidDel="00000000" w:rsidP="00000000" w:rsidRDefault="00000000" w:rsidRPr="00000000" w14:paraId="0000000D">
      <w:pPr>
        <w:numPr>
          <w:ilvl w:val="0"/>
          <w:numId w:val="3"/>
        </w:numPr>
        <w:shd w:fill="ffffff" w:val="clear"/>
        <w:spacing w:after="0" w:afterAutospacing="0" w:lineRule="auto"/>
        <w:ind w:left="720" w:hanging="360"/>
        <w:rPr>
          <w:highlight w:val="white"/>
        </w:rPr>
      </w:pPr>
      <w:hyperlink r:id="rId8">
        <w:r w:rsidDel="00000000" w:rsidR="00000000" w:rsidRPr="00000000">
          <w:rPr>
            <w:color w:val="1797b1"/>
            <w:sz w:val="21"/>
            <w:szCs w:val="21"/>
            <w:highlight w:val="white"/>
            <w:rtl w:val="0"/>
          </w:rPr>
          <w:t xml:space="preserve">Introduction to Management</w:t>
        </w:r>
      </w:hyperlink>
      <w:r w:rsidDel="00000000" w:rsidR="00000000" w:rsidRPr="00000000">
        <w:rPr>
          <w:rtl w:val="0"/>
        </w:rPr>
      </w:r>
    </w:p>
    <w:p w:rsidR="00000000" w:rsidDel="00000000" w:rsidP="00000000" w:rsidRDefault="00000000" w:rsidRPr="00000000" w14:paraId="0000000E">
      <w:pPr>
        <w:numPr>
          <w:ilvl w:val="0"/>
          <w:numId w:val="3"/>
        </w:numPr>
        <w:shd w:fill="ffffff" w:val="clear"/>
        <w:spacing w:after="0" w:afterAutospacing="0" w:lineRule="auto"/>
        <w:ind w:left="720" w:hanging="360"/>
        <w:rPr>
          <w:highlight w:val="white"/>
        </w:rPr>
      </w:pPr>
      <w:hyperlink r:id="rId9">
        <w:r w:rsidDel="00000000" w:rsidR="00000000" w:rsidRPr="00000000">
          <w:rPr>
            <w:color w:val="1797b1"/>
            <w:sz w:val="21"/>
            <w:szCs w:val="21"/>
            <w:highlight w:val="white"/>
            <w:rtl w:val="0"/>
          </w:rPr>
          <w:t xml:space="preserve">Principles of Marketing</w:t>
        </w:r>
      </w:hyperlink>
      <w:r w:rsidDel="00000000" w:rsidR="00000000" w:rsidRPr="00000000">
        <w:rPr>
          <w:rtl w:val="0"/>
        </w:rPr>
      </w:r>
    </w:p>
    <w:p w:rsidR="00000000" w:rsidDel="00000000" w:rsidP="00000000" w:rsidRDefault="00000000" w:rsidRPr="00000000" w14:paraId="0000000F">
      <w:pPr>
        <w:numPr>
          <w:ilvl w:val="0"/>
          <w:numId w:val="3"/>
        </w:numPr>
        <w:shd w:fill="ffffff" w:val="clear"/>
        <w:spacing w:after="0" w:afterAutospacing="0" w:lineRule="auto"/>
        <w:ind w:left="720" w:hanging="360"/>
        <w:rPr>
          <w:highlight w:val="white"/>
        </w:rPr>
      </w:pPr>
      <w:hyperlink r:id="rId10">
        <w:r w:rsidDel="00000000" w:rsidR="00000000" w:rsidRPr="00000000">
          <w:rPr>
            <w:color w:val="1797b1"/>
            <w:sz w:val="21"/>
            <w:szCs w:val="21"/>
            <w:highlight w:val="white"/>
            <w:rtl w:val="0"/>
          </w:rPr>
          <w:t xml:space="preserve">Public Speaking</w:t>
        </w:r>
      </w:hyperlink>
      <w:r w:rsidDel="00000000" w:rsidR="00000000" w:rsidRPr="00000000">
        <w:rPr>
          <w:rtl w:val="0"/>
        </w:rPr>
      </w:r>
    </w:p>
    <w:p w:rsidR="00000000" w:rsidDel="00000000" w:rsidP="00000000" w:rsidRDefault="00000000" w:rsidRPr="00000000" w14:paraId="00000010">
      <w:pPr>
        <w:numPr>
          <w:ilvl w:val="0"/>
          <w:numId w:val="3"/>
        </w:numPr>
        <w:shd w:fill="ffffff" w:val="clear"/>
        <w:spacing w:after="0" w:afterAutospacing="0" w:lineRule="auto"/>
        <w:ind w:left="720" w:hanging="360"/>
        <w:rPr>
          <w:highlight w:val="white"/>
        </w:rPr>
      </w:pPr>
      <w:hyperlink r:id="rId11">
        <w:r w:rsidDel="00000000" w:rsidR="00000000" w:rsidRPr="00000000">
          <w:rPr>
            <w:color w:val="1797b1"/>
            <w:sz w:val="21"/>
            <w:szCs w:val="21"/>
            <w:highlight w:val="white"/>
            <w:rtl w:val="0"/>
          </w:rPr>
          <w:t xml:space="preserve">Developing Interpersonal Communication Skills for Work</w:t>
        </w:r>
      </w:hyperlink>
      <w:r w:rsidDel="00000000" w:rsidR="00000000" w:rsidRPr="00000000">
        <w:rPr>
          <w:rtl w:val="0"/>
        </w:rPr>
      </w:r>
    </w:p>
    <w:p w:rsidR="00000000" w:rsidDel="00000000" w:rsidP="00000000" w:rsidRDefault="00000000" w:rsidRPr="00000000" w14:paraId="00000011">
      <w:pPr>
        <w:numPr>
          <w:ilvl w:val="0"/>
          <w:numId w:val="3"/>
        </w:numPr>
        <w:shd w:fill="ffffff" w:val="clear"/>
        <w:spacing w:after="160" w:lineRule="auto"/>
        <w:ind w:left="720" w:hanging="360"/>
        <w:rPr>
          <w:highlight w:val="white"/>
        </w:rPr>
      </w:pPr>
      <w:hyperlink r:id="rId12">
        <w:r w:rsidDel="00000000" w:rsidR="00000000" w:rsidRPr="00000000">
          <w:rPr>
            <w:color w:val="1797b1"/>
            <w:sz w:val="21"/>
            <w:szCs w:val="21"/>
            <w:highlight w:val="white"/>
            <w:rtl w:val="0"/>
          </w:rPr>
          <w:t xml:space="preserve">Running Effective Meetings</w:t>
        </w:r>
      </w:hyperlink>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40" w:line="420" w:lineRule="auto"/>
        <w:rPr>
          <w:color w:val="1f1f1f"/>
          <w:sz w:val="24"/>
          <w:szCs w:val="24"/>
          <w:highlight w:val="white"/>
        </w:rPr>
      </w:pPr>
      <w:r w:rsidDel="00000000" w:rsidR="00000000" w:rsidRPr="00000000">
        <w:rPr>
          <w:rtl w:val="0"/>
        </w:rPr>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60" w:line="420" w:lineRule="auto"/>
        <w:ind w:left="720" w:hanging="360"/>
        <w:rPr>
          <w:sz w:val="26"/>
          <w:szCs w:val="26"/>
          <w:highlight w:val="white"/>
        </w:rPr>
      </w:pPr>
      <w:r w:rsidDel="00000000" w:rsidR="00000000" w:rsidRPr="00000000">
        <w:rPr>
          <w:rFonts w:ascii="Times New Roman" w:cs="Times New Roman" w:eastAsia="Times New Roman" w:hAnsi="Times New Roman"/>
          <w:b w:val="1"/>
          <w:color w:val="1f1f1f"/>
          <w:sz w:val="26"/>
          <w:szCs w:val="26"/>
          <w:highlight w:val="white"/>
          <w:rtl w:val="0"/>
        </w:rPr>
        <w:t xml:space="preserve">Massive Open Online Courses (MOOCs)</w:t>
      </w:r>
      <w:r w:rsidDel="00000000" w:rsidR="00000000" w:rsidRPr="00000000">
        <w:rPr>
          <w:rFonts w:ascii="Times New Roman" w:cs="Times New Roman" w:eastAsia="Times New Roman" w:hAnsi="Times New Roman"/>
          <w:color w:val="1f1f1f"/>
          <w:sz w:val="26"/>
          <w:szCs w:val="26"/>
          <w:highlight w:val="white"/>
          <w:rtl w:val="0"/>
        </w:rPr>
        <w:t xml:space="preserve">: These are free online courses offered by universities and other institutions around the world. Some popular MOOC platforms include Coursera, edX, and Udacity. You can find MOOCs on a variety of topics, including business, technology, healthcare, and more.</w:t>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shd w:fill="ffffff" w:val="clear"/>
        <w:spacing w:after="60" w:before="0" w:beforeAutospacing="0" w:line="420" w:lineRule="auto"/>
        <w:ind w:left="720" w:hanging="360"/>
        <w:rPr>
          <w:sz w:val="26"/>
          <w:szCs w:val="26"/>
          <w:highlight w:val="white"/>
        </w:rPr>
      </w:pPr>
      <w:r w:rsidDel="00000000" w:rsidR="00000000" w:rsidRPr="00000000">
        <w:rPr>
          <w:rFonts w:ascii="Times New Roman" w:cs="Times New Roman" w:eastAsia="Times New Roman" w:hAnsi="Times New Roman"/>
          <w:b w:val="1"/>
          <w:color w:val="1f1f1f"/>
          <w:sz w:val="26"/>
          <w:szCs w:val="26"/>
          <w:highlight w:val="white"/>
          <w:rtl w:val="0"/>
        </w:rPr>
        <w:t xml:space="preserve">Online tutorials and learning resources:</w:t>
      </w:r>
      <w:r w:rsidDel="00000000" w:rsidR="00000000" w:rsidRPr="00000000">
        <w:rPr>
          <w:rFonts w:ascii="Times New Roman" w:cs="Times New Roman" w:eastAsia="Times New Roman" w:hAnsi="Times New Roman"/>
          <w:color w:val="1f1f1f"/>
          <w:sz w:val="26"/>
          <w:szCs w:val="26"/>
          <w:highlight w:val="white"/>
          <w:rtl w:val="0"/>
        </w:rPr>
        <w:t xml:space="preserve"> There are many websites and YouTube channels that offer free tutorials and learning resources on a variety of vocational topics. Some popular websites include Khan Academy, Skillshare, and Lynda.com.</w:t>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shd w:fill="ffffff" w:val="clear"/>
        <w:spacing w:after="60" w:before="60" w:line="420" w:lineRule="auto"/>
        <w:ind w:left="720" w:firstLine="0"/>
        <w:rPr>
          <w:rFonts w:ascii="Times New Roman" w:cs="Times New Roman" w:eastAsia="Times New Roman" w:hAnsi="Times New Roman"/>
          <w:color w:val="1f1f1f"/>
          <w:sz w:val="26"/>
          <w:szCs w:val="26"/>
          <w:highlight w:val="white"/>
        </w:rPr>
      </w:pPr>
      <w:r w:rsidDel="00000000" w:rsidR="00000000" w:rsidRPr="00000000">
        <w:rPr>
          <w:rtl w:val="0"/>
        </w:rPr>
      </w:r>
    </w:p>
    <w:p w:rsidR="00000000" w:rsidDel="00000000" w:rsidP="00000000" w:rsidRDefault="00000000" w:rsidRPr="00000000" w14:paraId="00000016">
      <w:pPr>
        <w:numPr>
          <w:ilvl w:val="0"/>
          <w:numId w:val="1"/>
        </w:numPr>
        <w:pBdr>
          <w:top w:color="auto" w:space="0" w:sz="0" w:val="none"/>
          <w:bottom w:color="auto" w:space="0" w:sz="0" w:val="none"/>
          <w:right w:color="auto" w:space="0" w:sz="0" w:val="none"/>
          <w:between w:color="auto" w:space="0" w:sz="0" w:val="none"/>
        </w:pBdr>
        <w:shd w:fill="ffffff" w:val="clear"/>
        <w:spacing w:after="60" w:before="60" w:line="420" w:lineRule="auto"/>
        <w:ind w:left="720" w:hanging="360"/>
        <w:rPr>
          <w:sz w:val="26"/>
          <w:szCs w:val="26"/>
          <w:highlight w:val="white"/>
        </w:rPr>
      </w:pPr>
      <w:r w:rsidDel="00000000" w:rsidR="00000000" w:rsidRPr="00000000">
        <w:rPr>
          <w:rFonts w:ascii="Times New Roman" w:cs="Times New Roman" w:eastAsia="Times New Roman" w:hAnsi="Times New Roman"/>
          <w:b w:val="1"/>
          <w:color w:val="1f1f1f"/>
          <w:sz w:val="26"/>
          <w:szCs w:val="26"/>
          <w:highlight w:val="white"/>
          <w:rtl w:val="0"/>
        </w:rPr>
        <w:t xml:space="preserve">Government programs:</w:t>
      </w:r>
      <w:r w:rsidDel="00000000" w:rsidR="00000000" w:rsidRPr="00000000">
        <w:rPr>
          <w:rFonts w:ascii="Times New Roman" w:cs="Times New Roman" w:eastAsia="Times New Roman" w:hAnsi="Times New Roman"/>
          <w:color w:val="1f1f1f"/>
          <w:sz w:val="26"/>
          <w:szCs w:val="26"/>
          <w:highlight w:val="white"/>
          <w:rtl w:val="0"/>
        </w:rPr>
        <w:t xml:space="preserve"> The government may offer a variety of programs that can help you get free or low-cost vocational training. For example, the Workforce Investment Opportunity Act (WIOA) provides funding for job training programs for low-income adults.</w:t>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shd w:fill="ffffff" w:val="clear"/>
        <w:spacing w:after="60" w:before="60" w:line="420" w:lineRule="auto"/>
        <w:ind w:left="720" w:firstLine="0"/>
        <w:rPr>
          <w:rFonts w:ascii="Times New Roman" w:cs="Times New Roman" w:eastAsia="Times New Roman" w:hAnsi="Times New Roman"/>
          <w:color w:val="1f1f1f"/>
          <w:sz w:val="26"/>
          <w:szCs w:val="26"/>
          <w:highlight w:val="white"/>
        </w:rPr>
      </w:pPr>
      <w:r w:rsidDel="00000000" w:rsidR="00000000" w:rsidRPr="00000000">
        <w:rPr>
          <w:rtl w:val="0"/>
        </w:rPr>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shd w:fill="ffffff" w:val="clear"/>
        <w:spacing w:after="60" w:before="60" w:line="420" w:lineRule="auto"/>
        <w:ind w:left="720" w:hanging="360"/>
        <w:rPr>
          <w:sz w:val="26"/>
          <w:szCs w:val="26"/>
          <w:highlight w:val="white"/>
        </w:rPr>
      </w:pPr>
      <w:r w:rsidDel="00000000" w:rsidR="00000000" w:rsidRPr="00000000">
        <w:rPr>
          <w:rFonts w:ascii="Times New Roman" w:cs="Times New Roman" w:eastAsia="Times New Roman" w:hAnsi="Times New Roman"/>
          <w:b w:val="1"/>
          <w:color w:val="1f1f1f"/>
          <w:sz w:val="26"/>
          <w:szCs w:val="26"/>
          <w:highlight w:val="white"/>
          <w:rtl w:val="0"/>
        </w:rPr>
        <w:t xml:space="preserve">Nonprofit organizations:</w:t>
      </w:r>
      <w:r w:rsidDel="00000000" w:rsidR="00000000" w:rsidRPr="00000000">
        <w:rPr>
          <w:rFonts w:ascii="Times New Roman" w:cs="Times New Roman" w:eastAsia="Times New Roman" w:hAnsi="Times New Roman"/>
          <w:color w:val="1f1f1f"/>
          <w:sz w:val="26"/>
          <w:szCs w:val="26"/>
          <w:highlight w:val="white"/>
          <w:rtl w:val="0"/>
        </w:rPr>
        <w:t xml:space="preserve"> There are many nonprofit organizations that offer free or low-cost vocational training programs. These programs can help you learn the skills you need to get a job in a particular field.</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color w:val="4a5568"/>
          <w:sz w:val="27"/>
          <w:szCs w:val="27"/>
          <w:highlight w:val="white"/>
          <w:u w:val="singl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55555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study.com/academy/course/interpersonal-communication-skills-in-the-workplace.html" TargetMode="External"/><Relationship Id="rId10" Type="http://schemas.openxmlformats.org/officeDocument/2006/relationships/hyperlink" Target="https://study.com/academy/course/public-speaking-course.html" TargetMode="External"/><Relationship Id="rId12" Type="http://schemas.openxmlformats.org/officeDocument/2006/relationships/hyperlink" Target="https://study.com/academy/course/running-effective-meetings.html" TargetMode="External"/><Relationship Id="rId9" Type="http://schemas.openxmlformats.org/officeDocument/2006/relationships/hyperlink" Target="https://study.com/academy/course/principles-of-marketing-help-and-review.html" TargetMode="External"/><Relationship Id="rId5" Type="http://schemas.openxmlformats.org/officeDocument/2006/relationships/styles" Target="styles.xml"/><Relationship Id="rId6" Type="http://schemas.openxmlformats.org/officeDocument/2006/relationships/hyperlink" Target="https://edu.gcfglobal.org/en/" TargetMode="External"/><Relationship Id="rId7" Type="http://schemas.openxmlformats.org/officeDocument/2006/relationships/hyperlink" Target="https://digitalskillslibrary.org/" TargetMode="External"/><Relationship Id="rId8" Type="http://schemas.openxmlformats.org/officeDocument/2006/relationships/hyperlink" Target="https://study.com/academy/course/introduction-to-management-help-and-review.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