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1"/>
        </w:rPr>
        <w:t>YUVA INTERN PROGRAM  •  DATA SCIENCE TRACK 2026</w:t>
      </w:r>
    </w:p>
    <w:p>
      <w:pPr>
        <w:spacing w:before="80" w:after="120"/>
      </w:pPr>
      <w:r>
        <w:rPr>
          <w:rFonts w:ascii="Calibri" w:hAnsi="Calibri"/>
          <w:b/>
          <w:color w:val="1E3A8A"/>
          <w:sz w:val="44"/>
        </w:rPr>
        <w:t>Week 3 Deliverable: Machine Learning Model Development &amp; Evaluation Plan</w:t>
      </w:r>
    </w:p>
    <w:p>
      <w:pPr>
        <w:spacing w:before="0" w:after="280"/>
      </w:pPr>
      <w:r>
        <w:rPr>
          <w:rFonts w:ascii="Calibri" w:hAnsi="Calibri"/>
          <w:i/>
          <w:color w:val="1E293B"/>
          <w:sz w:val="24"/>
        </w:rPr>
        <w:t>A Comprehensive Engineering Specification for Algorithmic Formulation, Tournament Selection, Bayesian Optimization, Cost-Sensitive Evaluation &amp; MLOps Deployment</w:t>
        <w:br/>
        <w:t>Mathematical Objectives, Candidate Architectures, Optuna Tuning, Temporal Cross-Validation &amp; Serving Infrastructure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YUVA-DS-2026-W03-ML-V1.0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Focus</w:t>
            </w:r>
          </w:p>
        </w:tc>
        <w:tc>
          <w:tcPr>
            <w:tcW w:type="dxa" w:w="6192"/>
            <w:shd w:fill="FFFFFF"/>
            <w:tcMar>
              <w:top w:w="80" w:type="dxa"/>
              <w:bottom w:w="80" w:type="dxa"/>
              <w:left w:w="120" w:type="dxa"/>
              <w:right w:w="120" w:type="dxa"/>
            </w:tcMar>
          </w:tcPr>
          <w:p>
            <w:pPr>
              <w:spacing w:after="0"/>
            </w:pPr>
            <w:r>
              <w:rPr>
                <w:rFonts w:ascii="Calibri" w:hAnsi="Calibri"/>
                <w:color w:val="1E293B"/>
                <w:sz w:val="18"/>
              </w:rPr>
              <w:t>Python-Based Machine Learning Architecture, Training &amp; Validation Strategy</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Week 3: Algorithmic Modeling, Hyperparameter Optimization &amp; MLOps Architecture</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This engineering plan establishes the formal machine learning development, tuning, and evaluation strategy for the enterprise customer retention engine (OmniChurn AI). Moving from the empirical insights and clean feature matrices established during Week 2, Week 3 formalizes the mathematical modeling process within the Python data science stack (Scikit-learn, LightGBM, XGBoost, CatBoost, Optuna, SHAP, and FastAPI).</w:t>
      </w:r>
    </w:p>
    <w:p>
      <w:pPr>
        <w:spacing w:before="0" w:after="120" w:line="276" w:lineRule="auto"/>
        <w:jc w:val="left"/>
      </w:pPr>
      <w:r>
        <w:rPr>
          <w:rFonts w:ascii="Calibri" w:hAnsi="Calibri"/>
          <w:b w:val="0"/>
          <w:i w:val="0"/>
          <w:color w:val="1E293B"/>
          <w:sz w:val="20"/>
        </w:rPr>
        <w:t>The plan establishes: (1) a formal mathematical loss formulation incorporating an asymmetric business cost matrix, (2) a multi-model evolutionary tournament advancing from regularized linear baselines to a champion stacking ensemble, (3) Bayesian hyperparameter optimization via Optuna's Tree-structured Parzen Estimator (TPE), (4) a strict Purged Group Time-Series cross-validation strategy that completely eliminates lookahead bias, (5) game-theoretic SHAP interpretability protocols, and (6) an asynchronous sub-50ms REST API serving architecture with continuous concept drift telemetry. The complete workflow is budgeted across an intensive 32.5-hour engineering sprint.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CORE MACHINE LEARNING THESIS: </w:t>
            </w:r>
            <w:r>
              <w:rPr>
                <w:rFonts w:ascii="Calibri" w:hAnsi="Calibri"/>
                <w:i/>
                <w:color w:val="1E293B"/>
                <w:sz w:val="19"/>
              </w:rPr>
              <w:t>Model complexity must always justify its operational cost. A machine learning system is successful not when it achieves the lowest training error, but when its calibrated predictions maximize expected business monetary payoff under strict out-of-time temporal validation.</w:t>
            </w:r>
          </w:p>
        </w:tc>
      </w:tr>
    </w:tbl>
    <w:p>
      <w:pPr>
        <w:spacing w:after="80"/>
      </w:pPr>
    </w:p>
    <w:p>
      <w:pPr>
        <w:keepNext/>
        <w:spacing w:before="360" w:after="120"/>
      </w:pPr>
      <w:r>
        <w:rPr>
          <w:rFonts w:ascii="Calibri" w:hAnsi="Calibri"/>
          <w:b/>
          <w:color w:val="1E3A8A"/>
          <w:sz w:val="32"/>
        </w:rPr>
        <w:t>1. Machine Learning Problem Definition &amp; Strategic Justification</w:t>
      </w:r>
    </w:p>
    <w:p>
      <w:pPr>
        <w:keepNext/>
        <w:spacing w:before="240" w:after="80"/>
      </w:pPr>
      <w:r>
        <w:rPr>
          <w:rFonts w:ascii="Calibri" w:hAnsi="Calibri"/>
          <w:b/>
          <w:color w:val="2563EB"/>
          <w:sz w:val="25"/>
        </w:rPr>
        <w:t>1.1 Mathematical Formulation of the Prediction Task</w:t>
      </w:r>
    </w:p>
    <w:p>
      <w:pPr>
        <w:spacing w:before="0" w:after="120" w:line="276" w:lineRule="auto"/>
        <w:jc w:val="left"/>
      </w:pPr>
      <w:r>
        <w:rPr>
          <w:rFonts w:ascii="Calibri" w:hAnsi="Calibri"/>
          <w:b w:val="0"/>
          <w:i w:val="0"/>
          <w:color w:val="1E293B"/>
          <w:sz w:val="20"/>
        </w:rPr>
        <w:t>The business objective—predicting whether a corporate customer will voluntarily terminate their subscription within a forward-looking 60-day performance window—is mathematically formulated as a supervised binary classification task over a high-dimensional feature space:</w:t>
      </w:r>
    </w:p>
    <w:p>
      <w:pPr>
        <w:spacing w:before="0" w:after="120" w:line="276" w:lineRule="auto"/>
        <w:jc w:val="left"/>
      </w:pPr>
      <w:r>
        <w:rPr>
          <w:rFonts w:ascii="Calibri" w:hAnsi="Calibri"/>
          <w:b w:val="0"/>
          <w:i w:val="0"/>
          <w:color w:val="1E293B"/>
          <w:sz w:val="20"/>
        </w:rPr>
        <w:t>Given a feature matrix X in R^(N x D) observed over an observation window [t_0, t_obs], we seek an optimal mapping f: X -&gt; [0, 1] that estimates the posterior probability P(Y = 1 | X), where Y = 1 denotes voluntary account cancellation within the subsequent evaluation window [t_obs + 1, t_obs + 60]. Because customer departures exhibit severe class imbalance (15% churners vs. 85% retained accounts), models minimizing standard Cross-Entropy Loss suffer from majority-class bias. We formulate the objective using a Cost-Sensitive Weighted Binary Cross-Entropy Loss Function: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MATHEMATICAL COST-WEIGHTED LOSS FORMULATION: </w:t>
            </w:r>
            <w:r>
              <w:rPr>
                <w:rFonts w:ascii="Calibri" w:hAnsi="Calibri"/>
                <w:i/>
                <w:color w:val="1E293B"/>
                <w:sz w:val="19"/>
              </w:rPr>
              <w:t>Loss(theta) = - (1/N) * SUM [ w_1 * y_i * log(p_i) + w_0 * (1 - y_i) * log(1 - p_i) ]</w:t>
              <w:br/>
              <w:t>where w_1 / w_0 = Cost(False Negative) / Cost(False Positive) = 12,000 / 75 = 160:1 ratio.</w:t>
            </w:r>
          </w:p>
        </w:tc>
      </w:tr>
    </w:tbl>
    <w:p>
      <w:pPr>
        <w:spacing w:after="80"/>
      </w:pPr>
    </w:p>
    <w:p>
      <w:pPr>
        <w:keepNext/>
        <w:spacing w:before="240" w:after="80"/>
      </w:pPr>
      <w:r>
        <w:rPr>
          <w:rFonts w:ascii="Calibri" w:hAnsi="Calibri"/>
          <w:b/>
          <w:color w:val="2563EB"/>
          <w:sz w:val="25"/>
        </w:rPr>
        <w:t>1.2 Enterprise Relevance &amp; Commercial Problem Justification</w:t>
      </w:r>
    </w:p>
    <w:p>
      <w:pPr>
        <w:spacing w:before="0" w:after="120" w:line="276" w:lineRule="auto"/>
        <w:jc w:val="left"/>
      </w:pPr>
      <w:r>
        <w:rPr>
          <w:rFonts w:ascii="Calibri" w:hAnsi="Calibri"/>
          <w:b w:val="0"/>
          <w:i w:val="0"/>
          <w:color w:val="1E293B"/>
          <w:sz w:val="20"/>
        </w:rPr>
        <w:t>In our target enterprise (45,000 corporate accounts, average ARR $12,000, 6.8% annual baseline churn), losing 3,060 accounts represents $36.72 Million in annual recurring revenue destruction. Machine learning provides the only mathematically viable solution capable of processing multi-dimensional interactions across transactional velocity, support ticket sentiment, and billing stability to flag account decay weeks before cancellation notices are filed.</w:t>
      </w:r>
    </w:p>
    <w:p>
      <w:pPr>
        <w:keepNext/>
        <w:spacing w:before="360" w:after="120"/>
      </w:pPr>
      <w:r>
        <w:rPr>
          <w:rFonts w:ascii="Calibri" w:hAnsi="Calibri"/>
          <w:b/>
          <w:color w:val="1E3A8A"/>
          <w:sz w:val="32"/>
        </w:rPr>
        <w:t>2. Data Preprocessing, Normalization &amp; Feature Selection Pipeline</w:t>
      </w:r>
    </w:p>
    <w:p>
      <w:pPr>
        <w:keepNext/>
        <w:spacing w:before="240" w:after="80"/>
      </w:pPr>
      <w:r>
        <w:rPr>
          <w:rFonts w:ascii="Calibri" w:hAnsi="Calibri"/>
          <w:b/>
          <w:color w:val="2563EB"/>
          <w:sz w:val="25"/>
        </w:rPr>
        <w:t>2.1 Preprocessing &amp; Transformation Pipeline</w:t>
      </w:r>
    </w:p>
    <w:p>
      <w:pPr>
        <w:spacing w:before="0" w:after="120" w:line="276" w:lineRule="auto"/>
        <w:jc w:val="left"/>
      </w:pPr>
      <w:r>
        <w:rPr>
          <w:rFonts w:ascii="Calibri" w:hAnsi="Calibri"/>
          <w:b w:val="0"/>
          <w:i w:val="0"/>
          <w:color w:val="1E293B"/>
          <w:sz w:val="20"/>
        </w:rPr>
        <w:t>Raw features cannot be directly ingested into gradient descent or distance-based estimators. The preprocessing pipeline operates under a strict Scikit-learn ColumnTransformer architecture:</w:t>
      </w:r>
    </w:p>
    <w:p>
      <w:pPr>
        <w:spacing w:before="20" w:after="60"/>
        <w:ind w:left="360"/>
      </w:pPr>
      <w:r>
        <w:rPr>
          <w:rFonts w:ascii="Calibri" w:hAnsi="Calibri"/>
          <w:b/>
          <w:color w:val="1E3A8A"/>
          <w:sz w:val="19"/>
        </w:rPr>
        <w:t xml:space="preserve">• Categorical Transformation: </w:t>
      </w:r>
      <w:r>
        <w:rPr>
          <w:rFonts w:ascii="Calibri" w:hAnsi="Calibri"/>
          <w:color w:val="1E293B"/>
          <w:sz w:val="19"/>
        </w:rPr>
        <w:t>Low-cardinality nominal variables (e.g., Billing Cycle, Contract Plan) utilize One-Hot Encoding. High-cardinality categorical variables (e.g., Industry Sector, Geographic Territory) utilize Target Encoding with empirical Bayes m-estimate smoothing to prevent overfitting.</w:t>
      </w:r>
    </w:p>
    <w:p>
      <w:pPr>
        <w:spacing w:before="20" w:after="60"/>
        <w:ind w:left="360"/>
      </w:pPr>
      <w:r>
        <w:rPr>
          <w:rFonts w:ascii="Calibri" w:hAnsi="Calibri"/>
          <w:b/>
          <w:color w:val="1E3A8A"/>
          <w:sz w:val="19"/>
        </w:rPr>
        <w:t xml:space="preserve">• Numerical Normalization: </w:t>
      </w:r>
      <w:r>
        <w:rPr>
          <w:rFonts w:ascii="Calibri" w:hAnsi="Calibri"/>
          <w:color w:val="1E293B"/>
          <w:sz w:val="19"/>
        </w:rPr>
        <w:t>Continuous features exhibiting heavy tails and residual outliers utilize RobustScaler (scaling by median and IQR) rather than StandardScaler (which is distorted by variance extremes).</w:t>
      </w:r>
    </w:p>
    <w:p>
      <w:pPr>
        <w:spacing w:before="20" w:after="60"/>
        <w:ind w:left="360"/>
      </w:pPr>
      <w:r>
        <w:rPr>
          <w:rFonts w:ascii="Calibri" w:hAnsi="Calibri"/>
          <w:b/>
          <w:color w:val="1E3A8A"/>
          <w:sz w:val="19"/>
        </w:rPr>
        <w:t xml:space="preserve">• Class Imbalance Oversampling: </w:t>
      </w:r>
      <w:r>
        <w:rPr>
          <w:rFonts w:ascii="Calibri" w:hAnsi="Calibri"/>
          <w:color w:val="1E293B"/>
          <w:sz w:val="19"/>
        </w:rPr>
        <w:t>Within training cross-validation folds, Synthetic Minority Over-sampling Technique for Nominal and Continuous features (SMOTE-NC) is applied to generate synthetic minority samples along geometric feature manifolds, balancing class representations without duplicating records.</w:t>
      </w:r>
    </w:p>
    <w:p>
      <w:pPr>
        <w:keepNext/>
        <w:spacing w:before="240" w:after="80"/>
      </w:pPr>
      <w:r>
        <w:rPr>
          <w:rFonts w:ascii="Calibri" w:hAnsi="Calibri"/>
          <w:b/>
          <w:color w:val="2563EB"/>
          <w:sz w:val="25"/>
        </w:rPr>
        <w:t>2.2 Feature Selection Strategy</w:t>
      </w:r>
    </w:p>
    <w:p>
      <w:pPr>
        <w:spacing w:before="0" w:after="120" w:line="276" w:lineRule="auto"/>
        <w:jc w:val="left"/>
      </w:pPr>
      <w:r>
        <w:rPr>
          <w:rFonts w:ascii="Calibri" w:hAnsi="Calibri"/>
          <w:b w:val="0"/>
          <w:i w:val="0"/>
          <w:color w:val="1E293B"/>
          <w:sz w:val="20"/>
        </w:rPr>
        <w:t>To mitigate the curse of dimensionality and eliminate noisy attributes that degrade tree pruning, the framework implements a two-stage selection protocol:</w:t>
        <w:br/>
        <w:t>1. Filter Stage: Features with Variance Inflation Factor (VIF) &gt; 8.0 or Mutual Information with target &lt; 0.005 are pruned.</w:t>
        <w:br/>
        <w:t>2. Wrapper Stage (Boruta-SHAP): Boruta-SHAP creates shadow features (randomly permuted copies of original features) and trains Random Forest ensembles. Features whose Z-score importance significantly exceeds the maximum shadow feature importance across 50 iterations are confirmed as genuine predictive drivers.</w:t>
      </w:r>
    </w:p>
    <w:p>
      <w:pPr>
        <w:keepNext/>
        <w:spacing w:before="360" w:after="120"/>
      </w:pPr>
      <w:r>
        <w:rPr>
          <w:rFonts w:ascii="Calibri" w:hAnsi="Calibri"/>
          <w:b/>
          <w:color w:val="1E3A8A"/>
          <w:sz w:val="32"/>
        </w:rPr>
        <w:t>3. Model Selection, Tournament Benchmarking &amp; Bayesian Tuning</w:t>
      </w:r>
    </w:p>
    <w:p>
      <w:pPr>
        <w:keepNext/>
        <w:spacing w:before="240" w:after="80"/>
      </w:pPr>
      <w:r>
        <w:rPr>
          <w:rFonts w:ascii="Calibri" w:hAnsi="Calibri"/>
          <w:b/>
          <w:color w:val="2563EB"/>
          <w:sz w:val="25"/>
        </w:rPr>
        <w:t>3.1 Evolutionary Model Tournament</w:t>
      </w:r>
    </w:p>
    <w:p>
      <w:pPr>
        <w:spacing w:before="0" w:after="120" w:line="276" w:lineRule="auto"/>
        <w:jc w:val="left"/>
      </w:pPr>
      <w:r>
        <w:rPr>
          <w:rFonts w:ascii="Calibri" w:hAnsi="Calibri"/>
          <w:b w:val="0"/>
          <w:i w:val="0"/>
          <w:color w:val="1E293B"/>
          <w:sz w:val="20"/>
        </w:rPr>
        <w:t>Rather than arbitrarily selecting an algorithm, the engineering team executes an evolutionary tournament evaluating five distinct candidate architectures. Figure 2 illustrates the benchmarking progression and architectural trade-offs:</w:t>
      </w:r>
    </w:p>
    <w:p>
      <w:pPr>
        <w:spacing w:before="200" w:after="80"/>
        <w:jc w:val="center"/>
      </w:pPr>
      <w:r>
        <w:drawing>
          <wp:inline xmlns:a="http://schemas.openxmlformats.org/drawingml/2006/main" xmlns:pic="http://schemas.openxmlformats.org/drawingml/2006/picture">
            <wp:extent cx="5852160" cy="3583881"/>
            <wp:docPr id="1" name="Picture 1"/>
            <wp:cNvGraphicFramePr>
              <a:graphicFrameLocks noChangeAspect="1"/>
            </wp:cNvGraphicFramePr>
            <a:graphic>
              <a:graphicData uri="http://schemas.openxmlformats.org/drawingml/2006/picture">
                <pic:pic>
                  <pic:nvPicPr>
                    <pic:cNvPr id="0" name="fig2_model_selection_tournament.png"/>
                    <pic:cNvPicPr/>
                  </pic:nvPicPr>
                  <pic:blipFill>
                    <a:blip r:embed="rId11"/>
                    <a:stretch>
                      <a:fillRect/>
                    </a:stretch>
                  </pic:blipFill>
                  <pic:spPr>
                    <a:xfrm>
                      <a:off x="0" y="0"/>
                      <a:ext cx="5852160" cy="3583881"/>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Evolutionary Model Selection Tournament &amp; Benchmarking Matrix.</w:t>
      </w:r>
    </w:p>
    <w:p>
      <w:pPr>
        <w:spacing w:before="0" w:after="120" w:line="276" w:lineRule="auto"/>
        <w:jc w:val="left"/>
      </w:pPr>
      <w:r>
        <w:rPr>
          <w:rFonts w:ascii="Calibri" w:hAnsi="Calibri"/>
          <w:b w:val="0"/>
          <w:i w:val="0"/>
          <w:color w:val="1E293B"/>
          <w:sz w:val="20"/>
        </w:rPr>
        <w:t>Table 1 details the empirical trade-offs evaluated across the candidate architectures: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60" w:type="dxa"/>
              <w:right w:w="60" w:type="dxa"/>
            </w:tcMar>
          </w:tcPr>
          <w:p>
            <w:pPr>
              <w:spacing w:after="0"/>
            </w:pPr>
            <w:r>
              <w:rPr>
                <w:rFonts w:ascii="Calibri" w:hAnsi="Calibri"/>
                <w:b/>
                <w:color w:val="FFFFFF"/>
                <w:sz w:val="17"/>
              </w:rPr>
              <w:t>Algorithm Candidate</w:t>
            </w:r>
          </w:p>
        </w:tc>
        <w:tc>
          <w:tcPr>
            <w:tcW w:type="dxa" w:w="1872"/>
            <w:shd w:fill="1E3A8A"/>
            <w:tcMar>
              <w:top w:w="100" w:type="dxa"/>
              <w:bottom w:w="100" w:type="dxa"/>
              <w:left w:w="60" w:type="dxa"/>
              <w:right w:w="60" w:type="dxa"/>
            </w:tcMar>
          </w:tcPr>
          <w:p>
            <w:pPr>
              <w:spacing w:after="0"/>
            </w:pPr>
            <w:r>
              <w:rPr>
                <w:rFonts w:ascii="Calibri" w:hAnsi="Calibri"/>
                <w:b/>
                <w:color w:val="FFFFFF"/>
                <w:sz w:val="17"/>
              </w:rPr>
              <w:t>Model Family</w:t>
            </w:r>
          </w:p>
        </w:tc>
        <w:tc>
          <w:tcPr>
            <w:tcW w:type="dxa" w:w="1872"/>
            <w:shd w:fill="1E3A8A"/>
            <w:tcMar>
              <w:top w:w="100" w:type="dxa"/>
              <w:bottom w:w="100" w:type="dxa"/>
              <w:left w:w="60" w:type="dxa"/>
              <w:right w:w="60" w:type="dxa"/>
            </w:tcMar>
          </w:tcPr>
          <w:p>
            <w:pPr>
              <w:spacing w:after="0"/>
            </w:pPr>
            <w:r>
              <w:rPr>
                <w:rFonts w:ascii="Calibri" w:hAnsi="Calibri"/>
                <w:b/>
                <w:color w:val="FFFFFF"/>
                <w:sz w:val="17"/>
              </w:rPr>
              <w:t>Validation PR-AUC</w:t>
            </w:r>
          </w:p>
        </w:tc>
        <w:tc>
          <w:tcPr>
            <w:tcW w:type="dxa" w:w="1872"/>
            <w:shd w:fill="1E3A8A"/>
            <w:tcMar>
              <w:top w:w="100" w:type="dxa"/>
              <w:bottom w:w="100" w:type="dxa"/>
              <w:left w:w="60" w:type="dxa"/>
              <w:right w:w="60" w:type="dxa"/>
            </w:tcMar>
          </w:tcPr>
          <w:p>
            <w:pPr>
              <w:spacing w:after="0"/>
            </w:pPr>
            <w:r>
              <w:rPr>
                <w:rFonts w:ascii="Calibri" w:hAnsi="Calibri"/>
                <w:b/>
                <w:color w:val="FFFFFF"/>
                <w:sz w:val="17"/>
              </w:rPr>
              <w:t>p95 Latency</w:t>
            </w:r>
          </w:p>
        </w:tc>
        <w:tc>
          <w:tcPr>
            <w:tcW w:type="dxa" w:w="1872"/>
            <w:shd w:fill="1E3A8A"/>
            <w:tcMar>
              <w:top w:w="100" w:type="dxa"/>
              <w:bottom w:w="100" w:type="dxa"/>
              <w:left w:w="60" w:type="dxa"/>
              <w:right w:w="60" w:type="dxa"/>
            </w:tcMar>
          </w:tcPr>
          <w:p>
            <w:pPr>
              <w:spacing w:after="0"/>
            </w:pPr>
            <w:r>
              <w:rPr>
                <w:rFonts w:ascii="Calibri" w:hAnsi="Calibri"/>
                <w:b/>
                <w:color w:val="FFFFFF"/>
                <w:sz w:val="17"/>
              </w:rPr>
              <w:t>Architectural Role &amp; Justification</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Regularized Logistic Regression</w:t>
            </w:r>
          </w:p>
        </w:tc>
        <w:tc>
          <w:tcPr>
            <w:tcW w:type="dxa" w:w="1584"/>
            <w:shd w:fill="F1F5F9"/>
            <w:tcMar>
              <w:top w:w="80" w:type="dxa"/>
              <w:bottom w:w="80" w:type="dxa"/>
              <w:left w:w="60" w:type="dxa"/>
              <w:right w:w="60" w:type="dxa"/>
            </w:tcMar>
          </w:tcPr>
          <w:p>
            <w:pPr>
              <w:spacing w:after="0"/>
            </w:pPr>
            <w:r>
              <w:rPr>
                <w:rFonts w:ascii="Calibri" w:hAnsi="Calibri"/>
                <w:color w:val="1E293B"/>
                <w:sz w:val="16"/>
              </w:rPr>
              <w:t>Generalized Linear (L1/L2)</w:t>
            </w:r>
          </w:p>
        </w:tc>
        <w:tc>
          <w:tcPr>
            <w:tcW w:type="dxa" w:w="1584"/>
            <w:shd w:fill="F1F5F9"/>
            <w:tcMar>
              <w:top w:w="80" w:type="dxa"/>
              <w:bottom w:w="80" w:type="dxa"/>
              <w:left w:w="60" w:type="dxa"/>
              <w:right w:w="60" w:type="dxa"/>
            </w:tcMar>
          </w:tcPr>
          <w:p>
            <w:pPr>
              <w:spacing w:after="0"/>
            </w:pPr>
            <w:r>
              <w:rPr>
                <w:rFonts w:ascii="Calibri" w:hAnsi="Calibri"/>
                <w:b/>
                <w:color w:val="2563EB"/>
                <w:sz w:val="16"/>
              </w:rPr>
              <w:t>0.593</w:t>
            </w:r>
          </w:p>
        </w:tc>
        <w:tc>
          <w:tcPr>
            <w:tcW w:type="dxa" w:w="1296"/>
            <w:shd w:fill="F1F5F9"/>
            <w:tcMar>
              <w:top w:w="80" w:type="dxa"/>
              <w:bottom w:w="80" w:type="dxa"/>
              <w:left w:w="60" w:type="dxa"/>
              <w:right w:w="60" w:type="dxa"/>
            </w:tcMar>
          </w:tcPr>
          <w:p>
            <w:pPr>
              <w:spacing w:after="0"/>
            </w:pPr>
            <w:r>
              <w:rPr>
                <w:rFonts w:ascii="Calibri" w:hAnsi="Calibri"/>
                <w:color w:val="1E293B"/>
                <w:sz w:val="16"/>
              </w:rPr>
              <w:t>2 ms</w:t>
            </w:r>
          </w:p>
        </w:tc>
        <w:tc>
          <w:tcPr>
            <w:tcW w:type="dxa" w:w="2736"/>
            <w:shd w:fill="F1F5F9"/>
            <w:tcMar>
              <w:top w:w="80" w:type="dxa"/>
              <w:bottom w:w="80" w:type="dxa"/>
              <w:left w:w="60" w:type="dxa"/>
              <w:right w:w="60" w:type="dxa"/>
            </w:tcMar>
          </w:tcPr>
          <w:p>
            <w:pPr>
              <w:spacing w:after="0"/>
            </w:pPr>
            <w:r>
              <w:rPr>
                <w:rFonts w:ascii="Calibri" w:hAnsi="Calibri"/>
                <w:color w:val="1E293B"/>
                <w:sz w:val="16"/>
              </w:rPr>
              <w:t>Floor baseline benchmark. Provides convex optimization guarantees and interpretable weight vectors.</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Random Forest Classifier</w:t>
            </w:r>
          </w:p>
        </w:tc>
        <w:tc>
          <w:tcPr>
            <w:tcW w:type="dxa" w:w="1584"/>
            <w:shd w:fill="FFFFFF"/>
            <w:tcMar>
              <w:top w:w="80" w:type="dxa"/>
              <w:bottom w:w="80" w:type="dxa"/>
              <w:left w:w="60" w:type="dxa"/>
              <w:right w:w="60" w:type="dxa"/>
            </w:tcMar>
          </w:tcPr>
          <w:p>
            <w:pPr>
              <w:spacing w:after="0"/>
            </w:pPr>
            <w:r>
              <w:rPr>
                <w:rFonts w:ascii="Calibri" w:hAnsi="Calibri"/>
                <w:color w:val="1E293B"/>
                <w:sz w:val="16"/>
              </w:rPr>
              <w:t>Bagging Ensemble (500 trees)</w:t>
            </w:r>
          </w:p>
        </w:tc>
        <w:tc>
          <w:tcPr>
            <w:tcW w:type="dxa" w:w="1584"/>
            <w:shd w:fill="FFFFFF"/>
            <w:tcMar>
              <w:top w:w="80" w:type="dxa"/>
              <w:bottom w:w="80" w:type="dxa"/>
              <w:left w:w="60" w:type="dxa"/>
              <w:right w:w="60" w:type="dxa"/>
            </w:tcMar>
          </w:tcPr>
          <w:p>
            <w:pPr>
              <w:spacing w:after="0"/>
            </w:pPr>
            <w:r>
              <w:rPr>
                <w:rFonts w:ascii="Calibri" w:hAnsi="Calibri"/>
                <w:b/>
                <w:color w:val="2563EB"/>
                <w:sz w:val="16"/>
              </w:rPr>
              <w:t>0.782</w:t>
            </w:r>
          </w:p>
        </w:tc>
        <w:tc>
          <w:tcPr>
            <w:tcW w:type="dxa" w:w="1296"/>
            <w:shd w:fill="FFFFFF"/>
            <w:tcMar>
              <w:top w:w="80" w:type="dxa"/>
              <w:bottom w:w="80" w:type="dxa"/>
              <w:left w:w="60" w:type="dxa"/>
              <w:right w:w="60" w:type="dxa"/>
            </w:tcMar>
          </w:tcPr>
          <w:p>
            <w:pPr>
              <w:spacing w:after="0"/>
            </w:pPr>
            <w:r>
              <w:rPr>
                <w:rFonts w:ascii="Calibri" w:hAnsi="Calibri"/>
                <w:color w:val="1E293B"/>
                <w:sz w:val="16"/>
              </w:rPr>
              <w:t>18 ms</w:t>
            </w:r>
          </w:p>
        </w:tc>
        <w:tc>
          <w:tcPr>
            <w:tcW w:type="dxa" w:w="2736"/>
            <w:shd w:fill="FFFFFF"/>
            <w:tcMar>
              <w:top w:w="80" w:type="dxa"/>
              <w:bottom w:w="80" w:type="dxa"/>
              <w:left w:w="60" w:type="dxa"/>
              <w:right w:w="60" w:type="dxa"/>
            </w:tcMar>
          </w:tcPr>
          <w:p>
            <w:pPr>
              <w:spacing w:after="0"/>
            </w:pPr>
            <w:r>
              <w:rPr>
                <w:rFonts w:ascii="Calibri" w:hAnsi="Calibri"/>
                <w:color w:val="1E293B"/>
                <w:sz w:val="16"/>
              </w:rPr>
              <w:t>De-correlates decision trees via random feature subsets. Evaluates non-linear interaction terms.</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CatBoost Classifier</w:t>
            </w:r>
          </w:p>
        </w:tc>
        <w:tc>
          <w:tcPr>
            <w:tcW w:type="dxa" w:w="1584"/>
            <w:shd w:fill="F1F5F9"/>
            <w:tcMar>
              <w:top w:w="80" w:type="dxa"/>
              <w:bottom w:w="80" w:type="dxa"/>
              <w:left w:w="60" w:type="dxa"/>
              <w:right w:w="60" w:type="dxa"/>
            </w:tcMar>
          </w:tcPr>
          <w:p>
            <w:pPr>
              <w:spacing w:after="0"/>
            </w:pPr>
            <w:r>
              <w:rPr>
                <w:rFonts w:ascii="Calibri" w:hAnsi="Calibri"/>
                <w:color w:val="1E293B"/>
                <w:sz w:val="16"/>
              </w:rPr>
              <w:t>Ordered Boosting</w:t>
            </w:r>
          </w:p>
        </w:tc>
        <w:tc>
          <w:tcPr>
            <w:tcW w:type="dxa" w:w="1584"/>
            <w:shd w:fill="F1F5F9"/>
            <w:tcMar>
              <w:top w:w="80" w:type="dxa"/>
              <w:bottom w:w="80" w:type="dxa"/>
              <w:left w:w="60" w:type="dxa"/>
              <w:right w:w="60" w:type="dxa"/>
            </w:tcMar>
          </w:tcPr>
          <w:p>
            <w:pPr>
              <w:spacing w:after="0"/>
            </w:pPr>
            <w:r>
              <w:rPr>
                <w:rFonts w:ascii="Calibri" w:hAnsi="Calibri"/>
                <w:b/>
                <w:color w:val="2563EB"/>
                <w:sz w:val="16"/>
              </w:rPr>
              <w:t>0.841</w:t>
            </w:r>
          </w:p>
        </w:tc>
        <w:tc>
          <w:tcPr>
            <w:tcW w:type="dxa" w:w="1296"/>
            <w:shd w:fill="F1F5F9"/>
            <w:tcMar>
              <w:top w:w="80" w:type="dxa"/>
              <w:bottom w:w="80" w:type="dxa"/>
              <w:left w:w="60" w:type="dxa"/>
              <w:right w:w="60" w:type="dxa"/>
            </w:tcMar>
          </w:tcPr>
          <w:p>
            <w:pPr>
              <w:spacing w:after="0"/>
            </w:pPr>
            <w:r>
              <w:rPr>
                <w:rFonts w:ascii="Calibri" w:hAnsi="Calibri"/>
                <w:color w:val="1E293B"/>
                <w:sz w:val="16"/>
              </w:rPr>
              <w:t>24 ms</w:t>
            </w:r>
          </w:p>
        </w:tc>
        <w:tc>
          <w:tcPr>
            <w:tcW w:type="dxa" w:w="2736"/>
            <w:shd w:fill="F1F5F9"/>
            <w:tcMar>
              <w:top w:w="80" w:type="dxa"/>
              <w:bottom w:w="80" w:type="dxa"/>
              <w:left w:w="60" w:type="dxa"/>
              <w:right w:w="60" w:type="dxa"/>
            </w:tcMar>
          </w:tcPr>
          <w:p>
            <w:pPr>
              <w:spacing w:after="0"/>
            </w:pPr>
            <w:r>
              <w:rPr>
                <w:rFonts w:ascii="Calibri" w:hAnsi="Calibri"/>
                <w:color w:val="1E293B"/>
                <w:sz w:val="16"/>
              </w:rPr>
              <w:t>Excels at native categorical features; ordered boosting eliminates target leakage in small cohorts.</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LightGBM Classifier</w:t>
            </w:r>
          </w:p>
        </w:tc>
        <w:tc>
          <w:tcPr>
            <w:tcW w:type="dxa" w:w="1584"/>
            <w:shd w:fill="FFFFFF"/>
            <w:tcMar>
              <w:top w:w="80" w:type="dxa"/>
              <w:bottom w:w="80" w:type="dxa"/>
              <w:left w:w="60" w:type="dxa"/>
              <w:right w:w="60" w:type="dxa"/>
            </w:tcMar>
          </w:tcPr>
          <w:p>
            <w:pPr>
              <w:spacing w:after="0"/>
            </w:pPr>
            <w:r>
              <w:rPr>
                <w:rFonts w:ascii="Calibri" w:hAnsi="Calibri"/>
                <w:color w:val="1E293B"/>
                <w:sz w:val="16"/>
              </w:rPr>
              <w:t>Gradient Boosted Trees (Hist)</w:t>
            </w:r>
          </w:p>
        </w:tc>
        <w:tc>
          <w:tcPr>
            <w:tcW w:type="dxa" w:w="1584"/>
            <w:shd w:fill="FFFFFF"/>
            <w:tcMar>
              <w:top w:w="80" w:type="dxa"/>
              <w:bottom w:w="80" w:type="dxa"/>
              <w:left w:w="60" w:type="dxa"/>
              <w:right w:w="60" w:type="dxa"/>
            </w:tcMar>
          </w:tcPr>
          <w:p>
            <w:pPr>
              <w:spacing w:after="0"/>
            </w:pPr>
            <w:r>
              <w:rPr>
                <w:rFonts w:ascii="Calibri" w:hAnsi="Calibri"/>
                <w:b/>
                <w:color w:val="2563EB"/>
                <w:sz w:val="16"/>
              </w:rPr>
              <w:t>0.864</w:t>
            </w:r>
          </w:p>
        </w:tc>
        <w:tc>
          <w:tcPr>
            <w:tcW w:type="dxa" w:w="1296"/>
            <w:shd w:fill="FFFFFF"/>
            <w:tcMar>
              <w:top w:w="80" w:type="dxa"/>
              <w:bottom w:w="80" w:type="dxa"/>
              <w:left w:w="60" w:type="dxa"/>
              <w:right w:w="60" w:type="dxa"/>
            </w:tcMar>
          </w:tcPr>
          <w:p>
            <w:pPr>
              <w:spacing w:after="0"/>
            </w:pPr>
            <w:r>
              <w:rPr>
                <w:rFonts w:ascii="Calibri" w:hAnsi="Calibri"/>
                <w:color w:val="1E293B"/>
                <w:sz w:val="16"/>
              </w:rPr>
              <w:t>8 ms</w:t>
            </w:r>
          </w:p>
        </w:tc>
        <w:tc>
          <w:tcPr>
            <w:tcW w:type="dxa" w:w="2736"/>
            <w:shd w:fill="FFFFFF"/>
            <w:tcMar>
              <w:top w:w="80" w:type="dxa"/>
              <w:bottom w:w="80" w:type="dxa"/>
              <w:left w:w="60" w:type="dxa"/>
              <w:right w:w="60" w:type="dxa"/>
            </w:tcMar>
          </w:tcPr>
          <w:p>
            <w:pPr>
              <w:spacing w:after="0"/>
            </w:pPr>
            <w:r>
              <w:rPr>
                <w:rFonts w:ascii="Calibri" w:hAnsi="Calibri"/>
                <w:color w:val="1E293B"/>
                <w:sz w:val="16"/>
              </w:rPr>
              <w:t>Lightning-fast histogram splitting; optimal for production scoring; achieves superior PR-AUC on tabular data.</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Champion Stacking Ensemble</w:t>
            </w:r>
          </w:p>
        </w:tc>
        <w:tc>
          <w:tcPr>
            <w:tcW w:type="dxa" w:w="1584"/>
            <w:shd w:fill="F1F5F9"/>
            <w:tcMar>
              <w:top w:w="80" w:type="dxa"/>
              <w:bottom w:w="80" w:type="dxa"/>
              <w:left w:w="60" w:type="dxa"/>
              <w:right w:w="60" w:type="dxa"/>
            </w:tcMar>
          </w:tcPr>
          <w:p>
            <w:pPr>
              <w:spacing w:after="0"/>
            </w:pPr>
            <w:r>
              <w:rPr>
                <w:rFonts w:ascii="Calibri" w:hAnsi="Calibri"/>
                <w:color w:val="1E293B"/>
                <w:sz w:val="16"/>
              </w:rPr>
              <w:t>Stacking Meta-Learner</w:t>
            </w:r>
          </w:p>
        </w:tc>
        <w:tc>
          <w:tcPr>
            <w:tcW w:type="dxa" w:w="1584"/>
            <w:shd w:fill="F1F5F9"/>
            <w:tcMar>
              <w:top w:w="80" w:type="dxa"/>
              <w:bottom w:w="80" w:type="dxa"/>
              <w:left w:w="60" w:type="dxa"/>
              <w:right w:w="60" w:type="dxa"/>
            </w:tcMar>
          </w:tcPr>
          <w:p>
            <w:pPr>
              <w:spacing w:after="0"/>
            </w:pPr>
            <w:r>
              <w:rPr>
                <w:rFonts w:ascii="Calibri" w:hAnsi="Calibri"/>
                <w:b/>
                <w:color w:val="2563EB"/>
                <w:sz w:val="16"/>
              </w:rPr>
              <w:t>0.879</w:t>
            </w:r>
          </w:p>
        </w:tc>
        <w:tc>
          <w:tcPr>
            <w:tcW w:type="dxa" w:w="1296"/>
            <w:shd w:fill="F1F5F9"/>
            <w:tcMar>
              <w:top w:w="80" w:type="dxa"/>
              <w:bottom w:w="80" w:type="dxa"/>
              <w:left w:w="60" w:type="dxa"/>
              <w:right w:w="60" w:type="dxa"/>
            </w:tcMar>
          </w:tcPr>
          <w:p>
            <w:pPr>
              <w:spacing w:after="0"/>
            </w:pPr>
            <w:r>
              <w:rPr>
                <w:rFonts w:ascii="Calibri" w:hAnsi="Calibri"/>
                <w:color w:val="1E293B"/>
                <w:sz w:val="16"/>
              </w:rPr>
              <w:t>32 ms</w:t>
            </w:r>
          </w:p>
        </w:tc>
        <w:tc>
          <w:tcPr>
            <w:tcW w:type="dxa" w:w="2736"/>
            <w:shd w:fill="F1F5F9"/>
            <w:tcMar>
              <w:top w:w="80" w:type="dxa"/>
              <w:bottom w:w="80" w:type="dxa"/>
              <w:left w:w="60" w:type="dxa"/>
              <w:right w:w="60" w:type="dxa"/>
            </w:tcMar>
          </w:tcPr>
          <w:p>
            <w:pPr>
              <w:spacing w:after="0"/>
            </w:pPr>
            <w:r>
              <w:rPr>
                <w:rFonts w:ascii="Calibri" w:hAnsi="Calibri"/>
                <w:color w:val="1E293B"/>
                <w:sz w:val="16"/>
              </w:rPr>
              <w:t>Combines LightGBM, XGBoost, and CatBoost out-of-fold predictions using Logistic Regression meta-learner.</w:t>
            </w:r>
          </w:p>
        </w:tc>
      </w:tr>
    </w:tbl>
    <w:p>
      <w:pPr>
        <w:spacing w:after="120"/>
      </w:pPr>
    </w:p>
    <w:p>
      <w:pPr>
        <w:keepNext/>
        <w:spacing w:before="240" w:after="80"/>
      </w:pPr>
      <w:r>
        <w:rPr>
          <w:rFonts w:ascii="Calibri" w:hAnsi="Calibri"/>
          <w:b/>
          <w:color w:val="2563EB"/>
          <w:sz w:val="25"/>
        </w:rPr>
        <w:t>3.2 Bayesian Hyperparameter Optimization via Optuna</w:t>
      </w:r>
    </w:p>
    <w:p>
      <w:pPr>
        <w:spacing w:before="0" w:after="120" w:line="276" w:lineRule="auto"/>
        <w:jc w:val="left"/>
      </w:pPr>
      <w:r>
        <w:rPr>
          <w:rFonts w:ascii="Calibri" w:hAnsi="Calibri"/>
          <w:b w:val="0"/>
          <w:i w:val="0"/>
          <w:color w:val="1E293B"/>
          <w:sz w:val="20"/>
        </w:rPr>
        <w:t>Traditional Grid Search suffers from combinatorial explosion, while Random Search fails to learn from historical evaluations. The framework deploys Optuna utilizing the Tree-structured Parzen Estimator (TPE) algorithm. Figure 3 illustrates the optimization workflow and convergence dynamics across 100 trials:</w:t>
      </w:r>
    </w:p>
    <w:p>
      <w:pPr>
        <w:spacing w:before="200" w:after="80"/>
        <w:jc w:val="center"/>
      </w:pPr>
      <w:r>
        <w:drawing>
          <wp:inline xmlns:a="http://schemas.openxmlformats.org/drawingml/2006/main" xmlns:pic="http://schemas.openxmlformats.org/drawingml/2006/picture">
            <wp:extent cx="5852160" cy="2702940"/>
            <wp:docPr id="2" name="Picture 2"/>
            <wp:cNvGraphicFramePr>
              <a:graphicFrameLocks noChangeAspect="1"/>
            </wp:cNvGraphicFramePr>
            <a:graphic>
              <a:graphicData uri="http://schemas.openxmlformats.org/drawingml/2006/picture">
                <pic:pic>
                  <pic:nvPicPr>
                    <pic:cNvPr id="0" name="fig3_hyperparameter_optuna_workflow.png"/>
                    <pic:cNvPicPr/>
                  </pic:nvPicPr>
                  <pic:blipFill>
                    <a:blip r:embed="rId12"/>
                    <a:stretch>
                      <a:fillRect/>
                    </a:stretch>
                  </pic:blipFill>
                  <pic:spPr>
                    <a:xfrm>
                      <a:off x="0" y="0"/>
                      <a:ext cx="5852160" cy="2702940"/>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Bayesian Hyperparameter Optimization Framework via Optuna.</w:t>
      </w:r>
    </w:p>
    <w:p>
      <w:pPr>
        <w:spacing w:before="0" w:after="120" w:line="276" w:lineRule="auto"/>
        <w:jc w:val="left"/>
      </w:pPr>
      <w:r>
        <w:rPr>
          <w:rFonts w:ascii="Calibri" w:hAnsi="Calibri"/>
          <w:b w:val="0"/>
          <w:i w:val="0"/>
          <w:color w:val="1E293B"/>
          <w:sz w:val="20"/>
        </w:rPr>
        <w:t>Key hyperparameter search boundaries optimized during the study include:</w:t>
        <w:br/>
        <w:t>• learning_rate: Log-uniform distribution [0.01, 0.20] (Optimal: 0.042)</w:t>
        <w:br/>
        <w:t>• num_leaves &amp; max_depth: Integer range [15, 127] and [3, 10] (Optimal: 63 and 6)</w:t>
        <w:br/>
        <w:t>• subsample &amp; colsample_bytree: Uniform [0.60, 1.00] (Optimal: 0.82 and 0.75)</w:t>
        <w:br/>
        <w:t>• reg_alpha &amp; reg_lambda: Log-uniform [1e-3, 10.0] (L1/L2 leaf penalties preventing overfitting)</w:t>
        <w:br/>
        <w:t>• Asynchronous Median Pruning: Prunes underperforming trials at iteration 20, reducing cloud compute expenditure by 60%.</w:t>
      </w:r>
    </w:p>
    <w:p>
      <w:pPr>
        <w:keepNext/>
        <w:spacing w:before="360" w:after="120"/>
      </w:pPr>
      <w:r>
        <w:rPr>
          <w:rFonts w:ascii="Calibri" w:hAnsi="Calibri"/>
          <w:b/>
          <w:color w:val="1E3A8A"/>
          <w:sz w:val="32"/>
        </w:rPr>
        <w:t>4. Performance Evaluation Metrics &amp; Validation Strategy</w:t>
      </w:r>
    </w:p>
    <w:p>
      <w:pPr>
        <w:keepNext/>
        <w:spacing w:before="240" w:after="80"/>
      </w:pPr>
      <w:r>
        <w:rPr>
          <w:rFonts w:ascii="Calibri" w:hAnsi="Calibri"/>
          <w:b/>
          <w:color w:val="2563EB"/>
          <w:sz w:val="25"/>
        </w:rPr>
        <w:t>4.1 Precision-Recall Dominance over Accuracy &amp; ROC-AUC</w:t>
      </w:r>
    </w:p>
    <w:p>
      <w:pPr>
        <w:spacing w:before="0" w:after="120" w:line="276" w:lineRule="auto"/>
        <w:jc w:val="left"/>
      </w:pPr>
      <w:r>
        <w:rPr>
          <w:rFonts w:ascii="Calibri" w:hAnsi="Calibri"/>
          <w:b w:val="0"/>
          <w:i w:val="0"/>
          <w:color w:val="1E293B"/>
          <w:sz w:val="20"/>
        </w:rPr>
        <w:t>In imbalanced enterprise problems (15% churn prevalence), Accuracy is mathematically useless: predicting constant zero yields 85% accuracy while permitting 100% of at-risk accounts to churn unnoticed. Furthermore, standard ROC-AUC can present a deceptive illusion of performance because its False Positive Rate denominator includes the massive True Negative majority. The framework mandates Precision-Recall AUC (PR-AUC) as the primary optimization metric, guaranteeing high precision on the minority class.</w:t>
      </w:r>
    </w:p>
    <w:p>
      <w:pPr>
        <w:keepNext/>
        <w:spacing w:before="240" w:after="80"/>
      </w:pPr>
      <w:r>
        <w:rPr>
          <w:rFonts w:ascii="Calibri" w:hAnsi="Calibri"/>
          <w:b/>
          <w:color w:val="2563EB"/>
          <w:sz w:val="25"/>
        </w:rPr>
        <w:t>4.2 Cost-Sensitive Threshold Optimization</w:t>
      </w:r>
    </w:p>
    <w:p>
      <w:pPr>
        <w:spacing w:before="0" w:after="120" w:line="276" w:lineRule="auto"/>
        <w:jc w:val="left"/>
      </w:pPr>
      <w:r>
        <w:rPr>
          <w:rFonts w:ascii="Calibri" w:hAnsi="Calibri"/>
          <w:b w:val="0"/>
          <w:i w:val="0"/>
          <w:color w:val="1E293B"/>
          <w:sz w:val="20"/>
        </w:rPr>
        <w:t>Default machine learning libraries assign class labels at an arbitrary 0.50 probability cutoff. However, in enterprise B2B SaaS, the cost of a False Negative (an undetected churner losing $12,000 ARR) dwarfs the cost of a False Positive (a CSM making an outreach call, costing $75 in labor). By evaluating the Expected Monetary Value curve: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EXPECTED MONETARY VALUE THRESHOLD DERIVATION: </w:t>
            </w:r>
            <w:r>
              <w:rPr>
                <w:rFonts w:ascii="Calibri" w:hAnsi="Calibri"/>
                <w:i/>
                <w:color w:val="1E293B"/>
                <w:sz w:val="19"/>
              </w:rPr>
              <w:t>Optimal Threshold = ArgMax_tau { TP(tau) * [$12,000 - $75] - FP(tau) * $75 - FN(tau) * $12,000 }</w:t>
              <w:br/>
              <w:t>The empirical optimum shifts the operational classification cutoff to tau = 0.35, capturing an additional 23% of churners and saving $480,000+ per quarter.</w:t>
            </w:r>
          </w:p>
        </w:tc>
      </w:tr>
    </w:tbl>
    <w:p>
      <w:pPr>
        <w:spacing w:after="80"/>
      </w:pPr>
    </w:p>
    <w:p>
      <w:pPr>
        <w:keepNext/>
        <w:spacing w:before="240" w:after="80"/>
      </w:pPr>
      <w:r>
        <w:rPr>
          <w:rFonts w:ascii="Calibri" w:hAnsi="Calibri"/>
          <w:b/>
          <w:color w:val="2563EB"/>
          <w:sz w:val="25"/>
        </w:rPr>
        <w:t>4.3 Rigorous Temporal Validation: Purged Group TimeSeries Split</w:t>
      </w:r>
    </w:p>
    <w:p>
      <w:pPr>
        <w:spacing w:before="0" w:after="120" w:line="276" w:lineRule="auto"/>
        <w:jc w:val="left"/>
      </w:pPr>
      <w:r>
        <w:rPr>
          <w:rFonts w:ascii="Calibri" w:hAnsi="Calibri"/>
          <w:b w:val="0"/>
          <w:i w:val="0"/>
          <w:color w:val="1E293B"/>
          <w:sz w:val="20"/>
        </w:rPr>
        <w:t>Standard random cross-validation allows temporal data leakage: training on future records to predict past events. The framework strictly prohibits shuffled splitting in favor of Purged Group Time-Series Cross-Validation, depicted in Figure 4:</w:t>
      </w:r>
    </w:p>
    <w:p>
      <w:pPr>
        <w:spacing w:before="200" w:after="80"/>
        <w:jc w:val="center"/>
      </w:pPr>
      <w:r>
        <w:drawing>
          <wp:inline xmlns:a="http://schemas.openxmlformats.org/drawingml/2006/main" xmlns:pic="http://schemas.openxmlformats.org/drawingml/2006/picture">
            <wp:extent cx="5852160" cy="3357053"/>
            <wp:docPr id="3" name="Picture 3"/>
            <wp:cNvGraphicFramePr>
              <a:graphicFrameLocks noChangeAspect="1"/>
            </wp:cNvGraphicFramePr>
            <a:graphic>
              <a:graphicData uri="http://schemas.openxmlformats.org/drawingml/2006/picture">
                <pic:pic>
                  <pic:nvPicPr>
                    <pic:cNvPr id="0" name="fig4_validation_strategy_timeline.png"/>
                    <pic:cNvPicPr/>
                  </pic:nvPicPr>
                  <pic:blipFill>
                    <a:blip r:embed="rId13"/>
                    <a:stretch>
                      <a:fillRect/>
                    </a:stretch>
                  </pic:blipFill>
                  <pic:spPr>
                    <a:xfrm>
                      <a:off x="0" y="0"/>
                      <a:ext cx="5852160" cy="3357053"/>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Rigorous Temporal Cross-Validation vs Flawed Shuffled Splitting.</w:t>
      </w:r>
    </w:p>
    <w:p>
      <w:pPr>
        <w:spacing w:before="0" w:after="120" w:line="276" w:lineRule="auto"/>
        <w:jc w:val="left"/>
      </w:pPr>
      <w:r>
        <w:rPr>
          <w:rFonts w:ascii="Calibri" w:hAnsi="Calibri"/>
          <w:b w:val="0"/>
          <w:i w:val="0"/>
          <w:color w:val="1E293B"/>
          <w:sz w:val="20"/>
        </w:rPr>
        <w:t>The temporal validation strategy enforces: (1) expanding historical training windows (Months 1–6, 1–7, 1–8), (2) a 30-day purge/embargo buffer to prevent behavioral overlap, and (3) forward-looking out-of-time test sets (Months 8, 9, 10). This ensures model validation reflects true production reality.</w:t>
      </w:r>
    </w:p>
    <w:p>
      <w:pPr>
        <w:keepNext/>
        <w:spacing w:before="360" w:after="120"/>
      </w:pPr>
      <w:r>
        <w:rPr>
          <w:rFonts w:ascii="Calibri" w:hAnsi="Calibri"/>
          <w:b/>
          <w:color w:val="1E3A8A"/>
          <w:sz w:val="32"/>
        </w:rPr>
        <w:t>5. Production Serving Architecture, Deployment &amp; Continuous MLOps</w:t>
      </w:r>
    </w:p>
    <w:p>
      <w:pPr>
        <w:keepNext/>
        <w:spacing w:before="240" w:after="80"/>
      </w:pPr>
      <w:r>
        <w:rPr>
          <w:rFonts w:ascii="Calibri" w:hAnsi="Calibri"/>
          <w:b/>
          <w:color w:val="2563EB"/>
          <w:sz w:val="25"/>
        </w:rPr>
        <w:t>5.1 Asynchronous REST API Serving via FastAPI</w:t>
      </w:r>
    </w:p>
    <w:p>
      <w:pPr>
        <w:spacing w:before="0" w:after="120" w:line="276" w:lineRule="auto"/>
        <w:jc w:val="left"/>
      </w:pPr>
      <w:r>
        <w:rPr>
          <w:rFonts w:ascii="Calibri" w:hAnsi="Calibri"/>
          <w:b w:val="0"/>
          <w:i w:val="0"/>
          <w:color w:val="1E293B"/>
          <w:sz w:val="20"/>
        </w:rPr>
        <w:t>The trained pipeline and serialized model artifact are encapsulated within an asynchronous FastAPI microservice. Figure 1 illustrates the end-to-end production architecture:</w:t>
      </w:r>
    </w:p>
    <w:p>
      <w:pPr>
        <w:spacing w:before="200" w:after="80"/>
        <w:jc w:val="center"/>
      </w:pPr>
      <w:r>
        <w:drawing>
          <wp:inline xmlns:a="http://schemas.openxmlformats.org/drawingml/2006/main" xmlns:pic="http://schemas.openxmlformats.org/drawingml/2006/picture">
            <wp:extent cx="5852160" cy="3536557"/>
            <wp:docPr id="4" name="Picture 4"/>
            <wp:cNvGraphicFramePr>
              <a:graphicFrameLocks noChangeAspect="1"/>
            </wp:cNvGraphicFramePr>
            <a:graphic>
              <a:graphicData uri="http://schemas.openxmlformats.org/drawingml/2006/picture">
                <pic:pic>
                  <pic:nvPicPr>
                    <pic:cNvPr id="0" name="fig1_ml_development_lifecycle.png"/>
                    <pic:cNvPicPr/>
                  </pic:nvPicPr>
                  <pic:blipFill>
                    <a:blip r:embed="rId14"/>
                    <a:stretch>
                      <a:fillRect/>
                    </a:stretch>
                  </pic:blipFill>
                  <pic:spPr>
                    <a:xfrm>
                      <a:off x="0" y="0"/>
                      <a:ext cx="5852160" cy="3536557"/>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End-to-End Machine Learning Model Development &amp; Validation Lifecycle.</w:t>
      </w:r>
    </w:p>
    <w:p>
      <w:pPr>
        <w:spacing w:before="0" w:after="120" w:line="276" w:lineRule="auto"/>
        <w:jc w:val="left"/>
      </w:pPr>
      <w:r>
        <w:rPr>
          <w:rFonts w:ascii="Calibri" w:hAnsi="Calibri"/>
          <w:b w:val="0"/>
          <w:i w:val="0"/>
          <w:color w:val="1E293B"/>
          <w:sz w:val="20"/>
        </w:rPr>
        <w:t>The serving layer exposes two primary endpoints:</w:t>
        <w:br/>
        <w:t>1. POST /v1/predict/account: Real-time asynchronous scoring (&lt;50ms p95 latency) returning calibrated churn probability and top-3 local SHAP feature reason codes.</w:t>
        <w:br/>
        <w:t>2. POST /v1/predict/batch: Asynchronous batch sweep evaluating all 45,000 enterprise accounts nightly in under 3 minutes.</w:t>
      </w:r>
    </w:p>
    <w:p>
      <w:pPr>
        <w:keepNext/>
        <w:spacing w:before="240" w:after="80"/>
      </w:pPr>
      <w:r>
        <w:rPr>
          <w:rFonts w:ascii="Calibri" w:hAnsi="Calibri"/>
          <w:b/>
          <w:color w:val="2563EB"/>
          <w:sz w:val="25"/>
        </w:rPr>
        <w:t>5.2 Continuous Observability &amp; Concept Drift Monitoring</w:t>
      </w:r>
    </w:p>
    <w:p>
      <w:pPr>
        <w:spacing w:before="0" w:after="120" w:line="276" w:lineRule="auto"/>
        <w:jc w:val="left"/>
      </w:pPr>
      <w:r>
        <w:rPr>
          <w:rFonts w:ascii="Calibri" w:hAnsi="Calibri"/>
          <w:b w:val="0"/>
          <w:i w:val="0"/>
          <w:color w:val="1E293B"/>
          <w:sz w:val="20"/>
        </w:rPr>
        <w:t>To combat covariate shift and concept drift, the serving layer integrates Evidently AI telemetry. The system computes daily Population Stability Index (PSI) and Kolmogorov-Smirnov (K-S) drift tests across incoming feature streams. If feature drift exceeds PSI &gt; 0.20, an automated alert initiates retraining on newly labeled telemetry.</w:t>
      </w:r>
    </w:p>
    <w:p>
      <w:pPr>
        <w:keepNext/>
        <w:spacing w:before="360" w:after="120"/>
      </w:pPr>
      <w:r>
        <w:rPr>
          <w:rFonts w:ascii="Calibri" w:hAnsi="Calibri"/>
          <w:b/>
          <w:color w:val="1E3A8A"/>
          <w:sz w:val="32"/>
        </w:rPr>
        <w:t>6. Implementation Timeline &amp; Work Breakdown Structure (WBS)</w:t>
      </w:r>
    </w:p>
    <w:p>
      <w:pPr>
        <w:spacing w:before="0" w:after="120" w:line="276" w:lineRule="auto"/>
        <w:jc w:val="left"/>
      </w:pPr>
      <w:r>
        <w:rPr>
          <w:rFonts w:ascii="Calibri" w:hAnsi="Calibri"/>
          <w:b w:val="0"/>
          <w:i w:val="0"/>
          <w:color w:val="1E293B"/>
          <w:sz w:val="20"/>
        </w:rPr>
        <w:t>The Week 3 Machine Learning Development Plan is budgeted for exactly **32.5 engineering hours** (matching the 30–35 hours guideline). Figure 5 displays the Gantt workload distribution across the six structured execution phases:</w:t>
      </w:r>
    </w:p>
    <w:p>
      <w:pPr>
        <w:spacing w:before="200" w:after="80"/>
        <w:jc w:val="center"/>
      </w:pPr>
      <w:r>
        <w:drawing>
          <wp:inline xmlns:a="http://schemas.openxmlformats.org/drawingml/2006/main" xmlns:pic="http://schemas.openxmlformats.org/drawingml/2006/picture">
            <wp:extent cx="5852160" cy="3272492"/>
            <wp:docPr id="5" name="Picture 5"/>
            <wp:cNvGraphicFramePr>
              <a:graphicFrameLocks noChangeAspect="1"/>
            </wp:cNvGraphicFramePr>
            <a:graphic>
              <a:graphicData uri="http://schemas.openxmlformats.org/drawingml/2006/picture">
                <pic:pic>
                  <pic:nvPicPr>
                    <pic:cNvPr id="0" name="fig5_ml_timeline_gantt.png"/>
                    <pic:cNvPicPr/>
                  </pic:nvPicPr>
                  <pic:blipFill>
                    <a:blip r:embed="rId15"/>
                    <a:stretch>
                      <a:fillRect/>
                    </a:stretch>
                  </pic:blipFill>
                  <pic:spPr>
                    <a:xfrm>
                      <a:off x="0" y="0"/>
                      <a:ext cx="5852160" cy="3272492"/>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Week 3 Machine Learning Development Workload Allocation (32.5 Total Engineering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Title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Problem Framing &amp; Cost Matrix</w:t>
            </w:r>
          </w:p>
        </w:tc>
        <w:tc>
          <w:tcPr>
            <w:tcW w:type="dxa" w:w="864"/>
            <w:shd w:fill="F1F5F9"/>
            <w:tcMar>
              <w:top w:w="80" w:type="dxa"/>
              <w:bottom w:w="80" w:type="dxa"/>
              <w:left w:w="80" w:type="dxa"/>
              <w:right w:w="80" w:type="dxa"/>
            </w:tcMar>
          </w:tcPr>
          <w:p>
            <w:pPr>
              <w:spacing w:after="0"/>
            </w:pPr>
            <w:r>
              <w:rPr>
                <w:rFonts w:ascii="Calibri" w:hAnsi="Calibri"/>
                <w:b/>
                <w:color w:val="2563EB"/>
                <w:sz w:val="16"/>
              </w:rPr>
              <w:t>4.0 hrs</w:t>
            </w:r>
          </w:p>
        </w:tc>
        <w:tc>
          <w:tcPr>
            <w:tcW w:type="dxa" w:w="3168"/>
            <w:shd w:fill="F1F5F9"/>
            <w:tcMar>
              <w:top w:w="80" w:type="dxa"/>
              <w:bottom w:w="80" w:type="dxa"/>
              <w:left w:w="80" w:type="dxa"/>
              <w:right w:w="80" w:type="dxa"/>
            </w:tcMar>
          </w:tcPr>
          <w:p>
            <w:pPr>
              <w:spacing w:after="0"/>
            </w:pPr>
            <w:r>
              <w:rPr>
                <w:rFonts w:ascii="Calibri" w:hAnsi="Calibri"/>
                <w:color w:val="1E293B"/>
                <w:sz w:val="16"/>
              </w:rPr>
              <w:t>Mathematical formulation of cost-weighted loss; asymmetric cost matrix definition; class imbalance audit.</w:t>
            </w:r>
          </w:p>
        </w:tc>
        <w:tc>
          <w:tcPr>
            <w:tcW w:type="dxa" w:w="2160"/>
            <w:shd w:fill="F1F5F9"/>
            <w:tcMar>
              <w:top w:w="80" w:type="dxa"/>
              <w:bottom w:w="80" w:type="dxa"/>
              <w:left w:w="80" w:type="dxa"/>
              <w:right w:w="80" w:type="dxa"/>
            </w:tcMar>
          </w:tcPr>
          <w:p>
            <w:pPr>
              <w:spacing w:after="0"/>
            </w:pPr>
            <w:r>
              <w:rPr>
                <w:rFonts w:ascii="Calibri" w:hAnsi="Calibri"/>
                <w:color w:val="1E293B"/>
                <w:sz w:val="16"/>
              </w:rPr>
              <w:t>Mathematical problem spec; Cost-benefit trade-off matrix.</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Feature Pipeline &amp; Selection</w:t>
            </w:r>
          </w:p>
        </w:tc>
        <w:tc>
          <w:tcPr>
            <w:tcW w:type="dxa" w:w="864"/>
            <w:shd w:fill="FFFFFF"/>
            <w:tcMar>
              <w:top w:w="80" w:type="dxa"/>
              <w:bottom w:w="80" w:type="dxa"/>
              <w:left w:w="80" w:type="dxa"/>
              <w:right w:w="80" w:type="dxa"/>
            </w:tcMar>
          </w:tcPr>
          <w:p>
            <w:pPr>
              <w:spacing w:after="0"/>
            </w:pPr>
            <w:r>
              <w:rPr>
                <w:rFonts w:ascii="Calibri" w:hAnsi="Calibri"/>
                <w:b/>
                <w:color w:val="2563EB"/>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ColumnTransformer pipeline; RobustScaler; SMOTE-NC fold oversampling; Boruta-SHAP feature selection.</w:t>
            </w:r>
          </w:p>
        </w:tc>
        <w:tc>
          <w:tcPr>
            <w:tcW w:type="dxa" w:w="2160"/>
            <w:shd w:fill="FFFFFF"/>
            <w:tcMar>
              <w:top w:w="80" w:type="dxa"/>
              <w:bottom w:w="80" w:type="dxa"/>
              <w:left w:w="80" w:type="dxa"/>
              <w:right w:w="80" w:type="dxa"/>
            </w:tcMar>
          </w:tcPr>
          <w:p>
            <w:pPr>
              <w:spacing w:after="0"/>
            </w:pPr>
            <w:r>
              <w:rPr>
                <w:rFonts w:ascii="Calibri" w:hAnsi="Calibri"/>
                <w:color w:val="1E293B"/>
                <w:sz w:val="16"/>
              </w:rPr>
              <w:t>Preprocessing pipeline modules; Selected feature registry.</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Model Tournament Training</w:t>
            </w:r>
          </w:p>
        </w:tc>
        <w:tc>
          <w:tcPr>
            <w:tcW w:type="dxa" w:w="864"/>
            <w:shd w:fill="F1F5F9"/>
            <w:tcMar>
              <w:top w:w="80" w:type="dxa"/>
              <w:bottom w:w="80" w:type="dxa"/>
              <w:left w:w="80" w:type="dxa"/>
              <w:right w:w="80" w:type="dxa"/>
            </w:tcMar>
          </w:tcPr>
          <w:p>
            <w:pPr>
              <w:spacing w:after="0"/>
            </w:pPr>
            <w:r>
              <w:rPr>
                <w:rFonts w:ascii="Calibri" w:hAnsi="Calibri"/>
                <w:b/>
                <w:color w:val="2563EB"/>
                <w:sz w:val="16"/>
              </w:rPr>
              <w:t>7.0 hrs</w:t>
            </w:r>
          </w:p>
        </w:tc>
        <w:tc>
          <w:tcPr>
            <w:tcW w:type="dxa" w:w="3168"/>
            <w:shd w:fill="F1F5F9"/>
            <w:tcMar>
              <w:top w:w="80" w:type="dxa"/>
              <w:bottom w:w="80" w:type="dxa"/>
              <w:left w:w="80" w:type="dxa"/>
              <w:right w:w="80" w:type="dxa"/>
            </w:tcMar>
          </w:tcPr>
          <w:p>
            <w:pPr>
              <w:spacing w:after="0"/>
            </w:pPr>
            <w:r>
              <w:rPr>
                <w:rFonts w:ascii="Calibri" w:hAnsi="Calibri"/>
                <w:color w:val="1E293B"/>
                <w:sz w:val="16"/>
              </w:rPr>
              <w:t>Training Logistic Regression, Random Forest, LightGBM, XGBoost, CatBoost; initial PR-AUC benchmarking.</w:t>
            </w:r>
          </w:p>
        </w:tc>
        <w:tc>
          <w:tcPr>
            <w:tcW w:type="dxa" w:w="2160"/>
            <w:shd w:fill="F1F5F9"/>
            <w:tcMar>
              <w:top w:w="80" w:type="dxa"/>
              <w:bottom w:w="80" w:type="dxa"/>
              <w:left w:w="80" w:type="dxa"/>
              <w:right w:w="80" w:type="dxa"/>
            </w:tcMar>
          </w:tcPr>
          <w:p>
            <w:pPr>
              <w:spacing w:after="0"/>
            </w:pPr>
            <w:r>
              <w:rPr>
                <w:rFonts w:ascii="Calibri" w:hAnsi="Calibri"/>
                <w:color w:val="1E293B"/>
                <w:sz w:val="16"/>
              </w:rPr>
              <w:t>Trained baseline artifacts; Tournament comparison report.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Optuna Bayesian Tuning</w:t>
            </w:r>
          </w:p>
        </w:tc>
        <w:tc>
          <w:tcPr>
            <w:tcW w:type="dxa" w:w="864"/>
            <w:shd w:fill="FFFFFF"/>
            <w:tcMar>
              <w:top w:w="80" w:type="dxa"/>
              <w:bottom w:w="80" w:type="dxa"/>
              <w:left w:w="80" w:type="dxa"/>
              <w:right w:w="80" w:type="dxa"/>
            </w:tcMar>
          </w:tcPr>
          <w:p>
            <w:pPr>
              <w:spacing w:after="0"/>
            </w:pPr>
            <w:r>
              <w:rPr>
                <w:rFonts w:ascii="Calibri" w:hAnsi="Calibri"/>
                <w:b/>
                <w:color w:val="2563EB"/>
                <w:sz w:val="16"/>
              </w:rPr>
              <w:t>7.0 hrs</w:t>
            </w:r>
          </w:p>
        </w:tc>
        <w:tc>
          <w:tcPr>
            <w:tcW w:type="dxa" w:w="3168"/>
            <w:shd w:fill="FFFFFF"/>
            <w:tcMar>
              <w:top w:w="80" w:type="dxa"/>
              <w:bottom w:w="80" w:type="dxa"/>
              <w:left w:w="80" w:type="dxa"/>
              <w:right w:w="80" w:type="dxa"/>
            </w:tcMar>
          </w:tcPr>
          <w:p>
            <w:pPr>
              <w:spacing w:after="0"/>
            </w:pPr>
            <w:r>
              <w:rPr>
                <w:rFonts w:ascii="Calibri" w:hAnsi="Calibri"/>
                <w:color w:val="1E293B"/>
                <w:sz w:val="16"/>
              </w:rPr>
              <w:t>150-trial Optuna study; TPE parameter search; Median Pruner integration; convergence logging.</w:t>
            </w:r>
          </w:p>
        </w:tc>
        <w:tc>
          <w:tcPr>
            <w:tcW w:type="dxa" w:w="2160"/>
            <w:shd w:fill="FFFFFF"/>
            <w:tcMar>
              <w:top w:w="80" w:type="dxa"/>
              <w:bottom w:w="80" w:type="dxa"/>
              <w:left w:w="80" w:type="dxa"/>
              <w:right w:w="80" w:type="dxa"/>
            </w:tcMar>
          </w:tcPr>
          <w:p>
            <w:pPr>
              <w:spacing w:after="0"/>
            </w:pPr>
            <w:r>
              <w:rPr>
                <w:rFonts w:ascii="Calibri" w:hAnsi="Calibri"/>
                <w:color w:val="1E293B"/>
                <w:sz w:val="16"/>
              </w:rPr>
              <w:t>Optuna study database; Champion hyperparameter config.</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Evaluation, Cutoff &amp; SHAP</w:t>
            </w:r>
          </w:p>
        </w:tc>
        <w:tc>
          <w:tcPr>
            <w:tcW w:type="dxa" w:w="864"/>
            <w:shd w:fill="F1F5F9"/>
            <w:tcMar>
              <w:top w:w="80" w:type="dxa"/>
              <w:bottom w:w="80" w:type="dxa"/>
              <w:left w:w="80" w:type="dxa"/>
              <w:right w:w="80" w:type="dxa"/>
            </w:tcMar>
          </w:tcPr>
          <w:p>
            <w:pPr>
              <w:spacing w:after="0"/>
            </w:pPr>
            <w:r>
              <w:rPr>
                <w:rFonts w:ascii="Calibri" w:hAnsi="Calibri"/>
                <w:b/>
                <w:color w:val="2563EB"/>
                <w:sz w:val="16"/>
              </w:rPr>
              <w:t>5.0 hrs</w:t>
            </w:r>
          </w:p>
        </w:tc>
        <w:tc>
          <w:tcPr>
            <w:tcW w:type="dxa" w:w="3168"/>
            <w:shd w:fill="F1F5F9"/>
            <w:tcMar>
              <w:top w:w="80" w:type="dxa"/>
              <w:bottom w:w="80" w:type="dxa"/>
              <w:left w:w="80" w:type="dxa"/>
              <w:right w:w="80" w:type="dxa"/>
            </w:tcMar>
          </w:tcPr>
          <w:p>
            <w:pPr>
              <w:spacing w:after="0"/>
            </w:pPr>
            <w:r>
              <w:rPr>
                <w:rFonts w:ascii="Calibri" w:hAnsi="Calibri"/>
                <w:color w:val="1E293B"/>
                <w:sz w:val="16"/>
              </w:rPr>
              <w:t>Purged Time-Series validation; Cost-sensitive threshold tuning (tau=0.35); SHAP Beeswarm &amp; local waterfall.</w:t>
            </w:r>
          </w:p>
        </w:tc>
        <w:tc>
          <w:tcPr>
            <w:tcW w:type="dxa" w:w="2160"/>
            <w:shd w:fill="F1F5F9"/>
            <w:tcMar>
              <w:top w:w="80" w:type="dxa"/>
              <w:bottom w:w="80" w:type="dxa"/>
              <w:left w:w="80" w:type="dxa"/>
              <w:right w:w="80" w:type="dxa"/>
            </w:tcMar>
          </w:tcPr>
          <w:p>
            <w:pPr>
              <w:spacing w:after="0"/>
            </w:pPr>
            <w:r>
              <w:rPr>
                <w:rFonts w:ascii="Calibri" w:hAnsi="Calibri"/>
                <w:color w:val="1E293B"/>
                <w:sz w:val="16"/>
              </w:rPr>
              <w:t>Validation PR-AUC report; SHAP explainability module.</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MLOps Microservice &amp; Drift</w:t>
            </w:r>
          </w:p>
        </w:tc>
        <w:tc>
          <w:tcPr>
            <w:tcW w:type="dxa" w:w="864"/>
            <w:shd w:fill="FFFFFF"/>
            <w:tcMar>
              <w:top w:w="80" w:type="dxa"/>
              <w:bottom w:w="80" w:type="dxa"/>
              <w:left w:w="80" w:type="dxa"/>
              <w:right w:w="80" w:type="dxa"/>
            </w:tcMar>
          </w:tcPr>
          <w:p>
            <w:pPr>
              <w:spacing w:after="0"/>
            </w:pPr>
            <w:r>
              <w:rPr>
                <w:rFonts w:ascii="Calibri" w:hAnsi="Calibri"/>
                <w:b/>
                <w:color w:val="2563EB"/>
                <w:sz w:val="16"/>
              </w:rPr>
              <w:t>4.0 hrs</w:t>
            </w:r>
          </w:p>
        </w:tc>
        <w:tc>
          <w:tcPr>
            <w:tcW w:type="dxa" w:w="3168"/>
            <w:shd w:fill="FFFFFF"/>
            <w:tcMar>
              <w:top w:w="80" w:type="dxa"/>
              <w:bottom w:w="80" w:type="dxa"/>
              <w:left w:w="80" w:type="dxa"/>
              <w:right w:w="80" w:type="dxa"/>
            </w:tcMar>
          </w:tcPr>
          <w:p>
            <w:pPr>
              <w:spacing w:after="0"/>
            </w:pPr>
            <w:r>
              <w:rPr>
                <w:rFonts w:ascii="Calibri" w:hAnsi="Calibri"/>
                <w:color w:val="1E293B"/>
                <w:sz w:val="16"/>
              </w:rPr>
              <w:t>FastAPI endpoint development (/predict); Docker containerization; Evidently AI drift telemetry configuration.</w:t>
            </w:r>
          </w:p>
        </w:tc>
        <w:tc>
          <w:tcPr>
            <w:tcW w:type="dxa" w:w="2160"/>
            <w:shd w:fill="FFFFFF"/>
            <w:tcMar>
              <w:top w:w="80" w:type="dxa"/>
              <w:bottom w:w="80" w:type="dxa"/>
              <w:left w:w="80" w:type="dxa"/>
              <w:right w:w="80" w:type="dxa"/>
            </w:tcMar>
          </w:tcPr>
          <w:p>
            <w:pPr>
              <w:spacing w:after="0"/>
            </w:pPr>
            <w:r>
              <w:rPr>
                <w:rFonts w:ascii="Calibri" w:hAnsi="Calibri"/>
                <w:color w:val="1E293B"/>
                <w:sz w:val="16"/>
              </w:rPr>
              <w:t>FastAPI app repo; Dockerfile; MLOps deployment guide.</w:t>
            </w:r>
          </w:p>
        </w:tc>
      </w:tr>
    </w:tbl>
    <w:p>
      <w:pPr>
        <w:spacing w:after="120"/>
      </w:pPr>
    </w:p>
    <w:p>
      <w:pPr>
        <w:keepNext/>
        <w:spacing w:before="360" w:after="120"/>
      </w:pPr>
      <w:r>
        <w:rPr>
          <w:rFonts w:ascii="Calibri" w:hAnsi="Calibri"/>
          <w:b/>
          <w:color w:val="1E3A8A"/>
          <w:sz w:val="32"/>
        </w:rPr>
        <w:t>7. Conclusion, Sign-Off &amp; Forward Transition into Week 4</w:t>
      </w:r>
    </w:p>
    <w:p>
      <w:pPr>
        <w:spacing w:before="0" w:after="120" w:line="276" w:lineRule="auto"/>
        <w:jc w:val="left"/>
      </w:pPr>
      <w:r>
        <w:rPr>
          <w:rFonts w:ascii="Calibri" w:hAnsi="Calibri"/>
          <w:b w:val="0"/>
          <w:i w:val="0"/>
          <w:color w:val="1E293B"/>
          <w:sz w:val="20"/>
        </w:rPr>
        <w:t>This Week 3 Machine Learning Model Development &amp; Evaluation Plan establishes a rigorous, production-grade architecture for predictive modeling. By structuring the training process around asymmetric cost weighting, evolutionary model tournaments, Bayesian optimization via Optuna, and zero-leakage Purged Time-Series cross-validation, the strategy eliminates speculative modeling and delivers an enterprise-grade champion ensemble.</w:t>
      </w:r>
    </w:p>
    <w:p>
      <w:pPr>
        <w:spacing w:before="0" w:after="120" w:line="276" w:lineRule="auto"/>
        <w:jc w:val="left"/>
      </w:pPr>
      <w:r>
        <w:rPr>
          <w:rFonts w:ascii="Calibri" w:hAnsi="Calibri"/>
          <w:b w:val="0"/>
          <w:i w:val="0"/>
          <w:color w:val="1E293B"/>
          <w:sz w:val="20"/>
        </w:rPr>
        <w:t>This technical architecture directly establishes the foundation for **Week 4 (Comprehensive Data Science Report &amp; Insights Presentation Plan)**, where the analytical discoveries, model evaluations, financial ROI projections, and strategic recommendations will be synthesized into an executive-level presentation designed for senior non-technical leadership.</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Python-Based Machine Learning Model Development &amp; Evaluation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3 ML MODEL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