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59669"/>
          <w:sz w:val="21"/>
        </w:rPr>
        <w:t>YUVA INTERN PROGRAM  •  DATA SCIENCE TRACK 2026</w:t>
      </w:r>
    </w:p>
    <w:p>
      <w:pPr>
        <w:spacing w:before="80" w:after="120"/>
      </w:pPr>
      <w:r>
        <w:rPr>
          <w:rFonts w:ascii="Calibri" w:hAnsi="Calibri"/>
          <w:b/>
          <w:color w:val="1E3A8A"/>
          <w:sz w:val="44"/>
        </w:rPr>
        <w:t>Week 4 Deliverable: Comprehensive Data Science Report &amp; Insights Presentation Plan</w:t>
      </w:r>
    </w:p>
    <w:p>
      <w:pPr>
        <w:spacing w:before="0" w:after="280"/>
      </w:pPr>
      <w:r>
        <w:rPr>
          <w:rFonts w:ascii="Calibri" w:hAnsi="Calibri"/>
          <w:i/>
          <w:color w:val="1E293B"/>
          <w:sz w:val="24"/>
        </w:rPr>
        <w:t>OmniChurn AI: Strategic Synthesis of Predictive Churn Intelligence, Empirical Findings, Non-Technical Storytelling &amp; Executive Action Playbooks</w:t>
        <w:br/>
        <w:t>Executive Summary, Methodology Recap, Behavioral Discoveries, Non-Technical Narrative Arc &amp; Prescriptive Business ROI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YUVA-DS-2026-W04-EXEC-V1.0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Focus</w:t>
            </w:r>
          </w:p>
        </w:tc>
        <w:tc>
          <w:tcPr>
            <w:tcW w:type="dxa" w:w="6192"/>
            <w:shd w:fill="FFFFFF"/>
            <w:tcMar>
              <w:top w:w="80" w:type="dxa"/>
              <w:bottom w:w="80" w:type="dxa"/>
              <w:left w:w="120" w:type="dxa"/>
              <w:right w:w="120" w:type="dxa"/>
            </w:tcMar>
          </w:tcPr>
          <w:p>
            <w:pPr>
              <w:spacing w:after="0"/>
            </w:pPr>
            <w:r>
              <w:rPr>
                <w:rFonts w:ascii="Calibri" w:hAnsi="Calibri"/>
                <w:color w:val="1E293B"/>
                <w:sz w:val="18"/>
              </w:rPr>
              <w:t>Enterprise Data Science Executive Reporting &amp; Strategic Presentation Architecture</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Week 4: Executive Synthesis, Strategic Storytelling &amp; Business Transition</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This capstone strategic report synthesizes the complete four-week data science engagement for OmniChurn AI, consolidating all architectural, exploratory, and predictive machine learning milestones into an executive-level presentation dossier. Across high-growth subscription enterprises, unmitigated customer churn represents an existential drain on valuation and capital efficiency. In our target B2B FinTech enterprise (45,000 corporate clients, average ARR of $12,000), an annual churn rate of 6.8% resulted in $36.72 Million in gross recurring revenue loss.</w:t>
      </w:r>
    </w:p>
    <w:p>
      <w:pPr>
        <w:spacing w:before="0" w:after="120" w:line="276" w:lineRule="auto"/>
        <w:jc w:val="left"/>
      </w:pPr>
      <w:r>
        <w:rPr>
          <w:rFonts w:ascii="Calibri" w:hAnsi="Calibri"/>
          <w:b w:val="0"/>
          <w:i w:val="0"/>
          <w:color w:val="1E293B"/>
          <w:sz w:val="20"/>
        </w:rPr>
        <w:t>By replacing legacy reactive firefighting with an algorithmic early-warning radar, OmniChurn AI delivers decisive enterprise results: (1) reducing voluntary annualized customer churn from 6.8% down to 4.6% (-32.3% relative reduction), (2) preserving $11.41 Million in net annual recurring revenue in Year 1, (3) increasing Customer Success outreach conversion rates from 18% to 42.5%, and (4) yielding a phenomenal 2,450% annualized Net ROI on an infrastructure investment of $145,000. Figure 1 showcases the Executive KPI Dashboard summarizing these strategic outcomes:</w:t>
      </w:r>
    </w:p>
    <w:p>
      <w:pPr>
        <w:spacing w:before="200" w:after="80"/>
        <w:jc w:val="center"/>
      </w:pPr>
      <w:r>
        <w:drawing>
          <wp:inline xmlns:a="http://schemas.openxmlformats.org/drawingml/2006/main" xmlns:pic="http://schemas.openxmlformats.org/drawingml/2006/picture">
            <wp:extent cx="5852160" cy="3678586"/>
            <wp:docPr id="1" name="Picture 1"/>
            <wp:cNvGraphicFramePr>
              <a:graphicFrameLocks noChangeAspect="1"/>
            </wp:cNvGraphicFramePr>
            <a:graphic>
              <a:graphicData uri="http://schemas.openxmlformats.org/drawingml/2006/picture">
                <pic:pic>
                  <pic:nvPicPr>
                    <pic:cNvPr id="0" name="fig1_executive_kpi_dashboard_mockup.png"/>
                    <pic:cNvPicPr/>
                  </pic:nvPicPr>
                  <pic:blipFill>
                    <a:blip r:embed="rId11"/>
                    <a:stretch>
                      <a:fillRect/>
                    </a:stretch>
                  </pic:blipFill>
                  <pic:spPr>
                    <a:xfrm>
                      <a:off x="0" y="0"/>
                      <a:ext cx="5852160" cy="3678586"/>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OmniChurn AI Executive KPI Dashboard &amp; Fleet-Wide Financial Preservation Summary.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STRATEGIC EXECUTIVE DIRECTIVE: </w:t>
            </w:r>
            <w:r>
              <w:rPr>
                <w:rFonts w:ascii="Calibri" w:hAnsi="Calibri"/>
                <w:i/>
                <w:color w:val="1E293B"/>
                <w:sz w:val="19"/>
              </w:rPr>
              <w:t>Data science generates enterprise value only when technical findings are successfully translated into commercial consensus. OmniChurn AI shifts retention from speculative discount giveaways to surgical, algorithmic interventions that protect top-line ARR.</w:t>
            </w:r>
          </w:p>
        </w:tc>
      </w:tr>
    </w:tbl>
    <w:p>
      <w:pPr>
        <w:spacing w:after="80"/>
      </w:pPr>
    </w:p>
    <w:p>
      <w:pPr>
        <w:keepNext/>
        <w:spacing w:before="360" w:after="120"/>
      </w:pPr>
      <w:r>
        <w:rPr>
          <w:rFonts w:ascii="Calibri" w:hAnsi="Calibri"/>
          <w:b/>
          <w:color w:val="1E3A8A"/>
          <w:sz w:val="32"/>
        </w:rPr>
        <w:t>1. Methodology Review &amp; Analytical Foundations</w:t>
      </w:r>
    </w:p>
    <w:p>
      <w:pPr>
        <w:spacing w:before="0" w:after="120" w:line="276" w:lineRule="auto"/>
        <w:jc w:val="left"/>
      </w:pPr>
      <w:r>
        <w:rPr>
          <w:rFonts w:ascii="Calibri" w:hAnsi="Calibri"/>
          <w:b w:val="0"/>
          <w:i w:val="0"/>
          <w:color w:val="1E293B"/>
          <w:sz w:val="20"/>
        </w:rPr>
        <w:t>To provide a self-contained executive foundation, the analytical architecture employed throughout the project comprises four tightly integrated stages:</w:t>
      </w:r>
    </w:p>
    <w:p>
      <w:pPr>
        <w:spacing w:before="20" w:after="60"/>
        <w:ind w:left="360"/>
      </w:pPr>
      <w:r>
        <w:rPr>
          <w:rFonts w:ascii="Calibri" w:hAnsi="Calibri"/>
          <w:b/>
          <w:color w:val="1E3A8A"/>
          <w:sz w:val="19"/>
        </w:rPr>
        <w:t xml:space="preserve">✦ Multi-Modal Telemetry Ingestion: </w:t>
      </w:r>
      <w:r>
        <w:rPr>
          <w:rFonts w:ascii="Calibri" w:hAnsi="Calibri"/>
          <w:color w:val="1E293B"/>
          <w:sz w:val="19"/>
        </w:rPr>
        <w:t>Harmonized four independent operational data sources: PostgreSQL transactional records (contracts, seats, plan tiers), Kafka clickstream event aggregates (daily active users, module utilization), Zendesk support logs (ticket frequency, CSAT ratings, agent transcripts), and Stripe billing logs (dunning events, payment delays).</w:t>
      </w:r>
    </w:p>
    <w:p>
      <w:pPr>
        <w:spacing w:before="20" w:after="60"/>
        <w:ind w:left="360"/>
      </w:pPr>
      <w:r>
        <w:rPr>
          <w:rFonts w:ascii="Calibri" w:hAnsi="Calibri"/>
          <w:b/>
          <w:color w:val="1E3A8A"/>
          <w:sz w:val="19"/>
        </w:rPr>
        <w:t xml:space="preserve">✦ Data Quality Contracts &amp; Leakage Prevention: </w:t>
      </w:r>
      <w:r>
        <w:rPr>
          <w:rFonts w:ascii="Calibri" w:hAnsi="Calibri"/>
          <w:color w:val="1E293B"/>
          <w:sz w:val="19"/>
        </w:rPr>
        <w:t>Enforced schema constraints via Great Expectations; resolved missingness using domain-aware median and K-Nearest Neighbors imputation; capped extreme anomalies using Tukey IQR Winsorization; and isolated training sets using strict chronological boundaries to eliminate future lookahead bias.</w:t>
      </w:r>
    </w:p>
    <w:p>
      <w:pPr>
        <w:spacing w:before="20" w:after="60"/>
        <w:ind w:left="360"/>
      </w:pPr>
      <w:r>
        <w:rPr>
          <w:rFonts w:ascii="Calibri" w:hAnsi="Calibri"/>
          <w:b/>
          <w:color w:val="1E3A8A"/>
          <w:sz w:val="19"/>
        </w:rPr>
        <w:t xml:space="preserve">✦ Velocity Feature Engineering: </w:t>
      </w:r>
      <w:r>
        <w:rPr>
          <w:rFonts w:ascii="Calibri" w:hAnsi="Calibri"/>
          <w:color w:val="1E293B"/>
          <w:sz w:val="19"/>
        </w:rPr>
        <w:t>Constructed 65+ curated behavioral indicators, emphasizing rolling temporal acceleration ratios (e.g., 30-day activity vs. 90-day activity), feature breadth usage ratios, and sentiment polarity scores extracted from support tickets via natural language processing.</w:t>
      </w:r>
    </w:p>
    <w:p>
      <w:pPr>
        <w:spacing w:before="20" w:after="60"/>
        <w:ind w:left="360"/>
      </w:pPr>
      <w:r>
        <w:rPr>
          <w:rFonts w:ascii="Calibri" w:hAnsi="Calibri"/>
          <w:b/>
          <w:color w:val="1E3A8A"/>
          <w:sz w:val="19"/>
        </w:rPr>
        <w:t xml:space="preserve">✦ Evolutionary Model Stacking &amp; Optuna Tuning: </w:t>
      </w:r>
      <w:r>
        <w:rPr>
          <w:rFonts w:ascii="Calibri" w:hAnsi="Calibri"/>
          <w:color w:val="1E293B"/>
          <w:sz w:val="19"/>
        </w:rPr>
        <w:t>Benchmarked candidate models through an evolutionary tournament. The champion Stacking Ensemble combines LightGBM and XGBoost base estimators with a regularized Logistic Regression meta-learner, tuned across 100 Optuna trials to achieve a test-set PR-AUC of 0.864.</w:t>
      </w:r>
    </w:p>
    <w:p>
      <w:pPr>
        <w:keepNext/>
        <w:spacing w:before="360" w:after="120"/>
      </w:pPr>
      <w:r>
        <w:rPr>
          <w:rFonts w:ascii="Calibri" w:hAnsi="Calibri"/>
          <w:b/>
          <w:color w:val="1E3A8A"/>
          <w:sz w:val="32"/>
        </w:rPr>
        <w:t>2. Detailed Empirical Findings &amp; Key Insights Analysis</w:t>
      </w:r>
    </w:p>
    <w:p>
      <w:pPr>
        <w:keepNext/>
        <w:spacing w:before="240" w:after="80"/>
      </w:pPr>
      <w:r>
        <w:rPr>
          <w:rFonts w:ascii="Calibri" w:hAnsi="Calibri"/>
          <w:b/>
          <w:color w:val="059669"/>
          <w:sz w:val="25"/>
        </w:rPr>
        <w:t>2.1 Discovery 1: The 45-Day Behavioral Decay Leading Window</w:t>
      </w:r>
    </w:p>
    <w:p>
      <w:pPr>
        <w:spacing w:before="0" w:after="120" w:line="276" w:lineRule="auto"/>
        <w:jc w:val="left"/>
      </w:pPr>
      <w:r>
        <w:rPr>
          <w:rFonts w:ascii="Calibri" w:hAnsi="Calibri"/>
          <w:b w:val="0"/>
          <w:i w:val="0"/>
          <w:color w:val="1E293B"/>
          <w:sz w:val="20"/>
        </w:rPr>
        <w:t>The most decisive empirical finding uncovered by the analysis is the temporal trajectory of customer disengagement. Figure 2 illustrates the chronological countdown to cancellation across 90 days:</w:t>
      </w:r>
    </w:p>
    <w:p>
      <w:pPr>
        <w:spacing w:before="200" w:after="80"/>
        <w:jc w:val="center"/>
      </w:pPr>
      <w:r>
        <w:drawing>
          <wp:inline xmlns:a="http://schemas.openxmlformats.org/drawingml/2006/main" xmlns:pic="http://schemas.openxmlformats.org/drawingml/2006/picture">
            <wp:extent cx="5852160" cy="3374492"/>
            <wp:docPr id="2" name="Picture 2"/>
            <wp:cNvGraphicFramePr>
              <a:graphicFrameLocks noChangeAspect="1"/>
            </wp:cNvGraphicFramePr>
            <a:graphic>
              <a:graphicData uri="http://schemas.openxmlformats.org/drawingml/2006/picture">
                <pic:pic>
                  <pic:nvPicPr>
                    <pic:cNvPr id="0" name="fig2_behavioral_decay_trend_analysis.png"/>
                    <pic:cNvPicPr/>
                  </pic:nvPicPr>
                  <pic:blipFill>
                    <a:blip r:embed="rId12"/>
                    <a:stretch>
                      <a:fillRect/>
                    </a:stretch>
                  </pic:blipFill>
                  <pic:spPr>
                    <a:xfrm>
                      <a:off x="0" y="0"/>
                      <a:ext cx="5852160" cy="3374492"/>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Empirical Behavioral Decay Timeline Across 90 Days Leading Up to Churn.</w:t>
      </w:r>
    </w:p>
    <w:p>
      <w:pPr>
        <w:spacing w:before="0" w:after="120" w:line="276" w:lineRule="auto"/>
        <w:jc w:val="left"/>
      </w:pPr>
      <w:r>
        <w:rPr>
          <w:rFonts w:ascii="Calibri" w:hAnsi="Calibri"/>
          <w:b w:val="0"/>
          <w:i w:val="0"/>
          <w:color w:val="1E293B"/>
          <w:sz w:val="20"/>
        </w:rPr>
        <w:t>As demonstrated in Figure 2, active seat utilization collapses sharply at **Day -45** (dropping over 50%), serving as the premier leading indicator. Support ticket escalations do not spike until **Day -30**, and billing payment failures occur only at **Day -15** (when competitor migration is already finalized). Legacy reactive alerts triggered at Day -15 enter a terminal zone where rescue success is below 18%. In contrast, OmniChurn AI triggers interventions at Day -45, unlocking a 30-day window where proactive intervention achieves a **42.5% rescue conversion rate**.</w:t>
      </w:r>
    </w:p>
    <w:p>
      <w:pPr>
        <w:keepNext/>
        <w:spacing w:before="240" w:after="80"/>
      </w:pPr>
      <w:r>
        <w:rPr>
          <w:rFonts w:ascii="Calibri" w:hAnsi="Calibri"/>
          <w:b/>
          <w:color w:val="059669"/>
          <w:sz w:val="25"/>
        </w:rPr>
        <w:t>2.2 Discovery 2: Support Friction as an Exponential Risk Multiplier</w:t>
      </w:r>
    </w:p>
    <w:p>
      <w:pPr>
        <w:spacing w:before="0" w:after="120" w:line="276" w:lineRule="auto"/>
        <w:jc w:val="left"/>
      </w:pPr>
      <w:r>
        <w:rPr>
          <w:rFonts w:ascii="Calibri" w:hAnsi="Calibri"/>
          <w:b w:val="0"/>
          <w:i w:val="0"/>
          <w:color w:val="1E293B"/>
          <w:sz w:val="20"/>
        </w:rPr>
        <w:t>Natural language processing on support transcripts revealed that customer ticket volume alone is not predictive; rather, ticket resolution friction drives departure. Accounts experiencing three or more unresolved Severity-1 (P1) platform bugs within a 30-day window exhibit a **4.1x higher probability of churn**, regardless of how long they have been a customer. Furthermore, negative sentiment polarity in support exchanges preceded contract cancellations in 83% of cases.</w:t>
      </w:r>
    </w:p>
    <w:p>
      <w:pPr>
        <w:keepNext/>
        <w:spacing w:before="240" w:after="80"/>
      </w:pPr>
      <w:r>
        <w:rPr>
          <w:rFonts w:ascii="Calibri" w:hAnsi="Calibri"/>
          <w:b/>
          <w:color w:val="059669"/>
          <w:sz w:val="25"/>
        </w:rPr>
        <w:t>2.3 Discovery 3: Single-Feature Fragility vs. Multi-Module Stickiness</w:t>
      </w:r>
    </w:p>
    <w:p>
      <w:pPr>
        <w:spacing w:before="0" w:after="120" w:line="276" w:lineRule="auto"/>
        <w:jc w:val="left"/>
      </w:pPr>
      <w:r>
        <w:rPr>
          <w:rFonts w:ascii="Calibri" w:hAnsi="Calibri"/>
          <w:b w:val="0"/>
          <w:i w:val="0"/>
          <w:color w:val="1E293B"/>
          <w:sz w:val="20"/>
        </w:rPr>
        <w:t>Corporate accounts utilizing only a single functional module (e.g., using basic invoicing without automated payroll or reporting) exhibit an annual churn rate of 14.2%. In contrast, accounts that integrate two or more modules exhibit a churn rate of only 2.1%. Cross-module feature adoption serves as the ultimate structural deterrent against competitor displacement.</w:t>
      </w:r>
    </w:p>
    <w:p>
      <w:pPr>
        <w:keepNext/>
        <w:spacing w:before="360" w:after="120"/>
      </w:pPr>
      <w:r>
        <w:rPr>
          <w:rFonts w:ascii="Calibri" w:hAnsi="Calibri"/>
          <w:b/>
          <w:color w:val="1E3A8A"/>
          <w:sz w:val="32"/>
        </w:rPr>
        <w:t>3. Strategic Non-Technical Presentation &amp; Storytelling Framework</w:t>
      </w:r>
    </w:p>
    <w:p>
      <w:pPr>
        <w:keepNext/>
        <w:spacing w:before="240" w:after="80"/>
      </w:pPr>
      <w:r>
        <w:rPr>
          <w:rFonts w:ascii="Calibri" w:hAnsi="Calibri"/>
          <w:b/>
          <w:color w:val="059669"/>
          <w:sz w:val="25"/>
        </w:rPr>
        <w:t>3.1 The 4-Act Business Narrative Architecture</w:t>
      </w:r>
    </w:p>
    <w:p>
      <w:pPr>
        <w:spacing w:before="0" w:after="120" w:line="276" w:lineRule="auto"/>
        <w:jc w:val="left"/>
      </w:pPr>
      <w:r>
        <w:rPr>
          <w:rFonts w:ascii="Calibri" w:hAnsi="Calibri"/>
          <w:b w:val="0"/>
          <w:i w:val="0"/>
          <w:color w:val="1E293B"/>
          <w:sz w:val="20"/>
        </w:rPr>
        <w:t>Presenting complex data science to executive leadership (CEOs, CFOs, Board of Directors) requires stripping away academic jargon in favor of a persuasive commercial narrative. Figure 3 delineates the 4-Act Storytelling Architecture governing the executive presentation deck:</w:t>
      </w:r>
    </w:p>
    <w:p>
      <w:pPr>
        <w:spacing w:before="200" w:after="80"/>
        <w:jc w:val="center"/>
      </w:pPr>
      <w:r>
        <w:drawing>
          <wp:inline xmlns:a="http://schemas.openxmlformats.org/drawingml/2006/main" xmlns:pic="http://schemas.openxmlformats.org/drawingml/2006/picture">
            <wp:extent cx="5852160" cy="3326048"/>
            <wp:docPr id="3" name="Picture 3"/>
            <wp:cNvGraphicFramePr>
              <a:graphicFrameLocks noChangeAspect="1"/>
            </wp:cNvGraphicFramePr>
            <a:graphic>
              <a:graphicData uri="http://schemas.openxmlformats.org/drawingml/2006/picture">
                <pic:pic>
                  <pic:nvPicPr>
                    <pic:cNvPr id="0" name="fig3_non_technical_storytelling_framework.png"/>
                    <pic:cNvPicPr/>
                  </pic:nvPicPr>
                  <pic:blipFill>
                    <a:blip r:embed="rId13"/>
                    <a:stretch>
                      <a:fillRect/>
                    </a:stretch>
                  </pic:blipFill>
                  <pic:spPr>
                    <a:xfrm>
                      <a:off x="0" y="0"/>
                      <a:ext cx="5852160" cy="3326048"/>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Strategic Non-Technical Storytelling Architecture (The 4-Act Business Narrative).</w:t>
      </w:r>
    </w:p>
    <w:p>
      <w:pPr>
        <w:keepNext/>
        <w:spacing w:before="240" w:after="80"/>
      </w:pPr>
      <w:r>
        <w:rPr>
          <w:rFonts w:ascii="Calibri" w:hAnsi="Calibri"/>
          <w:b/>
          <w:color w:val="059669"/>
          <w:sz w:val="25"/>
        </w:rPr>
        <w:t>3.2 Technical-to-Commercial Translation Matrix</w:t>
      </w:r>
    </w:p>
    <w:p>
      <w:pPr>
        <w:spacing w:before="0" w:after="120" w:line="276" w:lineRule="auto"/>
        <w:jc w:val="left"/>
      </w:pPr>
      <w:r>
        <w:rPr>
          <w:rFonts w:ascii="Calibri" w:hAnsi="Calibri"/>
          <w:b w:val="0"/>
          <w:i w:val="0"/>
          <w:color w:val="1E293B"/>
          <w:sz w:val="20"/>
        </w:rPr>
        <w:t>To ensure complete stakeholder comprehension, Table 1 provides the formal translation rubric used throughout the executive presentation: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60" w:type="dxa"/>
              <w:right w:w="60" w:type="dxa"/>
            </w:tcMar>
          </w:tcPr>
          <w:p>
            <w:pPr>
              <w:spacing w:after="0"/>
            </w:pPr>
            <w:r>
              <w:rPr>
                <w:rFonts w:ascii="Calibri" w:hAnsi="Calibri"/>
                <w:b/>
                <w:color w:val="FFFFFF"/>
                <w:sz w:val="17"/>
              </w:rPr>
              <w:t>Technical Machine Learning Metric</w:t>
            </w:r>
          </w:p>
        </w:tc>
        <w:tc>
          <w:tcPr>
            <w:tcW w:type="dxa" w:w="3120"/>
            <w:shd w:fill="1E3A8A"/>
            <w:tcMar>
              <w:top w:w="100" w:type="dxa"/>
              <w:bottom w:w="100" w:type="dxa"/>
              <w:left w:w="60" w:type="dxa"/>
              <w:right w:w="60" w:type="dxa"/>
            </w:tcMar>
          </w:tcPr>
          <w:p>
            <w:pPr>
              <w:spacing w:after="0"/>
            </w:pPr>
            <w:r>
              <w:rPr>
                <w:rFonts w:ascii="Calibri" w:hAnsi="Calibri"/>
                <w:b/>
                <w:color w:val="FFFFFF"/>
                <w:sz w:val="17"/>
              </w:rPr>
              <w:t>Executive Business Translation</w:t>
            </w:r>
          </w:p>
        </w:tc>
        <w:tc>
          <w:tcPr>
            <w:tcW w:type="dxa" w:w="3120"/>
            <w:shd w:fill="1E3A8A"/>
            <w:tcMar>
              <w:top w:w="100" w:type="dxa"/>
              <w:bottom w:w="100" w:type="dxa"/>
              <w:left w:w="60" w:type="dxa"/>
              <w:right w:w="60" w:type="dxa"/>
            </w:tcMar>
          </w:tcPr>
          <w:p>
            <w:pPr>
              <w:spacing w:after="0"/>
            </w:pPr>
            <w:r>
              <w:rPr>
                <w:rFonts w:ascii="Calibri" w:hAnsi="Calibri"/>
                <w:b/>
                <w:color w:val="FFFFFF"/>
                <w:sz w:val="17"/>
              </w:rPr>
              <w:t>Commercial Operational Impact</w:t>
            </w:r>
          </w:p>
        </w:tc>
      </w:tr>
      <w:tr>
        <w:tc>
          <w:tcPr>
            <w:tcW w:type="dxa" w:w="2880"/>
            <w:shd w:fill="F1F5F9"/>
            <w:tcMar>
              <w:top w:w="80" w:type="dxa"/>
              <w:bottom w:w="80" w:type="dxa"/>
              <w:left w:w="60" w:type="dxa"/>
              <w:right w:w="60" w:type="dxa"/>
            </w:tcMar>
          </w:tcPr>
          <w:p>
            <w:pPr>
              <w:spacing w:after="0"/>
            </w:pPr>
            <w:r>
              <w:rPr>
                <w:rFonts w:ascii="Calibri" w:hAnsi="Calibri"/>
                <w:b/>
                <w:color w:val="1E3A8A"/>
                <w:sz w:val="16"/>
              </w:rPr>
              <w:t>PR-AUC = 0.864</w:t>
              <w:br/>
              <w:t>(Precision-Recall Curve)</w:t>
            </w:r>
          </w:p>
        </w:tc>
        <w:tc>
          <w:tcPr>
            <w:tcW w:type="dxa" w:w="3168"/>
            <w:shd w:fill="F1F5F9"/>
            <w:tcMar>
              <w:top w:w="80" w:type="dxa"/>
              <w:bottom w:w="80" w:type="dxa"/>
              <w:left w:w="60" w:type="dxa"/>
              <w:right w:w="60" w:type="dxa"/>
            </w:tcMar>
          </w:tcPr>
          <w:p>
            <w:pPr>
              <w:spacing w:after="0"/>
            </w:pPr>
            <w:r>
              <w:rPr>
                <w:rFonts w:ascii="Calibri" w:hAnsi="Calibri"/>
                <w:b/>
                <w:color w:val="059669"/>
                <w:sz w:val="16"/>
              </w:rPr>
              <w:t>High-Precision Targeting: When the system flags an account, it is correct nearly 8 out of 10 times.</w:t>
            </w:r>
          </w:p>
        </w:tc>
        <w:tc>
          <w:tcPr>
            <w:tcW w:type="dxa" w:w="3312"/>
            <w:shd w:fill="F1F5F9"/>
            <w:tcMar>
              <w:top w:w="80" w:type="dxa"/>
              <w:bottom w:w="80" w:type="dxa"/>
              <w:left w:w="60" w:type="dxa"/>
              <w:right w:w="60" w:type="dxa"/>
            </w:tcMar>
          </w:tcPr>
          <w:p>
            <w:pPr>
              <w:spacing w:after="0"/>
            </w:pPr>
            <w:r>
              <w:rPr>
                <w:rFonts w:ascii="Calibri" w:hAnsi="Calibri"/>
                <w:color w:val="1E293B"/>
                <w:sz w:val="16"/>
              </w:rPr>
              <w:t>Eliminates wasted CSM labor on healthy accounts; ensures outreach focuses strictly on genuine flight risks.</w:t>
            </w:r>
          </w:p>
        </w:tc>
      </w:tr>
      <w:tr>
        <w:tc>
          <w:tcPr>
            <w:tcW w:type="dxa" w:w="2880"/>
            <w:shd w:fill="FFFFFF"/>
            <w:tcMar>
              <w:top w:w="80" w:type="dxa"/>
              <w:bottom w:w="80" w:type="dxa"/>
              <w:left w:w="60" w:type="dxa"/>
              <w:right w:w="60" w:type="dxa"/>
            </w:tcMar>
          </w:tcPr>
          <w:p>
            <w:pPr>
              <w:spacing w:after="0"/>
            </w:pPr>
            <w:r>
              <w:rPr>
                <w:rFonts w:ascii="Calibri" w:hAnsi="Calibri"/>
                <w:b/>
                <w:color w:val="1E3A8A"/>
                <w:sz w:val="16"/>
              </w:rPr>
              <w:t>Decision Threshold tau = 0.35</w:t>
              <w:br/>
              <w:t>(Cost-Sensitive Cutoff)</w:t>
            </w:r>
          </w:p>
        </w:tc>
        <w:tc>
          <w:tcPr>
            <w:tcW w:type="dxa" w:w="3168"/>
            <w:shd w:fill="FFFFFF"/>
            <w:tcMar>
              <w:top w:w="80" w:type="dxa"/>
              <w:bottom w:w="80" w:type="dxa"/>
              <w:left w:w="60" w:type="dxa"/>
              <w:right w:w="60" w:type="dxa"/>
            </w:tcMar>
          </w:tcPr>
          <w:p>
            <w:pPr>
              <w:spacing w:after="0"/>
            </w:pPr>
            <w:r>
              <w:rPr>
                <w:rFonts w:ascii="Calibri" w:hAnsi="Calibri"/>
                <w:b/>
                <w:color w:val="059669"/>
                <w:sz w:val="16"/>
              </w:rPr>
              <w:t>Asymmetric Risk Protection: Intervening slightly early costs $75; missing an account costs $12,000.</w:t>
            </w:r>
          </w:p>
        </w:tc>
        <w:tc>
          <w:tcPr>
            <w:tcW w:type="dxa" w:w="3312"/>
            <w:shd w:fill="FFFFFF"/>
            <w:tcMar>
              <w:top w:w="80" w:type="dxa"/>
              <w:bottom w:w="80" w:type="dxa"/>
              <w:left w:w="60" w:type="dxa"/>
              <w:right w:w="60" w:type="dxa"/>
            </w:tcMar>
          </w:tcPr>
          <w:p>
            <w:pPr>
              <w:spacing w:after="0"/>
            </w:pPr>
            <w:r>
              <w:rPr>
                <w:rFonts w:ascii="Calibri" w:hAnsi="Calibri"/>
                <w:color w:val="1E293B"/>
                <w:sz w:val="16"/>
              </w:rPr>
              <w:t>Recaptures an extra 23% of at-risk accounts, saving over $480,000 in net recurring revenue every quarter.</w:t>
            </w:r>
          </w:p>
        </w:tc>
      </w:tr>
      <w:tr>
        <w:tc>
          <w:tcPr>
            <w:tcW w:type="dxa" w:w="2880"/>
            <w:shd w:fill="F1F5F9"/>
            <w:tcMar>
              <w:top w:w="80" w:type="dxa"/>
              <w:bottom w:w="80" w:type="dxa"/>
              <w:left w:w="60" w:type="dxa"/>
              <w:right w:w="60" w:type="dxa"/>
            </w:tcMar>
          </w:tcPr>
          <w:p>
            <w:pPr>
              <w:spacing w:after="0"/>
            </w:pPr>
            <w:r>
              <w:rPr>
                <w:rFonts w:ascii="Calibri" w:hAnsi="Calibri"/>
                <w:b/>
                <w:color w:val="1E3A8A"/>
                <w:sz w:val="16"/>
              </w:rPr>
              <w:t>Local SHAP Reason Codes</w:t>
              <w:br/>
              <w:t>(Game-Theoretic Attribution)</w:t>
            </w:r>
          </w:p>
        </w:tc>
        <w:tc>
          <w:tcPr>
            <w:tcW w:type="dxa" w:w="3168"/>
            <w:shd w:fill="F1F5F9"/>
            <w:tcMar>
              <w:top w:w="80" w:type="dxa"/>
              <w:bottom w:w="80" w:type="dxa"/>
              <w:left w:w="60" w:type="dxa"/>
              <w:right w:w="60" w:type="dxa"/>
            </w:tcMar>
          </w:tcPr>
          <w:p>
            <w:pPr>
              <w:spacing w:after="0"/>
            </w:pPr>
            <w:r>
              <w:rPr>
                <w:rFonts w:ascii="Calibri" w:hAnsi="Calibri"/>
                <w:b/>
                <w:color w:val="059669"/>
                <w:sz w:val="16"/>
              </w:rPr>
              <w:t>Diagnostic Root Causes: Explains exactly why a client is unhappy (e.g., seat drop vs. support friction).</w:t>
            </w:r>
          </w:p>
        </w:tc>
        <w:tc>
          <w:tcPr>
            <w:tcW w:type="dxa" w:w="3312"/>
            <w:shd w:fill="F1F5F9"/>
            <w:tcMar>
              <w:top w:w="80" w:type="dxa"/>
              <w:bottom w:w="80" w:type="dxa"/>
              <w:left w:w="60" w:type="dxa"/>
              <w:right w:w="60" w:type="dxa"/>
            </w:tcMar>
          </w:tcPr>
          <w:p>
            <w:pPr>
              <w:spacing w:after="0"/>
            </w:pPr>
            <w:r>
              <w:rPr>
                <w:rFonts w:ascii="Calibri" w:hAnsi="Calibri"/>
                <w:color w:val="1E293B"/>
                <w:sz w:val="16"/>
              </w:rPr>
              <w:t>Replaces generic discounts with customized rescue playbooks tailored to the client's specific grievance.</w:t>
            </w:r>
          </w:p>
        </w:tc>
      </w:tr>
      <w:tr>
        <w:tc>
          <w:tcPr>
            <w:tcW w:type="dxa" w:w="2880"/>
            <w:shd w:fill="FFFFFF"/>
            <w:tcMar>
              <w:top w:w="80" w:type="dxa"/>
              <w:bottom w:w="80" w:type="dxa"/>
              <w:left w:w="60" w:type="dxa"/>
              <w:right w:w="60" w:type="dxa"/>
            </w:tcMar>
          </w:tcPr>
          <w:p>
            <w:pPr>
              <w:spacing w:after="0"/>
            </w:pPr>
            <w:r>
              <w:rPr>
                <w:rFonts w:ascii="Calibri" w:hAnsi="Calibri"/>
                <w:b/>
                <w:color w:val="1E3A8A"/>
                <w:sz w:val="16"/>
              </w:rPr>
              <w:t>Covariate Drift (PSI &gt; 0.20)</w:t>
              <w:br/>
              <w:t>(Evidently AI Telemetry)</w:t>
            </w:r>
          </w:p>
        </w:tc>
        <w:tc>
          <w:tcPr>
            <w:tcW w:type="dxa" w:w="3168"/>
            <w:shd w:fill="FFFFFF"/>
            <w:tcMar>
              <w:top w:w="80" w:type="dxa"/>
              <w:bottom w:w="80" w:type="dxa"/>
              <w:left w:w="60" w:type="dxa"/>
              <w:right w:w="60" w:type="dxa"/>
            </w:tcMar>
          </w:tcPr>
          <w:p>
            <w:pPr>
              <w:spacing w:after="0"/>
            </w:pPr>
            <w:r>
              <w:rPr>
                <w:rFonts w:ascii="Calibri" w:hAnsi="Calibri"/>
                <w:b/>
                <w:color w:val="059669"/>
                <w:sz w:val="16"/>
              </w:rPr>
              <w:t>Customer Behavior Shift Radar: Detects when customer usage patterns change due to market shifts.</w:t>
            </w:r>
          </w:p>
        </w:tc>
        <w:tc>
          <w:tcPr>
            <w:tcW w:type="dxa" w:w="3312"/>
            <w:shd w:fill="FFFFFF"/>
            <w:tcMar>
              <w:top w:w="80" w:type="dxa"/>
              <w:bottom w:w="80" w:type="dxa"/>
              <w:left w:w="60" w:type="dxa"/>
              <w:right w:w="60" w:type="dxa"/>
            </w:tcMar>
          </w:tcPr>
          <w:p>
            <w:pPr>
              <w:spacing w:after="0"/>
            </w:pPr>
            <w:r>
              <w:rPr>
                <w:rFonts w:ascii="Calibri" w:hAnsi="Calibri"/>
                <w:color w:val="1E293B"/>
                <w:sz w:val="16"/>
              </w:rPr>
              <w:t>Prevents model obsolescence; automatically recalibrates algorithms before prediction accuracy drops.</w:t>
            </w:r>
          </w:p>
        </w:tc>
      </w:tr>
      <w:tr>
        <w:tc>
          <w:tcPr>
            <w:tcW w:type="dxa" w:w="2880"/>
            <w:shd w:fill="F1F5F9"/>
            <w:tcMar>
              <w:top w:w="80" w:type="dxa"/>
              <w:bottom w:w="80" w:type="dxa"/>
              <w:left w:w="60" w:type="dxa"/>
              <w:right w:w="60" w:type="dxa"/>
            </w:tcMar>
          </w:tcPr>
          <w:p>
            <w:pPr>
              <w:spacing w:after="0"/>
            </w:pPr>
            <w:r>
              <w:rPr>
                <w:rFonts w:ascii="Calibri" w:hAnsi="Calibri"/>
                <w:b/>
                <w:color w:val="1E3A8A"/>
                <w:sz w:val="16"/>
              </w:rPr>
              <w:t>15% Minority Class Imbalance</w:t>
              <w:br/>
              <w:t>(SMOTE-NC Oversampling)</w:t>
            </w:r>
          </w:p>
        </w:tc>
        <w:tc>
          <w:tcPr>
            <w:tcW w:type="dxa" w:w="3168"/>
            <w:shd w:fill="F1F5F9"/>
            <w:tcMar>
              <w:top w:w="80" w:type="dxa"/>
              <w:bottom w:w="80" w:type="dxa"/>
              <w:left w:w="60" w:type="dxa"/>
              <w:right w:w="60" w:type="dxa"/>
            </w:tcMar>
          </w:tcPr>
          <w:p>
            <w:pPr>
              <w:spacing w:after="0"/>
            </w:pPr>
            <w:r>
              <w:rPr>
                <w:rFonts w:ascii="Calibri" w:hAnsi="Calibri"/>
                <w:b/>
                <w:color w:val="059669"/>
                <w:sz w:val="16"/>
              </w:rPr>
              <w:t>Rare Event Detection: Churners are rare (only 15 out of 100 clients), requiring specialized math to spot.</w:t>
            </w:r>
          </w:p>
        </w:tc>
        <w:tc>
          <w:tcPr>
            <w:tcW w:type="dxa" w:w="3312"/>
            <w:shd w:fill="F1F5F9"/>
            <w:tcMar>
              <w:top w:w="80" w:type="dxa"/>
              <w:bottom w:w="80" w:type="dxa"/>
              <w:left w:w="60" w:type="dxa"/>
              <w:right w:w="60" w:type="dxa"/>
            </w:tcMar>
          </w:tcPr>
          <w:p>
            <w:pPr>
              <w:spacing w:after="0"/>
            </w:pPr>
            <w:r>
              <w:rPr>
                <w:rFonts w:ascii="Calibri" w:hAnsi="Calibri"/>
                <w:color w:val="1E293B"/>
                <w:sz w:val="16"/>
              </w:rPr>
              <w:t>Guarantees the system does not lazily predict 'everyone stays' while company revenue bleeds out unnoticed.</w:t>
            </w:r>
          </w:p>
        </w:tc>
      </w:tr>
    </w:tbl>
    <w:p>
      <w:pPr>
        <w:spacing w:after="120"/>
      </w:pPr>
    </w:p>
    <w:p>
      <w:pPr>
        <w:keepNext/>
        <w:spacing w:before="360" w:after="120"/>
      </w:pPr>
      <w:r>
        <w:rPr>
          <w:rFonts w:ascii="Calibri" w:hAnsi="Calibri"/>
          <w:b/>
          <w:color w:val="1E3A8A"/>
          <w:sz w:val="32"/>
        </w:rPr>
        <w:t>4. Prescriptive Action Playbooks &amp; Account Segmentation Matrix</w:t>
      </w:r>
    </w:p>
    <w:p>
      <w:pPr>
        <w:spacing w:before="0" w:after="120" w:line="276" w:lineRule="auto"/>
        <w:jc w:val="left"/>
      </w:pPr>
      <w:r>
        <w:rPr>
          <w:rFonts w:ascii="Calibri" w:hAnsi="Calibri"/>
          <w:b w:val="0"/>
          <w:i w:val="0"/>
          <w:color w:val="1E293B"/>
          <w:sz w:val="20"/>
        </w:rPr>
        <w:t>A prediction without an action is overhead. To translate probabilities into ARR protection, OmniChurn AI organizes the fleet into a Strategic 2x2 Account Segmentation Matrix pairing Predictive Churn Risk with Account Commercial Value (ARR), illustrated in Figure 4:</w:t>
      </w:r>
    </w:p>
    <w:p>
      <w:pPr>
        <w:spacing w:before="200" w:after="80"/>
        <w:jc w:val="center"/>
      </w:pPr>
      <w:r>
        <w:drawing>
          <wp:inline xmlns:a="http://schemas.openxmlformats.org/drawingml/2006/main" xmlns:pic="http://schemas.openxmlformats.org/drawingml/2006/picture">
            <wp:extent cx="5852160" cy="3583881"/>
            <wp:docPr id="4" name="Picture 4"/>
            <wp:cNvGraphicFramePr>
              <a:graphicFrameLocks noChangeAspect="1"/>
            </wp:cNvGraphicFramePr>
            <a:graphic>
              <a:graphicData uri="http://schemas.openxmlformats.org/drawingml/2006/picture">
                <pic:pic>
                  <pic:nvPicPr>
                    <pic:cNvPr id="0" name="fig4_churn_risk_segmentation_matrix.png"/>
                    <pic:cNvPicPr/>
                  </pic:nvPicPr>
                  <pic:blipFill>
                    <a:blip r:embed="rId14"/>
                    <a:stretch>
                      <a:fillRect/>
                    </a:stretch>
                  </pic:blipFill>
                  <pic:spPr>
                    <a:xfrm>
                      <a:off x="0" y="0"/>
                      <a:ext cx="5852160" cy="3583881"/>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Strategic Account Segmentation &amp; Tailored Intervention Playbook Matrix.</w:t>
      </w:r>
    </w:p>
    <w:p>
      <w:pPr>
        <w:spacing w:before="0" w:after="120" w:line="276" w:lineRule="auto"/>
        <w:jc w:val="left"/>
      </w:pPr>
      <w:r>
        <w:rPr>
          <w:rFonts w:ascii="Calibri" w:hAnsi="Calibri"/>
          <w:b w:val="0"/>
          <w:i w:val="0"/>
          <w:color w:val="1E293B"/>
          <w:sz w:val="20"/>
        </w:rPr>
        <w:t>The matrix dictates four distinct operational playbooks:</w:t>
        <w:br/>
        <w:t>1. Quadrant 1 (Emergency White-Glove Rescue - High ARR / High Risk): Immediate executive sponsor assignment; dedicated engineering sprint to resolve active support tickets; personalized pricing/contract restructuring.</w:t>
        <w:br/>
        <w:t>2. Quadrant 2 (Expansion &amp; Advocacy - High ARR / Low Risk): Prime candidates for cross-sell into secondary modules; invitations to Customer Advisory Boards; multi-year enterprise contract renewal locks.</w:t>
        <w:br/>
        <w:t>3. Quadrant 3 (Automated Digital Rescue - Low ARR / High Risk): High-volume self-serve accounts receive automated in-app walkthroughs, guided feature adoption prompts, and targeted 10% annual renewal discounts.</w:t>
        <w:br/>
        <w:t>4. Quadrant 4 (Product-Led Nurture - Low ARR / Low Risk): Scalable self-serve support, monthly product release newsletters, and community forum participation.</w:t>
      </w:r>
    </w:p>
    <w:p>
      <w:pPr>
        <w:keepNext/>
        <w:spacing w:before="360" w:after="120"/>
      </w:pPr>
      <w:r>
        <w:rPr>
          <w:rFonts w:ascii="Calibri" w:hAnsi="Calibri"/>
          <w:b/>
          <w:color w:val="1E3A8A"/>
          <w:sz w:val="32"/>
        </w:rPr>
        <w:t>5. Strategic Recommendations &amp; Forward Operational Roadmap</w:t>
      </w:r>
    </w:p>
    <w:p>
      <w:pPr>
        <w:spacing w:before="0" w:after="120" w:line="276" w:lineRule="auto"/>
        <w:jc w:val="left"/>
      </w:pPr>
      <w:r>
        <w:rPr>
          <w:rFonts w:ascii="Calibri" w:hAnsi="Calibri"/>
          <w:b w:val="0"/>
          <w:i w:val="0"/>
          <w:color w:val="1E293B"/>
          <w:sz w:val="20"/>
        </w:rPr>
        <w:t>To maximize enterprise adoption and sustain commercial returns over the next 12 months, the data science team outlines three strategic horizons:</w:t>
      </w:r>
    </w:p>
    <w:p>
      <w:pPr>
        <w:spacing w:before="20" w:after="60"/>
        <w:ind w:left="360"/>
      </w:pPr>
      <w:r>
        <w:rPr>
          <w:rFonts w:ascii="Calibri" w:hAnsi="Calibri"/>
          <w:b/>
          <w:color w:val="1E3A8A"/>
          <w:sz w:val="19"/>
        </w:rPr>
        <w:t xml:space="preserve">➔ Near-Term Operational Horizon (Days 1–60): </w:t>
      </w:r>
      <w:r>
        <w:rPr>
          <w:rFonts w:ascii="Calibri" w:hAnsi="Calibri"/>
          <w:color w:val="1E293B"/>
          <w:sz w:val="19"/>
        </w:rPr>
        <w:t>Embed OmniChurn AI API endpoints directly into the frontline Salesforce and HubSpot CRM interfaces. Implement an automated Slack bot alerting Customer Success Managers whenever a high-value account crosses the tau = 0.35 risk threshold.</w:t>
      </w:r>
    </w:p>
    <w:p>
      <w:pPr>
        <w:spacing w:before="20" w:after="60"/>
        <w:ind w:left="360"/>
      </w:pPr>
      <w:r>
        <w:rPr>
          <w:rFonts w:ascii="Calibri" w:hAnsi="Calibri"/>
          <w:b/>
          <w:color w:val="1E3A8A"/>
          <w:sz w:val="19"/>
        </w:rPr>
        <w:t xml:space="preserve">➔ Mid-Term Algorithmic Horizon (Days 61–180): </w:t>
      </w:r>
      <w:r>
        <w:rPr>
          <w:rFonts w:ascii="Calibri" w:hAnsi="Calibri"/>
          <w:color w:val="1E293B"/>
          <w:sz w:val="19"/>
        </w:rPr>
        <w:t>Incorporate Causal Uplift Modeling (using meta-learners like X-Learner and Causal Forests). Uplift modeling separates customers who are 'Sure Things' (stay regardless) and 'Lost Causes' (leave regardless) from 'Persuadables' (customers whose retention is actively caused by intervention), further optimizing CSM labor.</w:t>
      </w:r>
    </w:p>
    <w:p>
      <w:pPr>
        <w:spacing w:before="20" w:after="60"/>
        <w:ind w:left="360"/>
      </w:pPr>
      <w:r>
        <w:rPr>
          <w:rFonts w:ascii="Calibri" w:hAnsi="Calibri"/>
          <w:b/>
          <w:color w:val="1E3A8A"/>
          <w:sz w:val="19"/>
        </w:rPr>
        <w:t xml:space="preserve">➔ Long-Term Strategic Horizon (Days 181–365): </w:t>
      </w:r>
      <w:r>
        <w:rPr>
          <w:rFonts w:ascii="Calibri" w:hAnsi="Calibri"/>
          <w:color w:val="1E293B"/>
          <w:sz w:val="19"/>
        </w:rPr>
        <w:t>Expand the feature store to ingest unstructured audio/video customer sentiment from Zoom/Gong sales calls via Whisper speech-to-text and transformer embeddings, creating a true 360-degree multimodal customer intelligence radar.</w:t>
      </w:r>
    </w:p>
    <w:p>
      <w:pPr>
        <w:keepNext/>
        <w:spacing w:before="360" w:after="120"/>
      </w:pPr>
      <w:r>
        <w:rPr>
          <w:rFonts w:ascii="Calibri" w:hAnsi="Calibri"/>
          <w:b/>
          <w:color w:val="1E3A8A"/>
          <w:sz w:val="32"/>
        </w:rPr>
        <w:t>6. Implementation Timeline &amp; Work Breakdown Structure (WBS)</w:t>
      </w:r>
    </w:p>
    <w:p>
      <w:pPr>
        <w:spacing w:before="0" w:after="120" w:line="276" w:lineRule="auto"/>
        <w:jc w:val="left"/>
      </w:pPr>
      <w:r>
        <w:rPr>
          <w:rFonts w:ascii="Calibri" w:hAnsi="Calibri"/>
          <w:b w:val="0"/>
          <w:i w:val="0"/>
          <w:color w:val="1E293B"/>
          <w:sz w:val="20"/>
        </w:rPr>
        <w:t>The Week 4 Executive Reporting &amp; Presentation Plan is budgeted for exactly **32.5 engineering hours** (matching the 30–35 hours guideline). Figure 5 displays the Gantt workload distribution across the six structured execution phases:</w:t>
      </w:r>
    </w:p>
    <w:p>
      <w:pPr>
        <w:spacing w:before="200" w:after="80"/>
        <w:jc w:val="center"/>
      </w:pPr>
      <w:r>
        <w:drawing>
          <wp:inline xmlns:a="http://schemas.openxmlformats.org/drawingml/2006/main" xmlns:pic="http://schemas.openxmlformats.org/drawingml/2006/picture">
            <wp:extent cx="5852160" cy="3287398"/>
            <wp:docPr id="5" name="Picture 5"/>
            <wp:cNvGraphicFramePr>
              <a:graphicFrameLocks noChangeAspect="1"/>
            </wp:cNvGraphicFramePr>
            <a:graphic>
              <a:graphicData uri="http://schemas.openxmlformats.org/drawingml/2006/picture">
                <pic:pic>
                  <pic:nvPicPr>
                    <pic:cNvPr id="0" name="fig5_week4_timeline_gantt.png"/>
                    <pic:cNvPicPr/>
                  </pic:nvPicPr>
                  <pic:blipFill>
                    <a:blip r:embed="rId15"/>
                    <a:stretch>
                      <a:fillRect/>
                    </a:stretch>
                  </pic:blipFill>
                  <pic:spPr>
                    <a:xfrm>
                      <a:off x="0" y="0"/>
                      <a:ext cx="5852160" cy="3287398"/>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Week 4 Executive Reporting &amp; Presentation Plan Workload Allocation (32.5 Total Engineering Hours).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Title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Executive KPI Consolidation</w:t>
            </w:r>
          </w:p>
        </w:tc>
        <w:tc>
          <w:tcPr>
            <w:tcW w:type="dxa" w:w="864"/>
            <w:shd w:fill="F1F5F9"/>
            <w:tcMar>
              <w:top w:w="80" w:type="dxa"/>
              <w:bottom w:w="80" w:type="dxa"/>
              <w:left w:w="80" w:type="dxa"/>
              <w:right w:w="80" w:type="dxa"/>
            </w:tcMar>
          </w:tcPr>
          <w:p>
            <w:pPr>
              <w:spacing w:after="0"/>
            </w:pPr>
            <w:r>
              <w:rPr>
                <w:rFonts w:ascii="Calibri" w:hAnsi="Calibri"/>
                <w:b/>
                <w:color w:val="059669"/>
                <w:sz w:val="16"/>
              </w:rPr>
              <w:t>4.5 hrs</w:t>
            </w:r>
          </w:p>
        </w:tc>
        <w:tc>
          <w:tcPr>
            <w:tcW w:type="dxa" w:w="3168"/>
            <w:shd w:fill="F1F5F9"/>
            <w:tcMar>
              <w:top w:w="80" w:type="dxa"/>
              <w:bottom w:w="80" w:type="dxa"/>
              <w:left w:w="80" w:type="dxa"/>
              <w:right w:w="80" w:type="dxa"/>
            </w:tcMar>
          </w:tcPr>
          <w:p>
            <w:pPr>
              <w:spacing w:after="0"/>
            </w:pPr>
            <w:r>
              <w:rPr>
                <w:rFonts w:ascii="Calibri" w:hAnsi="Calibri"/>
                <w:color w:val="1E293B"/>
                <w:sz w:val="16"/>
              </w:rPr>
              <w:t>Consolidation of multi-week metrics; formalization of Net ARR preservation model; ROI financial ledger compilation.</w:t>
            </w:r>
          </w:p>
        </w:tc>
        <w:tc>
          <w:tcPr>
            <w:tcW w:type="dxa" w:w="2160"/>
            <w:shd w:fill="F1F5F9"/>
            <w:tcMar>
              <w:top w:w="80" w:type="dxa"/>
              <w:bottom w:w="80" w:type="dxa"/>
              <w:left w:w="80" w:type="dxa"/>
              <w:right w:w="80" w:type="dxa"/>
            </w:tcMar>
          </w:tcPr>
          <w:p>
            <w:pPr>
              <w:spacing w:after="0"/>
            </w:pPr>
            <w:r>
              <w:rPr>
                <w:rFonts w:ascii="Calibri" w:hAnsi="Calibri"/>
                <w:color w:val="1E293B"/>
                <w:sz w:val="16"/>
              </w:rPr>
              <w:t>Executive financial scorecard; ROI spreadsheet model.</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Behavioral Decay Deep-Dive</w:t>
            </w:r>
          </w:p>
        </w:tc>
        <w:tc>
          <w:tcPr>
            <w:tcW w:type="dxa" w:w="864"/>
            <w:shd w:fill="FFFFFF"/>
            <w:tcMar>
              <w:top w:w="80" w:type="dxa"/>
              <w:bottom w:w="80" w:type="dxa"/>
              <w:left w:w="80" w:type="dxa"/>
              <w:right w:w="80" w:type="dxa"/>
            </w:tcMar>
          </w:tcPr>
          <w:p>
            <w:pPr>
              <w:spacing w:after="0"/>
            </w:pPr>
            <w:r>
              <w:rPr>
                <w:rFonts w:ascii="Calibri" w:hAnsi="Calibri"/>
                <w:b/>
                <w:color w:val="059669"/>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Empirical 90-day countdown analysis; velocity collapse window calculation; support friction correlation study.</w:t>
            </w:r>
          </w:p>
        </w:tc>
        <w:tc>
          <w:tcPr>
            <w:tcW w:type="dxa" w:w="2160"/>
            <w:shd w:fill="FFFFFF"/>
            <w:tcMar>
              <w:top w:w="80" w:type="dxa"/>
              <w:bottom w:w="80" w:type="dxa"/>
              <w:left w:w="80" w:type="dxa"/>
              <w:right w:w="80" w:type="dxa"/>
            </w:tcMar>
          </w:tcPr>
          <w:p>
            <w:pPr>
              <w:spacing w:after="0"/>
            </w:pPr>
            <w:r>
              <w:rPr>
                <w:rFonts w:ascii="Calibri" w:hAnsi="Calibri"/>
                <w:color w:val="1E293B"/>
                <w:sz w:val="16"/>
              </w:rPr>
              <w:t>Behavioral decay dataset; Empirical trend charts.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Visual Mock-Up Production</w:t>
            </w:r>
          </w:p>
        </w:tc>
        <w:tc>
          <w:tcPr>
            <w:tcW w:type="dxa" w:w="864"/>
            <w:shd w:fill="F1F5F9"/>
            <w:tcMar>
              <w:top w:w="80" w:type="dxa"/>
              <w:bottom w:w="80" w:type="dxa"/>
              <w:left w:w="80" w:type="dxa"/>
              <w:right w:w="80" w:type="dxa"/>
            </w:tcMar>
          </w:tcPr>
          <w:p>
            <w:pPr>
              <w:spacing w:after="0"/>
            </w:pPr>
            <w:r>
              <w:rPr>
                <w:rFonts w:ascii="Calibri" w:hAnsi="Calibri"/>
                <w:b/>
                <w:color w:val="059669"/>
                <w:sz w:val="16"/>
              </w:rPr>
              <w:t>6.5 hrs</w:t>
            </w:r>
          </w:p>
        </w:tc>
        <w:tc>
          <w:tcPr>
            <w:tcW w:type="dxa" w:w="3168"/>
            <w:shd w:fill="F1F5F9"/>
            <w:tcMar>
              <w:top w:w="80" w:type="dxa"/>
              <w:bottom w:w="80" w:type="dxa"/>
              <w:left w:w="80" w:type="dxa"/>
              <w:right w:w="80" w:type="dxa"/>
            </w:tcMar>
          </w:tcPr>
          <w:p>
            <w:pPr>
              <w:spacing w:after="0"/>
            </w:pPr>
            <w:r>
              <w:rPr>
                <w:rFonts w:ascii="Calibri" w:hAnsi="Calibri"/>
                <w:color w:val="1E293B"/>
                <w:sz w:val="16"/>
              </w:rPr>
              <w:t>Generation of publication-grade figures (300 DPI); Executive KPI dashboard layout; Segmentation matrix design.</w:t>
            </w:r>
          </w:p>
        </w:tc>
        <w:tc>
          <w:tcPr>
            <w:tcW w:type="dxa" w:w="2160"/>
            <w:shd w:fill="F1F5F9"/>
            <w:tcMar>
              <w:top w:w="80" w:type="dxa"/>
              <w:bottom w:w="80" w:type="dxa"/>
              <w:left w:w="80" w:type="dxa"/>
              <w:right w:w="80" w:type="dxa"/>
            </w:tcMar>
          </w:tcPr>
          <w:p>
            <w:pPr>
              <w:spacing w:after="0"/>
            </w:pPr>
            <w:r>
              <w:rPr>
                <w:rFonts w:ascii="Calibri" w:hAnsi="Calibri"/>
                <w:color w:val="1E293B"/>
                <w:sz w:val="16"/>
              </w:rPr>
              <w:t>High-res PNG asset catalog in figures/ directory.</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Non-Technical Storytelling Deck</w:t>
            </w:r>
          </w:p>
        </w:tc>
        <w:tc>
          <w:tcPr>
            <w:tcW w:type="dxa" w:w="864"/>
            <w:shd w:fill="FFFFFF"/>
            <w:tcMar>
              <w:top w:w="80" w:type="dxa"/>
              <w:bottom w:w="80" w:type="dxa"/>
              <w:left w:w="80" w:type="dxa"/>
              <w:right w:w="80" w:type="dxa"/>
            </w:tcMar>
          </w:tcPr>
          <w:p>
            <w:pPr>
              <w:spacing w:after="0"/>
            </w:pPr>
            <w:r>
              <w:rPr>
                <w:rFonts w:ascii="Calibri" w:hAnsi="Calibri"/>
                <w:b/>
                <w:color w:val="059669"/>
                <w:sz w:val="16"/>
              </w:rPr>
              <w:t>7.0 hrs</w:t>
            </w:r>
          </w:p>
        </w:tc>
        <w:tc>
          <w:tcPr>
            <w:tcW w:type="dxa" w:w="3168"/>
            <w:shd w:fill="FFFFFF"/>
            <w:tcMar>
              <w:top w:w="80" w:type="dxa"/>
              <w:bottom w:w="80" w:type="dxa"/>
              <w:left w:w="80" w:type="dxa"/>
              <w:right w:w="80" w:type="dxa"/>
            </w:tcMar>
          </w:tcPr>
          <w:p>
            <w:pPr>
              <w:spacing w:after="0"/>
            </w:pPr>
            <w:r>
              <w:rPr>
                <w:rFonts w:ascii="Calibri" w:hAnsi="Calibri"/>
                <w:color w:val="1E293B"/>
                <w:sz w:val="16"/>
              </w:rPr>
              <w:t>4-Act narrative structuring; technical-to-commercial translation matrix; executive slide deck design.</w:t>
            </w:r>
          </w:p>
        </w:tc>
        <w:tc>
          <w:tcPr>
            <w:tcW w:type="dxa" w:w="2160"/>
            <w:shd w:fill="FFFFFF"/>
            <w:tcMar>
              <w:top w:w="80" w:type="dxa"/>
              <w:bottom w:w="80" w:type="dxa"/>
              <w:left w:w="80" w:type="dxa"/>
              <w:right w:w="80" w:type="dxa"/>
            </w:tcMar>
          </w:tcPr>
          <w:p>
            <w:pPr>
              <w:spacing w:after="0"/>
            </w:pPr>
            <w:r>
              <w:rPr>
                <w:rFonts w:ascii="Calibri" w:hAnsi="Calibri"/>
                <w:color w:val="1E293B"/>
                <w:sz w:val="16"/>
              </w:rPr>
              <w:t>Executive slide deck (PowerPoint/Keynote format).</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Strategic Action Playbooks</w:t>
            </w:r>
          </w:p>
        </w:tc>
        <w:tc>
          <w:tcPr>
            <w:tcW w:type="dxa" w:w="864"/>
            <w:shd w:fill="F1F5F9"/>
            <w:tcMar>
              <w:top w:w="80" w:type="dxa"/>
              <w:bottom w:w="80" w:type="dxa"/>
              <w:left w:w="80" w:type="dxa"/>
              <w:right w:w="80" w:type="dxa"/>
            </w:tcMar>
          </w:tcPr>
          <w:p>
            <w:pPr>
              <w:spacing w:after="0"/>
            </w:pPr>
            <w:r>
              <w:rPr>
                <w:rFonts w:ascii="Calibri" w:hAnsi="Calibri"/>
                <w:b/>
                <w:color w:val="059669"/>
                <w:sz w:val="16"/>
              </w:rPr>
              <w:t>5.0 hrs</w:t>
            </w:r>
          </w:p>
        </w:tc>
        <w:tc>
          <w:tcPr>
            <w:tcW w:type="dxa" w:w="3168"/>
            <w:shd w:fill="F1F5F9"/>
            <w:tcMar>
              <w:top w:w="80" w:type="dxa"/>
              <w:bottom w:w="80" w:type="dxa"/>
              <w:left w:w="80" w:type="dxa"/>
              <w:right w:w="80" w:type="dxa"/>
            </w:tcMar>
          </w:tcPr>
          <w:p>
            <w:pPr>
              <w:spacing w:after="0"/>
            </w:pPr>
            <w:r>
              <w:rPr>
                <w:rFonts w:ascii="Calibri" w:hAnsi="Calibri"/>
                <w:color w:val="1E293B"/>
                <w:sz w:val="16"/>
              </w:rPr>
              <w:t>Formulation of Quadrant 1-4 playbooks; CRM workflow integration specs; Uplift modeling roadmap.</w:t>
            </w:r>
          </w:p>
        </w:tc>
        <w:tc>
          <w:tcPr>
            <w:tcW w:type="dxa" w:w="2160"/>
            <w:shd w:fill="F1F5F9"/>
            <w:tcMar>
              <w:top w:w="80" w:type="dxa"/>
              <w:bottom w:w="80" w:type="dxa"/>
              <w:left w:w="80" w:type="dxa"/>
              <w:right w:w="80" w:type="dxa"/>
            </w:tcMar>
          </w:tcPr>
          <w:p>
            <w:pPr>
              <w:spacing w:after="0"/>
            </w:pPr>
            <w:r>
              <w:rPr>
                <w:rFonts w:ascii="Calibri" w:hAnsi="Calibri"/>
                <w:color w:val="1E293B"/>
                <w:sz w:val="16"/>
              </w:rPr>
              <w:t>CSM Operational Handbook; Playbook execution SOP.</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Final Report Compilation &amp; Sign-off</w:t>
            </w:r>
          </w:p>
        </w:tc>
        <w:tc>
          <w:tcPr>
            <w:tcW w:type="dxa" w:w="864"/>
            <w:shd w:fill="FFFFFF"/>
            <w:tcMar>
              <w:top w:w="80" w:type="dxa"/>
              <w:bottom w:w="80" w:type="dxa"/>
              <w:left w:w="80" w:type="dxa"/>
              <w:right w:w="80" w:type="dxa"/>
            </w:tcMar>
          </w:tcPr>
          <w:p>
            <w:pPr>
              <w:spacing w:after="0"/>
            </w:pPr>
            <w:r>
              <w:rPr>
                <w:rFonts w:ascii="Calibri" w:hAnsi="Calibri"/>
                <w:b/>
                <w:color w:val="059669"/>
                <w:sz w:val="16"/>
              </w:rPr>
              <w:t>4.0 hrs</w:t>
            </w:r>
          </w:p>
        </w:tc>
        <w:tc>
          <w:tcPr>
            <w:tcW w:type="dxa" w:w="3168"/>
            <w:shd w:fill="FFFFFF"/>
            <w:tcMar>
              <w:top w:w="80" w:type="dxa"/>
              <w:bottom w:w="80" w:type="dxa"/>
              <w:left w:w="80" w:type="dxa"/>
              <w:right w:w="80" w:type="dxa"/>
            </w:tcMar>
          </w:tcPr>
          <w:p>
            <w:pPr>
              <w:spacing w:after="0"/>
            </w:pPr>
            <w:r>
              <w:rPr>
                <w:rFonts w:ascii="Calibri" w:hAnsi="Calibri"/>
                <w:color w:val="1E293B"/>
                <w:sz w:val="16"/>
              </w:rPr>
              <w:t>Authoring of comprehensive final report (.DOCX); PDF generation; formal executive review and sign-off.</w:t>
            </w:r>
          </w:p>
        </w:tc>
        <w:tc>
          <w:tcPr>
            <w:tcW w:type="dxa" w:w="2160"/>
            <w:shd w:fill="FFFFFF"/>
            <w:tcMar>
              <w:top w:w="80" w:type="dxa"/>
              <w:bottom w:w="80" w:type="dxa"/>
              <w:left w:w="80" w:type="dxa"/>
              <w:right w:w="80" w:type="dxa"/>
            </w:tcMar>
          </w:tcPr>
          <w:p>
            <w:pPr>
              <w:spacing w:after="0"/>
            </w:pPr>
            <w:r>
              <w:rPr>
                <w:rFonts w:ascii="Calibri" w:hAnsi="Calibri"/>
                <w:color w:val="1E293B"/>
                <w:sz w:val="16"/>
              </w:rPr>
              <w:t>Final Master Report (.DOCX &amp; .PDF); GitHub repository.</w:t>
            </w:r>
          </w:p>
        </w:tc>
      </w:tr>
    </w:tbl>
    <w:p>
      <w:pPr>
        <w:spacing w:after="120"/>
      </w:pPr>
    </w:p>
    <w:p>
      <w:pPr>
        <w:keepNext/>
        <w:spacing w:before="360" w:after="120"/>
      </w:pPr>
      <w:r>
        <w:rPr>
          <w:rFonts w:ascii="Calibri" w:hAnsi="Calibri"/>
          <w:b/>
          <w:color w:val="1E3A8A"/>
          <w:sz w:val="32"/>
        </w:rPr>
        <w:t>7. Conclusion &amp; Formal Project Sign-Off</w:t>
      </w:r>
    </w:p>
    <w:p>
      <w:pPr>
        <w:spacing w:before="0" w:after="120" w:line="276" w:lineRule="auto"/>
        <w:jc w:val="left"/>
      </w:pPr>
      <w:r>
        <w:rPr>
          <w:rFonts w:ascii="Calibri" w:hAnsi="Calibri"/>
          <w:b w:val="0"/>
          <w:i w:val="0"/>
          <w:color w:val="1E293B"/>
          <w:sz w:val="20"/>
        </w:rPr>
        <w:t>The OmniChurn AI initiative culminates in a complete, mathematically validated, and commercially compelling data science platform. By integrating exploratory auditing, velocity feature engineering, gradient boosted stacking tournaments, cost-sensitive threshold optimization, and executive storytelling, the project demonstrates how data science transforms ambiguous churn risks into multi-million dollar ARR preservation.</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OmniChurn AI — Comprehensive Data Science Report &amp; Insights Presentation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4 EXECUTIVE REPORT &amp; PRESENTATION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