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Master services agreement</w:t>
      </w:r>
    </w:p>
    <w:p>
      <w:r>
        <w:t>The renewal fee increases by 5 percent annually unless terminated with 60 days notice.</w:t>
      </w:r>
    </w:p>
    <w:p>
      <w:r>
        <w:t>Action item: Legal to countersign by 15 November.</w:t>
      </w:r>
    </w:p>
    <w:p>
      <w:r>
        <w:t>Risk: liability is capped at twice the annual fee.</w:t>
      </w:r>
    </w:p>
    <w:p>
      <w:r>
        <w:t>Unanswered question: whether the cap applies to indirect damages.</w:t>
      </w:r>
    </w:p>
  </w:body>
</w:document>
</file>

<file path=word/_rels/document.xml.rels><?xml version="1.0" encoding="UTF-8" standalone="yes"?><Relationships xmlns="http://schemas.openxmlformats.org/package/2006/relationships"></Relationships>
</file>