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Veltris Vehicle Shipment Cost Modeling</w:t>
      </w:r>
    </w:p>
    <w:p>
      <w:pPr>
        <w:spacing w:after="400"/>
        <w:jc w:val="center"/>
      </w:pPr>
      <w:r>
        <w:t xml:space="preserve">End-to-End Data Preprocessing, Feature Reduction, EDA &amp; Predictive Modeling Summary</w:t>
      </w:r>
    </w:p>
    <w:p>
      <w:pPr>
        <w:spacing w:after="40"/>
        <w:jc w:val="center"/>
      </w:pPr>
      <w:r>
        <w:t xml:space="preserve">Prepared for: Veltris  |  Dataset: Veltris-Vehicle.xlsx  |  Target: TotalCost (USD)</w:t>
      </w:r>
    </w:p>
    <w:p>
      <w:pPr>
        <w:spacing w:after="400"/>
        <w:jc w:val="center"/>
      </w:pPr>
      <w:r>
        <w:t xml:space="preserve">2026-08-29</w:t>
      </w:r>
    </w:p>
    <w:p>
      <w:r>
        <w:br w:type="page"/>
      </w:r>
    </w:p>
    <w:p>
      <w:pPr>
        <w:pStyle w:val="Heading1"/>
        <w:spacing w:after="150" w:before="300"/>
      </w:pPr>
      <w:r>
        <w:t xml:space="preserve">Executive Summary</w:t>
      </w:r>
    </w:p>
    <w:p>
      <w:pPr>
        <w:spacing w:after="120"/>
      </w:pPr>
      <w:r>
        <w:t xml:space="preserve">The raw Veltris vehicle-shipment dataset (305,838 shipments x 145 attributes, spanning two carrier-sourcing platforms, Turvo and Magnus) was cleaned, reduced from 145 to 24 statistically-vetted predictive features (an 83% reduction), explored for its relationship with shipment cost, and used to train and compare 18 gradient-boosted models (XGBoost, LightGBM, CatBoost, each with and without a log1p target transform) across three modeling scopes: Overall, Turvo-only and Magnus-only.</w:t>
      </w:r>
    </w:p>
    <w:p>
      <w:pPr>
        <w:spacing w:after="120"/>
      </w:pPr>
      <w:r>
        <w:t xml:space="preserve">The best-performing model overall is XGBoost trained on the raw (untransformed) target, achieving R² = 0.947 (Overall), R² = 0.949 (Turvo) and R² = 0.859 (Magnus) on held-out test data, with a mean absolute error of $85-90 on shipments whose interquartile cost range is roughly $500-$1,700. Historical lane-cost and physical-distance features are, by a wide margin, the strongest drivers of cost across every explainability lens used (Pearson correlation, Boruta, SHAP).</w:t>
      </w:r>
    </w:p>
    <w:p>
      <w:pPr>
        <w:spacing w:after="120"/>
      </w:pPr>
      <w:r>
        <w:t xml:space="preserve">A material data-quality finding is that the Magnus segment loses 100% of its rows under simple listwise deletion of missing values, because two fields (EquipmentType, Enclosed) are never populated for Magnus shipments. A dedicated Magnus pipeline using median/mode imputation was built so that segment could still be modeled, per the project brief.</w:t>
      </w:r>
    </w:p>
    <w:p>
      <w:pPr>
        <w:pStyle w:val="Heading1"/>
        <w:spacing w:after="150" w:before="300"/>
      </w:pPr>
      <w:r>
        <w:t xml:space="preserve">1. Data Overview</w:t>
      </w:r>
    </w:p>
    <w:p>
      <w:pPr>
        <w:spacing w:after="120"/>
      </w:pPr>
      <w:r>
        <w:t xml:space="preserve">Source file: Veltris-Vehicle.xlsx - 305,838 rows, 145 columns, single sheet ('result'). Two carrier-sourcing segments are present in SourceName: Turvo (287,860 rows, 94.1%) and Magnus (17,978 rows, 5.9%). The target variable is TotalCost (USD, the realized cost of the shipment).</w:t>
      </w:r>
    </w:p>
    <w:p>
      <w:pPr>
        <w:pStyle w:val="Heading1"/>
        <w:spacing w:after="150" w:before="300"/>
      </w:pPr>
      <w:r>
        <w:t xml:space="preserve">2. Data Preprocessing</w:t>
      </w:r>
    </w:p>
    <w:p>
      <w:pPr>
        <w:pStyle w:val="Heading2"/>
        <w:spacing w:after="100" w:before="200"/>
      </w:pPr>
      <w:r>
        <w:t xml:space="preserve">2.1 Column-level cleaning</w:t>
      </w:r>
    </w:p>
    <w:p>
      <w:pPr>
        <w:spacing w:after="120"/>
      </w:pPr>
      <w:r>
        <w:t xml:space="preserve">18 columns were removed before row-level cleaning:</w:t>
      </w:r>
    </w:p>
    <w:p>
      <w:pPr>
        <w:pStyle w:val="ListParagraph"/>
        <w:numPr>
          <w:ilvl w:val="0"/>
          <w:numId w:val="1"/>
        </w:numPr>
        <w:spacing w:after="60"/>
      </w:pPr>
      <w:r>
        <w:t xml:space="preserve">Near-empty (&gt;50% missing): InoperableAny (98.6%), NetWidth (95.0%), OriginTimeZone (80.2%), DestinationTimeZone (79.5%)</w:t>
      </w:r>
    </w:p>
    <w:p>
      <w:pPr>
        <w:pStyle w:val="ListParagraph"/>
        <w:numPr>
          <w:ilvl w:val="0"/>
          <w:numId w:val="1"/>
        </w:numPr>
        <w:spacing w:after="60"/>
      </w:pPr>
      <w:r>
        <w:t xml:space="preserve">Direct target leakage: TotalCostLog (a deterministic log-transform of the label)</w:t>
      </w:r>
    </w:p>
    <w:p>
      <w:pPr>
        <w:pStyle w:val="ListParagraph"/>
        <w:numPr>
          <w:ilvl w:val="0"/>
          <w:numId w:val="1"/>
        </w:numPr>
        <w:spacing w:after="60"/>
      </w:pPr>
      <w:r>
        <w:t xml:space="preserve">High-cardinality raw identifiers: OriginPostalCode, DestinationPostalCode, OriginCity, DestinationCity (superseded by Zip3 / target-encoded Zip3 features)</w:t>
      </w:r>
    </w:p>
    <w:p>
      <w:pPr>
        <w:pStyle w:val="ListParagraph"/>
        <w:numPr>
          <w:ilvl w:val="0"/>
          <w:numId w:val="1"/>
        </w:numPr>
        <w:spacing w:after="60"/>
      </w:pPr>
      <w:r>
        <w:t xml:space="preserve">Raw absolute calendar dates superseded by engineered cyclical/seasonal features, plus post-outcome delivery timestamps (leakage risk): CreationDate, FirstPickup, LastPickup, FirstScheduledDelivery, LastScheduledDelivery, FirstDelivery, LastDelivery</w:t>
      </w:r>
    </w:p>
    <w:p>
      <w:pPr>
        <w:pStyle w:val="ListParagraph"/>
        <w:numPr>
          <w:ilvl w:val="0"/>
          <w:numId w:val="1"/>
        </w:numPr>
        <w:spacing w:after="60"/>
      </w:pPr>
      <w:r>
        <w:t xml:space="preserve">Vendor-provided Split (replaced with our own 80/10/10 split) and ShipmentId (row identifier, not a feature)</w:t>
      </w:r>
    </w:p>
    <w:p>
      <w:pPr>
        <w:pStyle w:val="Heading2"/>
        <w:spacing w:after="100" w:before="200"/>
      </w:pPr>
      <w:r>
        <w:t xml:space="preserve">2.2 Row-level cleaning</w:t>
      </w:r>
    </w:p>
    <w:p>
      <w:pPr>
        <w:pStyle w:val="ListParagraph"/>
        <w:numPr>
          <w:ilvl w:val="0"/>
          <w:numId w:val="1"/>
        </w:numPr>
        <w:spacing w:after="60"/>
      </w:pPr>
      <w:r>
        <w:t xml:space="preserve">Duplicate rows removed: 115</w:t>
      </w:r>
    </w:p>
    <w:p>
      <w:pPr>
        <w:pStyle w:val="ListParagraph"/>
        <w:numPr>
          <w:ilvl w:val="0"/>
          <w:numId w:val="1"/>
        </w:numPr>
        <w:spacing w:after="60"/>
      </w:pPr>
      <w:r>
        <w:t xml:space="preserve">Rows with missing values removed: 133,030 (43.5% of the post-column-cleaning dataset)</w:t>
      </w:r>
    </w:p>
    <w:p>
      <w:pPr>
        <w:pStyle w:val="ListParagraph"/>
        <w:numPr>
          <w:ilvl w:val="0"/>
          <w:numId w:val="1"/>
        </w:numPr>
        <w:spacing w:after="60"/>
      </w:pPr>
      <w:r>
        <w:t xml:space="preserve">Outlier rows removed (1.5x IQR rule on TotalCost, TotalMiles, TotalWeight, HaversineMiles): 25,072 (14.5%)</w:t>
      </w:r>
    </w:p>
    <w:p>
      <w:pPr>
        <w:spacing w:after="120"/>
      </w:pPr>
      <w:r>
        <w:t xml:space="preserve">Resulting PROCESSED dataset: 147,621 rows x 127 columns (all Turvo - see Section 6 for why Magnus required a separate pipeline).</w:t>
      </w:r>
    </w:p>
    <w:p>
      <w:pPr>
        <w:pStyle w:val="Heading1"/>
        <w:spacing w:after="150" w:before="300"/>
      </w:pPr>
      <w:r>
        <w:t xml:space="preserve">3. Descriptive Statistics</w:t>
      </w:r>
    </w:p>
    <w:p>
      <w:pPr>
        <w:spacing w:after="120"/>
      </w:pPr>
      <w:r>
        <w:t xml:space="preserve">Full descriptive-statistics tables (count, mean, std, min/25/50/75/max, missing %, skew, kurtosis for every numeric column; unique-value counts and modal category for every categorical column) are provided separately for the RAW and PROCESSED datasets in data/processed/descriptive_stats_RAW_*.csv and descriptive_stats_PROCESSED_*.csv. Headline TotalCost statistics:</w:t>
      </w:r>
    </w:p>
    <w:tbl>
      <w:tblPr>
        <w:tblW w:type="dxa" w:w="16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gridCol w:w="2300"/>
        <w:gridCol w:w="2300"/>
        <w:gridCol w:w="2300"/>
      </w:tblGrid>
      <w:tr>
        <w:tc>
          <w:tcPr>
            <w:tcW w:type="dxa" w:w="2300"/>
            <w:shd w:fill="2F5496" w:val="clear"/>
          </w:tcPr>
          <w:p>
            <w:r>
              <w:rPr>
                <w:b/>
                <w:bCs/>
                <w:color w:val="FFFFFF"/>
                <w:sz w:val="20"/>
                <w:szCs w:val="20"/>
              </w:rPr>
              <w:t xml:space="preserve">Dataset</w:t>
            </w:r>
          </w:p>
        </w:tc>
        <w:tc>
          <w:tcPr>
            <w:tcW w:type="dxa" w:w="2300"/>
            <w:shd w:fill="2F5496" w:val="clear"/>
          </w:tcPr>
          <w:p>
            <w:r>
              <w:rPr>
                <w:b/>
                <w:bCs/>
                <w:color w:val="FFFFFF"/>
                <w:sz w:val="20"/>
                <w:szCs w:val="20"/>
              </w:rPr>
              <w:t xml:space="preserve">N</w:t>
            </w:r>
          </w:p>
        </w:tc>
        <w:tc>
          <w:tcPr>
            <w:tcW w:type="dxa" w:w="2300"/>
            <w:shd w:fill="2F5496" w:val="clear"/>
          </w:tcPr>
          <w:p>
            <w:r>
              <w:rPr>
                <w:b/>
                <w:bCs/>
                <w:color w:val="FFFFFF"/>
                <w:sz w:val="20"/>
                <w:szCs w:val="20"/>
              </w:rPr>
              <w:t xml:space="preserve">Mean</w:t>
            </w:r>
          </w:p>
        </w:tc>
        <w:tc>
          <w:tcPr>
            <w:tcW w:type="dxa" w:w="2300"/>
            <w:shd w:fill="2F5496" w:val="clear"/>
          </w:tcPr>
          <w:p>
            <w:r>
              <w:rPr>
                <w:b/>
                <w:bCs/>
                <w:color w:val="FFFFFF"/>
                <w:sz w:val="20"/>
                <w:szCs w:val="20"/>
              </w:rPr>
              <w:t xml:space="preserve">Std</w:t>
            </w:r>
          </w:p>
        </w:tc>
        <w:tc>
          <w:tcPr>
            <w:tcW w:type="dxa" w:w="2300"/>
            <w:shd w:fill="2F5496" w:val="clear"/>
          </w:tcPr>
          <w:p>
            <w:r>
              <w:rPr>
                <w:b/>
                <w:bCs/>
                <w:color w:val="FFFFFF"/>
                <w:sz w:val="20"/>
                <w:szCs w:val="20"/>
              </w:rPr>
              <w:t xml:space="preserve">Min</w:t>
            </w:r>
          </w:p>
        </w:tc>
        <w:tc>
          <w:tcPr>
            <w:tcW w:type="dxa" w:w="2300"/>
            <w:shd w:fill="2F5496" w:val="clear"/>
          </w:tcPr>
          <w:p>
            <w:r>
              <w:rPr>
                <w:b/>
                <w:bCs/>
                <w:color w:val="FFFFFF"/>
                <w:sz w:val="20"/>
                <w:szCs w:val="20"/>
              </w:rPr>
              <w:t xml:space="preserve">Median</w:t>
            </w:r>
          </w:p>
        </w:tc>
        <w:tc>
          <w:tcPr>
            <w:tcW w:type="dxa" w:w="2300"/>
            <w:shd w:fill="2F5496" w:val="clear"/>
          </w:tcPr>
          <w:p>
            <w:r>
              <w:rPr>
                <w:b/>
                <w:bCs/>
                <w:color w:val="FFFFFF"/>
                <w:sz w:val="20"/>
                <w:szCs w:val="20"/>
              </w:rPr>
              <w:t xml:space="preserve">Max</w:t>
            </w:r>
          </w:p>
        </w:tc>
      </w:tr>
      <w:tr>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305,838</w:t>
            </w:r>
          </w:p>
        </w:tc>
        <w:tc>
          <w:tcPr>
            <w:tcW w:type="dxa" w:w="2300"/>
          </w:tcPr>
          <w:p>
            <w:r>
              <w:rPr>
                <w:b w:val="false"/>
                <w:bCs w:val="false"/>
                <w:color w:val="000000"/>
                <w:sz w:val="20"/>
                <w:szCs w:val="20"/>
              </w:rPr>
              <w:t xml:space="preserve">$676</w:t>
            </w:r>
          </w:p>
        </w:tc>
        <w:tc>
          <w:tcPr>
            <w:tcW w:type="dxa" w:w="2300"/>
          </w:tcPr>
          <w:p>
            <w:r>
              <w:rPr>
                <w:b w:val="false"/>
                <w:bCs w:val="false"/>
                <w:color w:val="000000"/>
                <w:sz w:val="20"/>
                <w:szCs w:val="20"/>
              </w:rPr>
              <w:t xml:space="preserve">$1,185</w:t>
            </w:r>
          </w:p>
        </w:tc>
        <w:tc>
          <w:tcPr>
            <w:tcW w:type="dxa" w:w="2300"/>
          </w:tcPr>
          <w:p>
            <w:r>
              <w:rPr>
                <w:b w:val="false"/>
                <w:bCs w:val="false"/>
                <w:color w:val="000000"/>
                <w:sz w:val="20"/>
                <w:szCs w:val="20"/>
              </w:rPr>
              <w:t xml:space="preserve">$0</w:t>
            </w:r>
          </w:p>
        </w:tc>
        <w:tc>
          <w:tcPr>
            <w:tcW w:type="dxa" w:w="2300"/>
          </w:tcPr>
          <w:p>
            <w:r>
              <w:rPr>
                <w:b w:val="false"/>
                <w:bCs w:val="false"/>
                <w:color w:val="000000"/>
                <w:sz w:val="20"/>
                <w:szCs w:val="20"/>
              </w:rPr>
              <w:t xml:space="preserve">$425</w:t>
            </w:r>
          </w:p>
        </w:tc>
        <w:tc>
          <w:tcPr>
            <w:tcW w:type="dxa" w:w="2300"/>
          </w:tcPr>
          <w:p>
            <w:r>
              <w:rPr>
                <w:b w:val="false"/>
                <w:bCs w:val="false"/>
                <w:color w:val="000000"/>
                <w:sz w:val="20"/>
                <w:szCs w:val="20"/>
              </w:rPr>
              <w:t xml:space="preserve">$85,000+</w:t>
            </w:r>
          </w:p>
        </w:tc>
      </w:tr>
      <w:tr>
        <w:tc>
          <w:tcPr>
            <w:tcW w:type="dxa" w:w="2300"/>
          </w:tcPr>
          <w:p>
            <w:r>
              <w:rPr>
                <w:b w:val="false"/>
                <w:bCs w:val="false"/>
                <w:color w:val="000000"/>
                <w:sz w:val="20"/>
                <w:szCs w:val="20"/>
              </w:rPr>
              <w:t xml:space="preserve">Processed</w:t>
            </w:r>
          </w:p>
        </w:tc>
        <w:tc>
          <w:tcPr>
            <w:tcW w:type="dxa" w:w="2300"/>
          </w:tcPr>
          <w:p>
            <w:r>
              <w:rPr>
                <w:b w:val="false"/>
                <w:bCs w:val="false"/>
                <w:color w:val="000000"/>
                <w:sz w:val="20"/>
                <w:szCs w:val="20"/>
              </w:rPr>
              <w:t xml:space="preserve">147,621</w:t>
            </w:r>
          </w:p>
        </w:tc>
        <w:tc>
          <w:tcPr>
            <w:tcW w:type="dxa" w:w="2300"/>
          </w:tcPr>
          <w:p>
            <w:r>
              <w:rPr>
                <w:b w:val="false"/>
                <w:bCs w:val="false"/>
                <w:color w:val="000000"/>
                <w:sz w:val="20"/>
                <w:szCs w:val="20"/>
              </w:rPr>
              <w:t xml:space="preserve">$663</w:t>
            </w:r>
          </w:p>
        </w:tc>
        <w:tc>
          <w:tcPr>
            <w:tcW w:type="dxa" w:w="2300"/>
          </w:tcPr>
          <w:p>
            <w:r>
              <w:rPr>
                <w:b w:val="false"/>
                <w:bCs w:val="false"/>
                <w:color w:val="000000"/>
                <w:sz w:val="20"/>
                <w:szCs w:val="20"/>
              </w:rPr>
              <w:t xml:space="preserve">$497</w:t>
            </w:r>
          </w:p>
        </w:tc>
        <w:tc>
          <w:tcPr>
            <w:tcW w:type="dxa" w:w="2300"/>
          </w:tcPr>
          <w:p>
            <w:r>
              <w:rPr>
                <w:b w:val="false"/>
                <w:bCs w:val="false"/>
                <w:color w:val="000000"/>
                <w:sz w:val="20"/>
                <w:szCs w:val="20"/>
              </w:rPr>
              <w:t xml:space="preserve">$25</w:t>
            </w:r>
          </w:p>
        </w:tc>
        <w:tc>
          <w:tcPr>
            <w:tcW w:type="dxa" w:w="2300"/>
          </w:tcPr>
          <w:p>
            <w:r>
              <w:rPr>
                <w:b w:val="false"/>
                <w:bCs w:val="false"/>
                <w:color w:val="000000"/>
                <w:sz w:val="20"/>
                <w:szCs w:val="20"/>
              </w:rPr>
              <w:t xml:space="preserve">$531</w:t>
            </w:r>
          </w:p>
        </w:tc>
        <w:tc>
          <w:tcPr>
            <w:tcW w:type="dxa" w:w="2300"/>
          </w:tcPr>
          <w:p>
            <w:r>
              <w:rPr>
                <w:b w:val="false"/>
                <w:bCs w:val="false"/>
                <w:color w:val="000000"/>
                <w:sz w:val="20"/>
                <w:szCs w:val="20"/>
              </w:rPr>
              <w:t xml:space="preserve">$3,275</w:t>
            </w:r>
          </w:p>
        </w:tc>
      </w:tr>
    </w:tbl>
    <w:p>
      <w:pPr>
        <w:spacing w:after="120"/>
      </w:pPr>
      <w:r>
        <w:t xml:space="preserve">Outlier removal substantially tightens the cost distribution (std falls from $1,185 to $497) while leaving the typical shipment cost (median) essentially unchanged, indicating the removed rows were mostly extreme high-cost tail cases rather than representative shipments.</w:t>
      </w:r>
    </w:p>
    <w:p>
      <w:pPr>
        <w:spacing w:after="20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43125"/>
                    </a:xfrm>
                    <a:prstGeom prst="rect">
                      <a:avLst/>
                    </a:prstGeom>
                  </pic:spPr>
                </pic:pic>
              </a:graphicData>
            </a:graphic>
          </wp:inline>
        </w:drawing>
      </w:r>
    </w:p>
    <w:p>
      <w:pPr>
        <w:spacing w:after="260"/>
        <w:jc w:val="center"/>
      </w:pPr>
      <w:r>
        <w:rPr>
          <w:i/>
          <w:iCs/>
          <w:sz w:val="18"/>
          <w:szCs w:val="18"/>
        </w:rPr>
        <w:t xml:space="preserve">Figure 1. TotalCost distribution before (raw) and after (processed, outliers removed).</w:t>
      </w:r>
    </w:p>
    <w:p>
      <w:pPr>
        <w:pStyle w:val="Heading1"/>
        <w:spacing w:after="150" w:before="300"/>
      </w:pPr>
      <w:r>
        <w:t xml:space="preserve">4. Multicollinearity Reduction (VIF) &amp; Feature Selection (Boruta)</w:t>
      </w:r>
    </w:p>
    <w:p>
      <w:pPr>
        <w:pStyle w:val="Heading2"/>
        <w:spacing w:after="100" w:before="200"/>
      </w:pPr>
      <w:r>
        <w:t xml:space="preserve">4.1 Variance Inflation Factor (VIF)</w:t>
      </w:r>
    </w:p>
    <w:p>
      <w:pPr>
        <w:spacing w:after="120"/>
      </w:pPr>
      <w:r>
        <w:t xml:space="preserve">VIF was computed on all 120 numeric candidate features (12 zero-variance columns dropped first) using a 20,000-row sample, with iterative removal of the highest-VIF feature until every remaining feature had VIF &lt; 10. This removed 42 of 120 numeric features - notably TotalMiles itself, which is almost perfectly collinear with HaversineMiles (both encode travel distance).</w:t>
      </w:r>
    </w:p>
    <w:p>
      <w:pPr>
        <w:pStyle w:val="Heading2"/>
        <w:spacing w:after="100" w:before="200"/>
      </w:pPr>
      <w:r>
        <w:t xml:space="preserve">4.2 Boruta all-relevant feature selection</w:t>
      </w:r>
    </w:p>
    <w:p>
      <w:pPr>
        <w:spacing w:after="120"/>
      </w:pPr>
      <w:r>
        <w:t xml:space="preserve">Boruta (Random Forest-based, shadow-feature permutation test, 12 iterations, 8,000-row sample) was then run on the 66 VIF-surviving numeric features plus 5 categorical features. It confirmed 15 features as relevant and retained 9 as tentative, rejecting 47 as statistically indistinguishable from noise.</w:t>
      </w:r>
    </w:p>
    <w:p>
      <w:pPr>
        <w:spacing w:after="120"/>
      </w:pPr>
      <w:r>
        <w:t xml:space="preserve">Final reduced feature count: 24 (from 145 raw columns - an 83% reduction). All 24 are numeric; none of the raw categorical columns (EquipmentType, OriginState, DestinationState, OriginZip3, DestinationZip3) survived selection, as their signal is already captured by the numeric target-encoded / lane-history features.</w:t>
      </w:r>
    </w:p>
    <w:p>
      <w:pPr>
        <w:spacing w:after="200"/>
        <w:jc w:val="center"/>
      </w:pPr>
      <w:r>
        <w:drawing>
          <wp:inline distT="0" distB="0" distL="0" distR="0">
            <wp:extent cx="5715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933950"/>
                    </a:xfrm>
                    <a:prstGeom prst="rect">
                      <a:avLst/>
                    </a:prstGeom>
                  </pic:spPr>
                </pic:pic>
              </a:graphicData>
            </a:graphic>
          </wp:inline>
        </w:drawing>
      </w:r>
    </w:p>
    <w:p>
      <w:pPr>
        <w:spacing w:after="260"/>
        <w:jc w:val="center"/>
      </w:pPr>
      <w:r>
        <w:rPr>
          <w:i/>
          <w:iCs/>
          <w:sz w:val="18"/>
          <w:szCs w:val="18"/>
        </w:rPr>
        <w:t xml:space="preserve">Figure 2. Correlation heatmap of the final 24-feature reduced set with TotalCost.</w:t>
      </w:r>
    </w:p>
    <w:p>
      <w:pPr>
        <w:pStyle w:val="Heading1"/>
        <w:spacing w:after="150" w:before="300"/>
      </w:pPr>
      <w:r>
        <w:t xml:space="preserve">5. Feature Groups</w:t>
      </w:r>
    </w:p>
    <w:p>
      <w:pPr>
        <w:spacing w:after="120"/>
      </w:pPr>
      <w:r>
        <w:t xml:space="preserve">Every retained (and business-relevant EDA) feature is assigned to exactly one of the 8 required feature groups: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tblGrid>
      <w:tr>
        <w:tc>
          <w:tcPr>
            <w:tcW w:type="dxa" w:w="2300"/>
            <w:shd w:fill="2F5496" w:val="clear"/>
          </w:tcPr>
          <w:p>
            <w:r>
              <w:rPr>
                <w:b/>
                <w:bCs/>
                <w:color w:val="FFFFFF"/>
                <w:sz w:val="20"/>
                <w:szCs w:val="20"/>
              </w:rPr>
              <w:t xml:space="preserve">Group</w:t>
            </w:r>
          </w:p>
        </w:tc>
        <w:tc>
          <w:tcPr>
            <w:tcW w:type="dxa" w:w="2300"/>
            <w:shd w:fill="2F5496" w:val="clear"/>
          </w:tcPr>
          <w:p>
            <w:r>
              <w:rPr>
                <w:b/>
                <w:bCs/>
                <w:color w:val="FFFFFF"/>
                <w:sz w:val="20"/>
                <w:szCs w:val="20"/>
              </w:rPr>
              <w:t xml:space="preserve">Representative Features</w:t>
            </w:r>
          </w:p>
        </w:tc>
        <w:tc>
          <w:tcPr>
            <w:tcW w:type="dxa" w:w="2300"/>
            <w:shd w:fill="2F5496" w:val="clear"/>
          </w:tcPr>
          <w:p>
            <w:r>
              <w:rPr>
                <w:b/>
                <w:bCs/>
                <w:color w:val="FFFFFF"/>
                <w:sz w:val="20"/>
                <w:szCs w:val="20"/>
              </w:rPr>
              <w:t xml:space="preserve">Rationale</w:t>
            </w:r>
          </w:p>
        </w:tc>
      </w:tr>
      <w:tr>
        <w:tc>
          <w:tcPr>
            <w:tcW w:type="dxa" w:w="2300"/>
          </w:tcPr>
          <w:p>
            <w:r>
              <w:rPr>
                <w:b w:val="false"/>
                <w:bCs w:val="false"/>
                <w:color w:val="000000"/>
                <w:sz w:val="20"/>
                <w:szCs w:val="20"/>
              </w:rPr>
              <w:t xml:space="preserve">Distance</w:t>
            </w:r>
          </w:p>
        </w:tc>
        <w:tc>
          <w:tcPr>
            <w:tcW w:type="dxa" w:w="2300"/>
          </w:tcPr>
          <w:p>
            <w:r>
              <w:rPr>
                <w:b w:val="false"/>
                <w:bCs w:val="false"/>
                <w:color w:val="000000"/>
                <w:sz w:val="20"/>
                <w:szCs w:val="20"/>
              </w:rPr>
              <w:t xml:space="preserve">TotalMiles, HaversineMiles, LengthOfHaul, delta_lat/lon, Origin/Destination Lat-Lon, TotalStops, NumberOfPick/Drop</w:t>
            </w:r>
          </w:p>
        </w:tc>
        <w:tc>
          <w:tcPr>
            <w:tcW w:type="dxa" w:w="2300"/>
          </w:tcPr>
          <w:p>
            <w:r>
              <w:rPr>
                <w:b w:val="false"/>
                <w:bCs w:val="false"/>
                <w:color w:val="000000"/>
                <w:sz w:val="20"/>
                <w:szCs w:val="20"/>
              </w:rPr>
              <w:t xml:space="preserve">Physical geography of the move; single largest structural cost driver in trucking.</w:t>
            </w:r>
          </w:p>
        </w:tc>
      </w:tr>
      <w:tr>
        <w:tc>
          <w:tcPr>
            <w:tcW w:type="dxa" w:w="2300"/>
          </w:tcPr>
          <w:p>
            <w:r>
              <w:rPr>
                <w:b w:val="false"/>
                <w:bCs w:val="false"/>
                <w:color w:val="000000"/>
                <w:sz w:val="20"/>
                <w:szCs w:val="20"/>
              </w:rPr>
              <w:t xml:space="preserve">Equipment</w:t>
            </w:r>
          </w:p>
        </w:tc>
        <w:tc>
          <w:tcPr>
            <w:tcW w:type="dxa" w:w="2300"/>
          </w:tcPr>
          <w:p>
            <w:r>
              <w:rPr>
                <w:b w:val="false"/>
                <w:bCs w:val="false"/>
                <w:color w:val="000000"/>
                <w:sz w:val="20"/>
                <w:szCs w:val="20"/>
              </w:rPr>
              <w:t xml:space="preserve">EquipmentType, Enclosed, NetHeight/Length/WheelBase, IsEV/IsHybrid, vehicle-type flags, TotalWeight, VehicleCount, VehicleYearMean</w:t>
            </w:r>
          </w:p>
        </w:tc>
        <w:tc>
          <w:tcPr>
            <w:tcW w:type="dxa" w:w="2300"/>
          </w:tcPr>
          <w:p>
            <w:r>
              <w:rPr>
                <w:b w:val="false"/>
                <w:bCs w:val="false"/>
                <w:color w:val="000000"/>
                <w:sz w:val="20"/>
                <w:szCs w:val="20"/>
              </w:rPr>
              <w:t xml:space="preserve">Vehicle(s) shipped and trailer/equipment used; drives capacity constraints &amp; handling premiums.</w:t>
            </w:r>
          </w:p>
        </w:tc>
      </w:tr>
      <w:tr>
        <w:tc>
          <w:tcPr>
            <w:tcW w:type="dxa" w:w="2300"/>
          </w:tcPr>
          <w:p>
            <w:r>
              <w:rPr>
                <w:b w:val="false"/>
                <w:bCs w:val="false"/>
                <w:color w:val="000000"/>
                <w:sz w:val="20"/>
                <w:szCs w:val="20"/>
              </w:rPr>
              <w:t xml:space="preserve">Fuel Price</w:t>
            </w:r>
          </w:p>
        </w:tc>
        <w:tc>
          <w:tcPr>
            <w:tcW w:type="dxa" w:w="2300"/>
          </w:tcPr>
          <w:p>
            <w:r>
              <w:rPr>
                <w:b w:val="false"/>
                <w:bCs w:val="false"/>
                <w:color w:val="000000"/>
                <w:sz w:val="20"/>
                <w:szCs w:val="20"/>
              </w:rPr>
              <w:t xml:space="preserve">OriginGasPrice, DestinationGasPrice, Origin/Destination W/M Diesel Price</w:t>
            </w:r>
          </w:p>
        </w:tc>
        <w:tc>
          <w:tcPr>
            <w:tcW w:type="dxa" w:w="2300"/>
          </w:tcPr>
          <w:p>
            <w:r>
              <w:rPr>
                <w:b w:val="false"/>
                <w:bCs w:val="false"/>
                <w:color w:val="000000"/>
                <w:sz w:val="20"/>
                <w:szCs w:val="20"/>
              </w:rPr>
              <w:t xml:space="preserve">Direct pass-through input cost for carriers; tracked separately for its short-run volatility.</w:t>
            </w:r>
          </w:p>
        </w:tc>
      </w:tr>
      <w:tr>
        <w:tc>
          <w:tcPr>
            <w:tcW w:type="dxa" w:w="2300"/>
          </w:tcPr>
          <w:p>
            <w:r>
              <w:rPr>
                <w:b w:val="false"/>
                <w:bCs w:val="false"/>
                <w:color w:val="000000"/>
                <w:sz w:val="20"/>
                <w:szCs w:val="20"/>
              </w:rPr>
              <w:t xml:space="preserve">Historical Lane Cost</w:t>
            </w:r>
          </w:p>
        </w:tc>
        <w:tc>
          <w:tcPr>
            <w:tcW w:type="dxa" w:w="2300"/>
          </w:tcPr>
          <w:p>
            <w:r>
              <w:rPr>
                <w:b w:val="false"/>
                <w:bCs w:val="false"/>
                <w:color w:val="000000"/>
                <w:sz w:val="20"/>
                <w:szCs w:val="20"/>
              </w:rPr>
              <w:t xml:space="preserve">TotalCost min/max/mean/count/std over 2w/3m/6m lane windows, TotalCostOrigin/DestinationMean, OriginZip3_TE, DestinationZip3_TE, TotalMiles_TE</w:t>
            </w:r>
          </w:p>
        </w:tc>
        <w:tc>
          <w:tcPr>
            <w:tcW w:type="dxa" w:w="2300"/>
          </w:tcPr>
          <w:p>
            <w:r>
              <w:rPr>
                <w:b w:val="false"/>
                <w:bCs w:val="false"/>
                <w:color w:val="000000"/>
                <w:sz w:val="20"/>
                <w:szCs w:val="20"/>
              </w:rPr>
              <w:t xml:space="preserve">Rolling empirical priors for what a lane has cost recently; strongest predictor group.</w:t>
            </w:r>
          </w:p>
        </w:tc>
      </w:tr>
      <w:tr>
        <w:tc>
          <w:tcPr>
            <w:tcW w:type="dxa" w:w="2300"/>
          </w:tcPr>
          <w:p>
            <w:r>
              <w:rPr>
                <w:b w:val="false"/>
                <w:bCs w:val="false"/>
                <w:color w:val="000000"/>
                <w:sz w:val="20"/>
                <w:szCs w:val="20"/>
              </w:rPr>
              <w:t xml:space="preserve">Market Conditions</w:t>
            </w:r>
          </w:p>
        </w:tc>
        <w:tc>
          <w:tcPr>
            <w:tcW w:type="dxa" w:w="2300"/>
          </w:tcPr>
          <w:p>
            <w:r>
              <w:rPr>
                <w:b w:val="false"/>
                <w:bCs w:val="false"/>
                <w:color w:val="000000"/>
                <w:sz w:val="20"/>
                <w:szCs w:val="20"/>
              </w:rPr>
              <w:t xml:space="preserve">Freight/trucking indices, manufacturing &amp; inventory ratios, vehicle sales, recession indicator, RUCC rurality, regional wages/employment</w:t>
            </w:r>
          </w:p>
        </w:tc>
        <w:tc>
          <w:tcPr>
            <w:tcW w:type="dxa" w:w="2300"/>
          </w:tcPr>
          <w:p>
            <w:r>
              <w:rPr>
                <w:b w:val="false"/>
                <w:bCs w:val="false"/>
                <w:color w:val="000000"/>
                <w:sz w:val="20"/>
                <w:szCs w:val="20"/>
              </w:rPr>
              <w:t xml:space="preserve">Macro-economic &amp; industry backdrop for freight pricing, outside any single shipment's control.</w:t>
            </w:r>
          </w:p>
        </w:tc>
      </w:tr>
      <w:tr>
        <w:tc>
          <w:tcPr>
            <w:tcW w:type="dxa" w:w="2300"/>
          </w:tcPr>
          <w:p>
            <w:r>
              <w:rPr>
                <w:b w:val="false"/>
                <w:bCs w:val="false"/>
                <w:color w:val="000000"/>
                <w:sz w:val="20"/>
                <w:szCs w:val="20"/>
              </w:rPr>
              <w:t xml:space="preserve">Seasonality</w:t>
            </w:r>
          </w:p>
        </w:tc>
        <w:tc>
          <w:tcPr>
            <w:tcW w:type="dxa" w:w="2300"/>
          </w:tcPr>
          <w:p>
            <w:r>
              <w:rPr>
                <w:b w:val="false"/>
                <w:bCs w:val="false"/>
                <w:color w:val="000000"/>
                <w:sz w:val="20"/>
                <w:szCs w:val="20"/>
              </w:rPr>
              <w:t xml:space="preserve">CreationDate day-of-week/day-of-year sin/cos, is_weekend/is_eoq/is_holiday, lead_time_days, delivery_date_days</w:t>
            </w:r>
          </w:p>
        </w:tc>
        <w:tc>
          <w:tcPr>
            <w:tcW w:type="dxa" w:w="2300"/>
          </w:tcPr>
          <w:p>
            <w:r>
              <w:rPr>
                <w:b w:val="false"/>
                <w:bCs w:val="false"/>
                <w:color w:val="000000"/>
                <w:sz w:val="20"/>
                <w:szCs w:val="20"/>
              </w:rPr>
              <w:t xml:space="preserve">Calendar/demand-cycle effects independent of macro market conditions.</w:t>
            </w:r>
          </w:p>
        </w:tc>
      </w:tr>
      <w:tr>
        <w:tc>
          <w:tcPr>
            <w:tcW w:type="dxa" w:w="2300"/>
          </w:tcPr>
          <w:p>
            <w:r>
              <w:rPr>
                <w:b w:val="false"/>
                <w:bCs w:val="false"/>
                <w:color w:val="000000"/>
                <w:sz w:val="20"/>
                <w:szCs w:val="20"/>
              </w:rPr>
              <w:t xml:space="preserve">Carrier</w:t>
            </w:r>
          </w:p>
        </w:tc>
        <w:tc>
          <w:tcPr>
            <w:tcW w:type="dxa" w:w="2300"/>
          </w:tcPr>
          <w:p>
            <w:r>
              <w:rPr>
                <w:b w:val="false"/>
                <w:bCs w:val="false"/>
                <w:color w:val="000000"/>
                <w:sz w:val="20"/>
                <w:szCs w:val="20"/>
              </w:rPr>
              <w:t xml:space="preserve">SourceId/SourceName, MarketPlaceShipment, MarketplaceCovered, Assigned, PendingPickup, Expedited</w:t>
            </w:r>
          </w:p>
        </w:tc>
        <w:tc>
          <w:tcPr>
            <w:tcW w:type="dxa" w:w="2300"/>
          </w:tcPr>
          <w:p>
            <w:r>
              <w:rPr>
                <w:b w:val="false"/>
                <w:bCs w:val="false"/>
                <w:color w:val="000000"/>
                <w:sz w:val="20"/>
                <w:szCs w:val="20"/>
              </w:rPr>
              <w:t xml:space="preserve">Platform/carrier-sourcing channel and operational status, not the physical shipment itself.</w:t>
            </w:r>
          </w:p>
        </w:tc>
      </w:tr>
      <w:tr>
        <w:tc>
          <w:tcPr>
            <w:tcW w:type="dxa" w:w="2300"/>
          </w:tcPr>
          <w:p>
            <w:r>
              <w:rPr>
                <w:b w:val="false"/>
                <w:bCs w:val="false"/>
                <w:color w:val="000000"/>
                <w:sz w:val="20"/>
                <w:szCs w:val="20"/>
              </w:rPr>
              <w:t xml:space="preserve">Customer</w:t>
            </w:r>
          </w:p>
        </w:tc>
        <w:tc>
          <w:tcPr>
            <w:tcW w:type="dxa" w:w="2300"/>
          </w:tcPr>
          <w:p>
            <w:r>
              <w:rPr>
                <w:b w:val="false"/>
                <w:bCs w:val="false"/>
                <w:color w:val="000000"/>
                <w:sz w:val="20"/>
                <w:szCs w:val="20"/>
              </w:rPr>
              <w:t xml:space="preserve">OriginState/DestinationState, OriginZip3/DestinationZip3, Zip zones</w:t>
            </w:r>
          </w:p>
        </w:tc>
        <w:tc>
          <w:tcPr>
            <w:tcW w:type="dxa" w:w="2300"/>
          </w:tcPr>
          <w:p>
            <w:r>
              <w:rPr>
                <w:b w:val="false"/>
                <w:bCs w:val="false"/>
                <w:color w:val="000000"/>
                <w:sz w:val="20"/>
                <w:szCs w:val="20"/>
              </w:rPr>
              <w:t xml:space="preserve">Origin/destination location identifiers as experienced by the customer.</w:t>
            </w:r>
          </w:p>
        </w:tc>
      </w:tr>
    </w:tbl>
    <w:p>
      <w:pPr>
        <w:spacing w:after="20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52825"/>
                    </a:xfrm>
                    <a:prstGeom prst="rect">
                      <a:avLst/>
                    </a:prstGeom>
                  </pic:spPr>
                </pic:pic>
              </a:graphicData>
            </a:graphic>
          </wp:inline>
        </w:drawing>
      </w:r>
    </w:p>
    <w:p>
      <w:pPr>
        <w:spacing w:after="260"/>
        <w:jc w:val="center"/>
      </w:pPr>
      <w:r>
        <w:rPr>
          <w:i/>
          <w:iCs/>
          <w:sz w:val="18"/>
          <w:szCs w:val="18"/>
        </w:rPr>
        <w:t xml:space="preserve">Figure 3. Average |correlation| with TotalCost by feature group (selected features only).</w:t>
      </w:r>
    </w:p>
    <w:p>
      <w:pPr>
        <w:pStyle w:val="Heading1"/>
        <w:spacing w:after="150" w:before="300"/>
      </w:pPr>
      <w:r>
        <w:t xml:space="preserve">6. EDA: Relationship of Features with Target</w:t>
      </w:r>
    </w:p>
    <w:p>
      <w:pPr>
        <w:spacing w:after="200"/>
        <w:jc w:val="center"/>
      </w:pPr>
      <w:r>
        <w:drawing>
          <wp:inline distT="0" distB="0" distL="0" distR="0">
            <wp:extent cx="5715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14925"/>
                    </a:xfrm>
                    <a:prstGeom prst="rect">
                      <a:avLst/>
                    </a:prstGeom>
                  </pic:spPr>
                </pic:pic>
              </a:graphicData>
            </a:graphic>
          </wp:inline>
        </w:drawing>
      </w:r>
    </w:p>
    <w:p>
      <w:pPr>
        <w:spacing w:after="260"/>
        <w:jc w:val="center"/>
      </w:pPr>
      <w:r>
        <w:rPr>
          <w:i/>
          <w:iCs/>
          <w:sz w:val="18"/>
          <w:szCs w:val="18"/>
        </w:rPr>
        <w:t xml:space="preserve">Figure 4. Correlation of each selected feature with TotalCost, colored by feature group.</w:t>
      </w:r>
    </w:p>
    <w:p>
      <w:pPr>
        <w:spacing w:after="20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76775"/>
                    </a:xfrm>
                    <a:prstGeom prst="rect">
                      <a:avLst/>
                    </a:prstGeom>
                  </pic:spPr>
                </pic:pic>
              </a:graphicData>
            </a:graphic>
          </wp:inline>
        </w:drawing>
      </w:r>
    </w:p>
    <w:p>
      <w:pPr>
        <w:spacing w:after="260"/>
        <w:jc w:val="center"/>
      </w:pPr>
      <w:r>
        <w:rPr>
          <w:i/>
          <w:iCs/>
          <w:sz w:val="18"/>
          <w:szCs w:val="18"/>
        </w:rPr>
        <w:t xml:space="preserve">Figure 5. Relationship of the 4 most correlated features with TotalCost.</w:t>
      </w:r>
    </w:p>
    <w:p>
      <w:pPr>
        <w:spacing w:after="2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33600"/>
                    </a:xfrm>
                    <a:prstGeom prst="rect">
                      <a:avLst/>
                    </a:prstGeom>
                  </pic:spPr>
                </pic:pic>
              </a:graphicData>
            </a:graphic>
          </wp:inline>
        </w:drawing>
      </w:r>
    </w:p>
    <w:p>
      <w:pPr>
        <w:spacing w:after="260"/>
        <w:jc w:val="center"/>
      </w:pPr>
      <w:r>
        <w:rPr>
          <w:i/>
          <w:iCs/>
          <w:sz w:val="18"/>
          <w:szCs w:val="18"/>
        </w:rPr>
        <w:t xml:space="preserve">Figure 6. Distance (HaversineMiles) and Historical Lane Cost (TotalCostOriginMean) vs TotalCost.</w:t>
      </w:r>
    </w:p>
    <w:p>
      <w:pPr>
        <w:spacing w:after="20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90875"/>
                    </a:xfrm>
                    <a:prstGeom prst="rect">
                      <a:avLst/>
                    </a:prstGeom>
                  </pic:spPr>
                </pic:pic>
              </a:graphicData>
            </a:graphic>
          </wp:inline>
        </w:drawing>
      </w:r>
    </w:p>
    <w:p>
      <w:pPr>
        <w:spacing w:after="260"/>
        <w:jc w:val="center"/>
      </w:pPr>
      <w:r>
        <w:rPr>
          <w:i/>
          <w:iCs/>
          <w:sz w:val="18"/>
          <w:szCs w:val="18"/>
        </w:rPr>
        <w:t xml:space="preserve">Figure 7. TotalCost by EquipmentType (Equipment group; pre-reduction cleaned dataset).</w:t>
      </w:r>
    </w:p>
    <w:p>
      <w:pPr>
        <w:pStyle w:val="Heading1"/>
        <w:spacing w:after="150" w:before="300"/>
      </w:pPr>
      <w:r>
        <w:t xml:space="preserve">7. Segment Dataset Construction: the Magnus Imputation Problem</w:t>
      </w:r>
    </w:p>
    <w:p>
      <w:pPr>
        <w:spacing w:after="120"/>
      </w:pPr>
      <w:r>
        <w:t xml:space="preserve">A key finding: applying the same listwise-deletion cleaning used for the overall dataset removes 100% of the Magnus segment, because EquipmentType and Enclosed are never populated for Magnus shipments (100% missing), and several historical lane-cost fields are 17-34% missing specifically for Magnus.</w:t>
      </w:r>
    </w:p>
    <w:p>
      <w:pPr>
        <w:spacing w:after="120"/>
      </w:pPr>
      <w:r>
        <w:t xml:space="preserve">To satisfy the requirement of a Magnus-specific model, a parallel pipeline was built: the same column-drop / de-duplication / IQR outlier-removal logic was applied to the raw Magnus rows, but instead of dropping rows with missing values, missing numeric features were imputed with the Magnus-specific median and missing categorical features with the Magnus-specific mode. 13 of the 24 selected features required imputation for Magnus (dominated by the Historical Lane Cost and Equipment groups). Final dataset sizes: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2F5496" w:val="clear"/>
          </w:tcPr>
          <w:p>
            <w:r>
              <w:rPr>
                <w:b/>
                <w:bCs/>
                <w:color w:val="FFFFFF"/>
                <w:sz w:val="20"/>
                <w:szCs w:val="20"/>
              </w:rPr>
              <w:t xml:space="preserve">Dataset</w:t>
            </w:r>
          </w:p>
        </w:tc>
        <w:tc>
          <w:tcPr>
            <w:tcW w:type="dxa" w:w="2300"/>
            <w:shd w:fill="2F5496" w:val="clear"/>
          </w:tcPr>
          <w:p>
            <w:r>
              <w:rPr>
                <w:b/>
                <w:bCs/>
                <w:color w:val="FFFFFF"/>
                <w:sz w:val="20"/>
                <w:szCs w:val="20"/>
              </w:rPr>
              <w:t xml:space="preserve">Rows</w:t>
            </w:r>
          </w:p>
        </w:tc>
        <w:tc>
          <w:tcPr>
            <w:tcW w:type="dxa" w:w="2300"/>
            <w:shd w:fill="2F5496" w:val="clear"/>
          </w:tcPr>
          <w:p>
            <w:r>
              <w:rPr>
                <w:b/>
                <w:bCs/>
                <w:color w:val="FFFFFF"/>
                <w:sz w:val="20"/>
                <w:szCs w:val="20"/>
              </w:rPr>
              <w:t xml:space="preserve">Columns</w:t>
            </w:r>
          </w:p>
        </w:tc>
        <w:tc>
          <w:tcPr>
            <w:tcW w:type="dxa" w:w="2300"/>
            <w:shd w:fill="2F5496" w:val="clear"/>
          </w:tcPr>
          <w:p>
            <w:r>
              <w:rPr>
                <w:b/>
                <w:bCs/>
                <w:color w:val="FFFFFF"/>
                <w:sz w:val="20"/>
                <w:szCs w:val="20"/>
              </w:rPr>
              <w:t xml:space="preserve">Notes</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147,621</w:t>
            </w:r>
          </w:p>
        </w:tc>
        <w:tc>
          <w:tcPr>
            <w:tcW w:type="dxa" w:w="2300"/>
          </w:tcPr>
          <w:p>
            <w:r>
              <w:rPr>
                <w:b w:val="false"/>
                <w:bCs w:val="false"/>
                <w:color w:val="000000"/>
                <w:sz w:val="20"/>
                <w:szCs w:val="20"/>
              </w:rPr>
              <w:t xml:space="preserve">26</w:t>
            </w:r>
          </w:p>
        </w:tc>
        <w:tc>
          <w:tcPr>
            <w:tcW w:type="dxa" w:w="2300"/>
          </w:tcPr>
          <w:p>
            <w:r>
              <w:rPr>
                <w:b w:val="false"/>
                <w:bCs w:val="false"/>
                <w:color w:val="000000"/>
                <w:sz w:val="20"/>
                <w:szCs w:val="20"/>
              </w:rPr>
              <w:t xml:space="preserve">Fully observed after cleaning; no imputation needed</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14,203</w:t>
            </w:r>
          </w:p>
        </w:tc>
        <w:tc>
          <w:tcPr>
            <w:tcW w:type="dxa" w:w="2300"/>
          </w:tcPr>
          <w:p>
            <w:r>
              <w:rPr>
                <w:b w:val="false"/>
                <w:bCs w:val="false"/>
                <w:color w:val="000000"/>
                <w:sz w:val="20"/>
                <w:szCs w:val="20"/>
              </w:rPr>
              <w:t xml:space="preserve">26</w:t>
            </w:r>
          </w:p>
        </w:tc>
        <w:tc>
          <w:tcPr>
            <w:tcW w:type="dxa" w:w="2300"/>
          </w:tcPr>
          <w:p>
            <w:r>
              <w:rPr>
                <w:b w:val="false"/>
                <w:bCs w:val="false"/>
                <w:color w:val="000000"/>
                <w:sz w:val="20"/>
                <w:szCs w:val="20"/>
              </w:rPr>
              <w:t xml:space="preserve">13 of 24 features imputed (median/mode)</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161,824</w:t>
            </w:r>
          </w:p>
        </w:tc>
        <w:tc>
          <w:tcPr>
            <w:tcW w:type="dxa" w:w="2300"/>
          </w:tcPr>
          <w:p>
            <w:r>
              <w:rPr>
                <w:b w:val="false"/>
                <w:bCs w:val="false"/>
                <w:color w:val="000000"/>
                <w:sz w:val="20"/>
                <w:szCs w:val="20"/>
              </w:rPr>
              <w:t xml:space="preserve">27</w:t>
            </w:r>
          </w:p>
        </w:tc>
        <w:tc>
          <w:tcPr>
            <w:tcW w:type="dxa" w:w="2300"/>
          </w:tcPr>
          <w:p>
            <w:r>
              <w:rPr>
                <w:b w:val="false"/>
                <w:bCs w:val="false"/>
                <w:color w:val="000000"/>
                <w:sz w:val="20"/>
                <w:szCs w:val="20"/>
              </w:rPr>
              <w:t xml:space="preserve">Turvo + Magnus concatenated, plus a SourceName_is_Magnus indicator</w:t>
            </w:r>
          </w:p>
        </w:tc>
      </w:tr>
    </w:tbl>
    <w:p>
      <w:pPr>
        <w:pStyle w:val="Heading1"/>
        <w:spacing w:after="150" w:before="300"/>
      </w:pPr>
      <w:r>
        <w:t xml:space="preserve">8. Modeling Methodology</w:t>
      </w:r>
    </w:p>
    <w:p>
      <w:pPr>
        <w:pStyle w:val="ListParagraph"/>
        <w:numPr>
          <w:ilvl w:val="0"/>
          <w:numId w:val="1"/>
        </w:numPr>
        <w:spacing w:after="60"/>
      </w:pPr>
      <w:r>
        <w:t xml:space="preserve">Split: 80% train / 10% validation / 10% test (stratified by segment for the Overall model), fixed random seed for reproducibility</w:t>
      </w:r>
    </w:p>
    <w:p>
      <w:pPr>
        <w:pStyle w:val="ListParagraph"/>
        <w:numPr>
          <w:ilvl w:val="0"/>
          <w:numId w:val="1"/>
        </w:numPr>
        <w:spacing w:after="60"/>
      </w:pPr>
      <w:r>
        <w:t xml:space="preserve">Algorithms: XGBoost, LightGBM, CatBoost (400 trees, depth 6, learning rate 0.05, early stopping on validation loss)</w:t>
      </w:r>
    </w:p>
    <w:p>
      <w:pPr>
        <w:pStyle w:val="ListParagraph"/>
        <w:numPr>
          <w:ilvl w:val="0"/>
          <w:numId w:val="1"/>
        </w:numPr>
        <w:spacing w:after="60"/>
      </w:pPr>
      <w:r>
        <w:t xml:space="preserve">Target transform: each algorithm trained twice per segment - once on the raw TotalCost target, once on log1p(TotalCost). Log1p predictions are transformed back to dollars with expm1 before scoring, so all metrics below are directly comparable across both transform choices.</w:t>
      </w:r>
    </w:p>
    <w:p>
      <w:pPr>
        <w:pStyle w:val="ListParagraph"/>
        <w:numPr>
          <w:ilvl w:val="0"/>
          <w:numId w:val="1"/>
        </w:numPr>
        <w:spacing w:after="60"/>
      </w:pPr>
      <w:r>
        <w:t xml:space="preserve">Explainability: SHAP TreeExplainer summary plots generated for all 18 resulting models (500-row test-set sample each)</w:t>
      </w:r>
    </w:p>
    <w:p>
      <w:pPr>
        <w:pStyle w:val="ListParagraph"/>
        <w:numPr>
          <w:ilvl w:val="0"/>
          <w:numId w:val="1"/>
        </w:numPr>
        <w:spacing w:after="60"/>
      </w:pPr>
      <w:r>
        <w:t xml:space="preserve">Error metrics: MAE, MAPE, RMSE, R² on the held-out test set, for every segment x algorithm x transform combination (18 models total)</w:t>
      </w:r>
    </w:p>
    <w:p>
      <w:pPr>
        <w:pStyle w:val="Heading1"/>
        <w:spacing w:after="150" w:before="300"/>
      </w:pPr>
      <w:r>
        <w:t xml:space="preserve">9. Model Performance Comparison</w:t>
      </w:r>
    </w:p>
    <w:tbl>
      <w:tblPr>
        <w:tblW w:type="dxa" w:w="16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gridCol w:w="2300"/>
        <w:gridCol w:w="2300"/>
        <w:gridCol w:w="2300"/>
      </w:tblGrid>
      <w:tr>
        <w:tc>
          <w:tcPr>
            <w:tcW w:type="dxa" w:w="2300"/>
            <w:shd w:fill="2F5496" w:val="clear"/>
          </w:tcPr>
          <w:p>
            <w:r>
              <w:rPr>
                <w:b/>
                <w:bCs/>
                <w:color w:val="FFFFFF"/>
                <w:sz w:val="20"/>
                <w:szCs w:val="20"/>
              </w:rPr>
              <w:t xml:space="preserve">Segment</w:t>
            </w:r>
          </w:p>
        </w:tc>
        <w:tc>
          <w:tcPr>
            <w:tcW w:type="dxa" w:w="2300"/>
            <w:shd w:fill="2F5496" w:val="clear"/>
          </w:tcPr>
          <w:p>
            <w:r>
              <w:rPr>
                <w:b/>
                <w:bCs/>
                <w:color w:val="FFFFFF"/>
                <w:sz w:val="20"/>
                <w:szCs w:val="20"/>
              </w:rPr>
              <w:t xml:space="preserve">Algorithm</w:t>
            </w:r>
          </w:p>
        </w:tc>
        <w:tc>
          <w:tcPr>
            <w:tcW w:type="dxa" w:w="2300"/>
            <w:shd w:fill="2F5496" w:val="clear"/>
          </w:tcPr>
          <w:p>
            <w:r>
              <w:rPr>
                <w:b/>
                <w:bCs/>
                <w:color w:val="FFFFFF"/>
                <w:sz w:val="20"/>
                <w:szCs w:val="20"/>
              </w:rPr>
              <w:t xml:space="preserve">Transform</w:t>
            </w:r>
          </w:p>
        </w:tc>
        <w:tc>
          <w:tcPr>
            <w:tcW w:type="dxa" w:w="2300"/>
            <w:shd w:fill="2F5496" w:val="clear"/>
          </w:tcPr>
          <w:p>
            <w:r>
              <w:rPr>
                <w:b/>
                <w:bCs/>
                <w:color w:val="FFFFFF"/>
                <w:sz w:val="20"/>
                <w:szCs w:val="20"/>
              </w:rPr>
              <w:t xml:space="preserve">MAE ($)</w:t>
            </w:r>
          </w:p>
        </w:tc>
        <w:tc>
          <w:tcPr>
            <w:tcW w:type="dxa" w:w="2300"/>
            <w:shd w:fill="2F5496" w:val="clear"/>
          </w:tcPr>
          <w:p>
            <w:r>
              <w:rPr>
                <w:b/>
                <w:bCs/>
                <w:color w:val="FFFFFF"/>
                <w:sz w:val="20"/>
                <w:szCs w:val="20"/>
              </w:rPr>
              <w:t xml:space="preserve">RMSE ($)</w:t>
            </w:r>
          </w:p>
        </w:tc>
        <w:tc>
          <w:tcPr>
            <w:tcW w:type="dxa" w:w="2300"/>
            <w:shd w:fill="2F5496" w:val="clear"/>
          </w:tcPr>
          <w:p>
            <w:r>
              <w:rPr>
                <w:b/>
                <w:bCs/>
                <w:color w:val="FFFFFF"/>
                <w:sz w:val="20"/>
                <w:szCs w:val="20"/>
              </w:rPr>
              <w:t xml:space="preserve">MAPE (%)</w:t>
            </w:r>
          </w:p>
        </w:tc>
        <w:tc>
          <w:tcPr>
            <w:tcW w:type="dxa" w:w="2300"/>
            <w:shd w:fill="2F5496" w:val="clear"/>
          </w:tcPr>
          <w:p>
            <w:r>
              <w:rPr>
                <w:b/>
                <w:bCs/>
                <w:color w:val="FFFFFF"/>
                <w:sz w:val="20"/>
                <w:szCs w:val="20"/>
              </w:rPr>
              <w:t xml:space="preserve">R²</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85.9</w:t>
            </w:r>
          </w:p>
        </w:tc>
        <w:tc>
          <w:tcPr>
            <w:tcW w:type="dxa" w:w="2300"/>
          </w:tcPr>
          <w:p>
            <w:r>
              <w:rPr>
                <w:b w:val="false"/>
                <w:bCs w:val="false"/>
                <w:color w:val="000000"/>
                <w:sz w:val="20"/>
                <w:szCs w:val="20"/>
              </w:rPr>
              <w:t xml:space="preserve">147.1</w:t>
            </w:r>
          </w:p>
        </w:tc>
        <w:tc>
          <w:tcPr>
            <w:tcW w:type="dxa" w:w="2300"/>
          </w:tcPr>
          <w:p>
            <w:r>
              <w:rPr>
                <w:b w:val="false"/>
                <w:bCs w:val="false"/>
                <w:color w:val="000000"/>
                <w:sz w:val="20"/>
                <w:szCs w:val="20"/>
              </w:rPr>
              <w:t xml:space="preserve">21.0%</w:t>
            </w:r>
          </w:p>
        </w:tc>
        <w:tc>
          <w:tcPr>
            <w:tcW w:type="dxa" w:w="2300"/>
          </w:tcPr>
          <w:p>
            <w:r>
              <w:rPr>
                <w:b w:val="false"/>
                <w:bCs w:val="false"/>
                <w:color w:val="000000"/>
                <w:sz w:val="20"/>
                <w:szCs w:val="20"/>
              </w:rPr>
              <w:t xml:space="preserve">0.947</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87.4</w:t>
            </w:r>
          </w:p>
        </w:tc>
        <w:tc>
          <w:tcPr>
            <w:tcW w:type="dxa" w:w="2300"/>
          </w:tcPr>
          <w:p>
            <w:r>
              <w:rPr>
                <w:b w:val="false"/>
                <w:bCs w:val="false"/>
                <w:color w:val="000000"/>
                <w:sz w:val="20"/>
                <w:szCs w:val="20"/>
              </w:rPr>
              <w:t xml:space="preserve">152.3</w:t>
            </w:r>
          </w:p>
        </w:tc>
        <w:tc>
          <w:tcPr>
            <w:tcW w:type="dxa" w:w="2300"/>
          </w:tcPr>
          <w:p>
            <w:r>
              <w:rPr>
                <w:b w:val="false"/>
                <w:bCs w:val="false"/>
                <w:color w:val="000000"/>
                <w:sz w:val="20"/>
                <w:szCs w:val="20"/>
              </w:rPr>
              <w:t xml:space="preserve">19.1%</w:t>
            </w:r>
          </w:p>
        </w:tc>
        <w:tc>
          <w:tcPr>
            <w:tcW w:type="dxa" w:w="2300"/>
          </w:tcPr>
          <w:p>
            <w:r>
              <w:rPr>
                <w:b w:val="false"/>
                <w:bCs w:val="false"/>
                <w:color w:val="000000"/>
                <w:sz w:val="20"/>
                <w:szCs w:val="20"/>
              </w:rPr>
              <w:t xml:space="preserve">0.943</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87.7</w:t>
            </w:r>
          </w:p>
        </w:tc>
        <w:tc>
          <w:tcPr>
            <w:tcW w:type="dxa" w:w="2300"/>
          </w:tcPr>
          <w:p>
            <w:r>
              <w:rPr>
                <w:b w:val="false"/>
                <w:bCs w:val="false"/>
                <w:color w:val="000000"/>
                <w:sz w:val="20"/>
                <w:szCs w:val="20"/>
              </w:rPr>
              <w:t xml:space="preserve">149.2</w:t>
            </w:r>
          </w:p>
        </w:tc>
        <w:tc>
          <w:tcPr>
            <w:tcW w:type="dxa" w:w="2300"/>
          </w:tcPr>
          <w:p>
            <w:r>
              <w:rPr>
                <w:b w:val="false"/>
                <w:bCs w:val="false"/>
                <w:color w:val="000000"/>
                <w:sz w:val="20"/>
                <w:szCs w:val="20"/>
              </w:rPr>
              <w:t xml:space="preserve">21.5%</w:t>
            </w:r>
          </w:p>
        </w:tc>
        <w:tc>
          <w:tcPr>
            <w:tcW w:type="dxa" w:w="2300"/>
          </w:tcPr>
          <w:p>
            <w:r>
              <w:rPr>
                <w:b w:val="false"/>
                <w:bCs w:val="false"/>
                <w:color w:val="000000"/>
                <w:sz w:val="20"/>
                <w:szCs w:val="20"/>
              </w:rPr>
              <w:t xml:space="preserve">0.945</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89.1</w:t>
            </w:r>
          </w:p>
        </w:tc>
        <w:tc>
          <w:tcPr>
            <w:tcW w:type="dxa" w:w="2300"/>
          </w:tcPr>
          <w:p>
            <w:r>
              <w:rPr>
                <w:b w:val="false"/>
                <w:bCs w:val="false"/>
                <w:color w:val="000000"/>
                <w:sz w:val="20"/>
                <w:szCs w:val="20"/>
              </w:rPr>
              <w:t xml:space="preserve">154.3</w:t>
            </w:r>
          </w:p>
        </w:tc>
        <w:tc>
          <w:tcPr>
            <w:tcW w:type="dxa" w:w="2300"/>
          </w:tcPr>
          <w:p>
            <w:r>
              <w:rPr>
                <w:b w:val="false"/>
                <w:bCs w:val="false"/>
                <w:color w:val="000000"/>
                <w:sz w:val="20"/>
                <w:szCs w:val="20"/>
              </w:rPr>
              <w:t xml:space="preserve">19.4%</w:t>
            </w:r>
          </w:p>
        </w:tc>
        <w:tc>
          <w:tcPr>
            <w:tcW w:type="dxa" w:w="2300"/>
          </w:tcPr>
          <w:p>
            <w:r>
              <w:rPr>
                <w:b w:val="false"/>
                <w:bCs w:val="false"/>
                <w:color w:val="000000"/>
                <w:sz w:val="20"/>
                <w:szCs w:val="20"/>
              </w:rPr>
              <w:t xml:space="preserve">0.942</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92.8</w:t>
            </w:r>
          </w:p>
        </w:tc>
        <w:tc>
          <w:tcPr>
            <w:tcW w:type="dxa" w:w="2300"/>
          </w:tcPr>
          <w:p>
            <w:r>
              <w:rPr>
                <w:b w:val="false"/>
                <w:bCs w:val="false"/>
                <w:color w:val="000000"/>
                <w:sz w:val="20"/>
                <w:szCs w:val="20"/>
              </w:rPr>
              <w:t xml:space="preserve">156.1</w:t>
            </w:r>
          </w:p>
        </w:tc>
        <w:tc>
          <w:tcPr>
            <w:tcW w:type="dxa" w:w="2300"/>
          </w:tcPr>
          <w:p>
            <w:r>
              <w:rPr>
                <w:b w:val="false"/>
                <w:bCs w:val="false"/>
                <w:color w:val="000000"/>
                <w:sz w:val="20"/>
                <w:szCs w:val="20"/>
              </w:rPr>
              <w:t xml:space="preserve">22.6%</w:t>
            </w:r>
          </w:p>
        </w:tc>
        <w:tc>
          <w:tcPr>
            <w:tcW w:type="dxa" w:w="2300"/>
          </w:tcPr>
          <w:p>
            <w:r>
              <w:rPr>
                <w:b w:val="false"/>
                <w:bCs w:val="false"/>
                <w:color w:val="000000"/>
                <w:sz w:val="20"/>
                <w:szCs w:val="20"/>
              </w:rPr>
              <w:t xml:space="preserve">0.940</w:t>
            </w:r>
          </w:p>
        </w:tc>
      </w:tr>
      <w:tr>
        <w:tc>
          <w:tcPr>
            <w:tcW w:type="dxa" w:w="2300"/>
          </w:tcPr>
          <w:p>
            <w:r>
              <w:rPr>
                <w:b w:val="false"/>
                <w:bCs w:val="false"/>
                <w:color w:val="000000"/>
                <w:sz w:val="20"/>
                <w:szCs w:val="20"/>
              </w:rPr>
              <w:t xml:space="preserve">Overall</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94.6</w:t>
            </w:r>
          </w:p>
        </w:tc>
        <w:tc>
          <w:tcPr>
            <w:tcW w:type="dxa" w:w="2300"/>
          </w:tcPr>
          <w:p>
            <w:r>
              <w:rPr>
                <w:b w:val="false"/>
                <w:bCs w:val="false"/>
                <w:color w:val="000000"/>
                <w:sz w:val="20"/>
                <w:szCs w:val="20"/>
              </w:rPr>
              <w:t xml:space="preserve">162.2</w:t>
            </w:r>
          </w:p>
        </w:tc>
        <w:tc>
          <w:tcPr>
            <w:tcW w:type="dxa" w:w="2300"/>
          </w:tcPr>
          <w:p>
            <w:r>
              <w:rPr>
                <w:b w:val="false"/>
                <w:bCs w:val="false"/>
                <w:color w:val="000000"/>
                <w:sz w:val="20"/>
                <w:szCs w:val="20"/>
              </w:rPr>
              <w:t xml:space="preserve">20.5%</w:t>
            </w:r>
          </w:p>
        </w:tc>
        <w:tc>
          <w:tcPr>
            <w:tcW w:type="dxa" w:w="2300"/>
          </w:tcPr>
          <w:p>
            <w:r>
              <w:rPr>
                <w:b w:val="false"/>
                <w:bCs w:val="false"/>
                <w:color w:val="000000"/>
                <w:sz w:val="20"/>
                <w:szCs w:val="20"/>
              </w:rPr>
              <w:t xml:space="preserve">0.935</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87.3</w:t>
            </w:r>
          </w:p>
        </w:tc>
        <w:tc>
          <w:tcPr>
            <w:tcW w:type="dxa" w:w="2300"/>
          </w:tcPr>
          <w:p>
            <w:r>
              <w:rPr>
                <w:b w:val="false"/>
                <w:bCs w:val="false"/>
                <w:color w:val="000000"/>
                <w:sz w:val="20"/>
                <w:szCs w:val="20"/>
              </w:rPr>
              <w:t xml:space="preserve">148.9</w:t>
            </w:r>
          </w:p>
        </w:tc>
        <w:tc>
          <w:tcPr>
            <w:tcW w:type="dxa" w:w="2300"/>
          </w:tcPr>
          <w:p>
            <w:r>
              <w:rPr>
                <w:b w:val="false"/>
                <w:bCs w:val="false"/>
                <w:color w:val="000000"/>
                <w:sz w:val="20"/>
                <w:szCs w:val="20"/>
              </w:rPr>
              <w:t xml:space="preserve">20.2%</w:t>
            </w:r>
          </w:p>
        </w:tc>
        <w:tc>
          <w:tcPr>
            <w:tcW w:type="dxa" w:w="2300"/>
          </w:tcPr>
          <w:p>
            <w:r>
              <w:rPr>
                <w:b w:val="false"/>
                <w:bCs w:val="false"/>
                <w:color w:val="000000"/>
                <w:sz w:val="20"/>
                <w:szCs w:val="20"/>
              </w:rPr>
              <w:t xml:space="preserve">0.949</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89.2</w:t>
            </w:r>
          </w:p>
        </w:tc>
        <w:tc>
          <w:tcPr>
            <w:tcW w:type="dxa" w:w="2300"/>
          </w:tcPr>
          <w:p>
            <w:r>
              <w:rPr>
                <w:b w:val="false"/>
                <w:bCs w:val="false"/>
                <w:color w:val="000000"/>
                <w:sz w:val="20"/>
                <w:szCs w:val="20"/>
              </w:rPr>
              <w:t xml:space="preserve">154.3</w:t>
            </w:r>
          </w:p>
        </w:tc>
        <w:tc>
          <w:tcPr>
            <w:tcW w:type="dxa" w:w="2300"/>
          </w:tcPr>
          <w:p>
            <w:r>
              <w:rPr>
                <w:b w:val="false"/>
                <w:bCs w:val="false"/>
                <w:color w:val="000000"/>
                <w:sz w:val="20"/>
                <w:szCs w:val="20"/>
              </w:rPr>
              <w:t xml:space="preserve">18.4%</w:t>
            </w:r>
          </w:p>
        </w:tc>
        <w:tc>
          <w:tcPr>
            <w:tcW w:type="dxa" w:w="2300"/>
          </w:tcPr>
          <w:p>
            <w:r>
              <w:rPr>
                <w:b w:val="false"/>
                <w:bCs w:val="false"/>
                <w:color w:val="000000"/>
                <w:sz w:val="20"/>
                <w:szCs w:val="20"/>
              </w:rPr>
              <w:t xml:space="preserve">0.946</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88.9</w:t>
            </w:r>
          </w:p>
        </w:tc>
        <w:tc>
          <w:tcPr>
            <w:tcW w:type="dxa" w:w="2300"/>
          </w:tcPr>
          <w:p>
            <w:r>
              <w:rPr>
                <w:b w:val="false"/>
                <w:bCs w:val="false"/>
                <w:color w:val="000000"/>
                <w:sz w:val="20"/>
                <w:szCs w:val="20"/>
              </w:rPr>
              <w:t xml:space="preserve">150.8</w:t>
            </w:r>
          </w:p>
        </w:tc>
        <w:tc>
          <w:tcPr>
            <w:tcW w:type="dxa" w:w="2300"/>
          </w:tcPr>
          <w:p>
            <w:r>
              <w:rPr>
                <w:b w:val="false"/>
                <w:bCs w:val="false"/>
                <w:color w:val="000000"/>
                <w:sz w:val="20"/>
                <w:szCs w:val="20"/>
              </w:rPr>
              <w:t xml:space="preserve">20.6%</w:t>
            </w:r>
          </w:p>
        </w:tc>
        <w:tc>
          <w:tcPr>
            <w:tcW w:type="dxa" w:w="2300"/>
          </w:tcPr>
          <w:p>
            <w:r>
              <w:rPr>
                <w:b w:val="false"/>
                <w:bCs w:val="false"/>
                <w:color w:val="000000"/>
                <w:sz w:val="20"/>
                <w:szCs w:val="20"/>
              </w:rPr>
              <w:t xml:space="preserve">0.948</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91.5</w:t>
            </w:r>
          </w:p>
        </w:tc>
        <w:tc>
          <w:tcPr>
            <w:tcW w:type="dxa" w:w="2300"/>
          </w:tcPr>
          <w:p>
            <w:r>
              <w:rPr>
                <w:b w:val="false"/>
                <w:bCs w:val="false"/>
                <w:color w:val="000000"/>
                <w:sz w:val="20"/>
                <w:szCs w:val="20"/>
              </w:rPr>
              <w:t xml:space="preserve">157.4</w:t>
            </w:r>
          </w:p>
        </w:tc>
        <w:tc>
          <w:tcPr>
            <w:tcW w:type="dxa" w:w="2300"/>
          </w:tcPr>
          <w:p>
            <w:r>
              <w:rPr>
                <w:b w:val="false"/>
                <w:bCs w:val="false"/>
                <w:color w:val="000000"/>
                <w:sz w:val="20"/>
                <w:szCs w:val="20"/>
              </w:rPr>
              <w:t xml:space="preserve">18.7%</w:t>
            </w:r>
          </w:p>
        </w:tc>
        <w:tc>
          <w:tcPr>
            <w:tcW w:type="dxa" w:w="2300"/>
          </w:tcPr>
          <w:p>
            <w:r>
              <w:rPr>
                <w:b w:val="false"/>
                <w:bCs w:val="false"/>
                <w:color w:val="000000"/>
                <w:sz w:val="20"/>
                <w:szCs w:val="20"/>
              </w:rPr>
              <w:t xml:space="preserve">0.944</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93.6</w:t>
            </w:r>
          </w:p>
        </w:tc>
        <w:tc>
          <w:tcPr>
            <w:tcW w:type="dxa" w:w="2300"/>
          </w:tcPr>
          <w:p>
            <w:r>
              <w:rPr>
                <w:b w:val="false"/>
                <w:bCs w:val="false"/>
                <w:color w:val="000000"/>
                <w:sz w:val="20"/>
                <w:szCs w:val="20"/>
              </w:rPr>
              <w:t xml:space="preserve">156.8</w:t>
            </w:r>
          </w:p>
        </w:tc>
        <w:tc>
          <w:tcPr>
            <w:tcW w:type="dxa" w:w="2300"/>
          </w:tcPr>
          <w:p>
            <w:r>
              <w:rPr>
                <w:b w:val="false"/>
                <w:bCs w:val="false"/>
                <w:color w:val="000000"/>
                <w:sz w:val="20"/>
                <w:szCs w:val="20"/>
              </w:rPr>
              <w:t xml:space="preserve">21.6%</w:t>
            </w:r>
          </w:p>
        </w:tc>
        <w:tc>
          <w:tcPr>
            <w:tcW w:type="dxa" w:w="2300"/>
          </w:tcPr>
          <w:p>
            <w:r>
              <w:rPr>
                <w:b w:val="false"/>
                <w:bCs w:val="false"/>
                <w:color w:val="000000"/>
                <w:sz w:val="20"/>
                <w:szCs w:val="20"/>
              </w:rPr>
              <w:t xml:space="preserve">0.944</w:t>
            </w:r>
          </w:p>
        </w:tc>
      </w:tr>
      <w:tr>
        <w:tc>
          <w:tcPr>
            <w:tcW w:type="dxa" w:w="2300"/>
          </w:tcPr>
          <w:p>
            <w:r>
              <w:rPr>
                <w:b w:val="false"/>
                <w:bCs w:val="false"/>
                <w:color w:val="000000"/>
                <w:sz w:val="20"/>
                <w:szCs w:val="20"/>
              </w:rPr>
              <w:t xml:space="preserve">Turvo</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96.9</w:t>
            </w:r>
          </w:p>
        </w:tc>
        <w:tc>
          <w:tcPr>
            <w:tcW w:type="dxa" w:w="2300"/>
          </w:tcPr>
          <w:p>
            <w:r>
              <w:rPr>
                <w:b w:val="false"/>
                <w:bCs w:val="false"/>
                <w:color w:val="000000"/>
                <w:sz w:val="20"/>
                <w:szCs w:val="20"/>
              </w:rPr>
              <w:t xml:space="preserve">163.9</w:t>
            </w:r>
          </w:p>
        </w:tc>
        <w:tc>
          <w:tcPr>
            <w:tcW w:type="dxa" w:w="2300"/>
          </w:tcPr>
          <w:p>
            <w:r>
              <w:rPr>
                <w:b w:val="false"/>
                <w:bCs w:val="false"/>
                <w:color w:val="000000"/>
                <w:sz w:val="20"/>
                <w:szCs w:val="20"/>
              </w:rPr>
              <w:t xml:space="preserve">19.8%</w:t>
            </w:r>
          </w:p>
        </w:tc>
        <w:tc>
          <w:tcPr>
            <w:tcW w:type="dxa" w:w="2300"/>
          </w:tcPr>
          <w:p>
            <w:r>
              <w:rPr>
                <w:b w:val="false"/>
                <w:bCs w:val="false"/>
                <w:color w:val="000000"/>
                <w:sz w:val="20"/>
                <w:szCs w:val="20"/>
              </w:rPr>
              <w:t xml:space="preserve">0.939</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59.3</w:t>
            </w:r>
          </w:p>
        </w:tc>
        <w:tc>
          <w:tcPr>
            <w:tcW w:type="dxa" w:w="2300"/>
          </w:tcPr>
          <w:p>
            <w:r>
              <w:rPr>
                <w:b w:val="false"/>
                <w:bCs w:val="false"/>
                <w:color w:val="000000"/>
                <w:sz w:val="20"/>
                <w:szCs w:val="20"/>
              </w:rPr>
              <w:t xml:space="preserve">113.1</w:t>
            </w:r>
          </w:p>
        </w:tc>
        <w:tc>
          <w:tcPr>
            <w:tcW w:type="dxa" w:w="2300"/>
          </w:tcPr>
          <w:p>
            <w:r>
              <w:rPr>
                <w:b w:val="false"/>
                <w:bCs w:val="false"/>
                <w:color w:val="000000"/>
                <w:sz w:val="20"/>
                <w:szCs w:val="20"/>
              </w:rPr>
              <w:t xml:space="preserve">20.6%</w:t>
            </w:r>
          </w:p>
        </w:tc>
        <w:tc>
          <w:tcPr>
            <w:tcW w:type="dxa" w:w="2300"/>
          </w:tcPr>
          <w:p>
            <w:r>
              <w:rPr>
                <w:b w:val="false"/>
                <w:bCs w:val="false"/>
                <w:color w:val="000000"/>
                <w:sz w:val="20"/>
                <w:szCs w:val="20"/>
              </w:rPr>
              <w:t xml:space="preserve">0.859</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XGBoost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58.4</w:t>
            </w:r>
          </w:p>
        </w:tc>
        <w:tc>
          <w:tcPr>
            <w:tcW w:type="dxa" w:w="2300"/>
          </w:tcPr>
          <w:p>
            <w:r>
              <w:rPr>
                <w:b w:val="false"/>
                <w:bCs w:val="false"/>
                <w:color w:val="000000"/>
                <w:sz w:val="20"/>
                <w:szCs w:val="20"/>
              </w:rPr>
              <w:t xml:space="preserve">118.2</w:t>
            </w:r>
          </w:p>
        </w:tc>
        <w:tc>
          <w:tcPr>
            <w:tcW w:type="dxa" w:w="2300"/>
          </w:tcPr>
          <w:p>
            <w:r>
              <w:rPr>
                <w:b w:val="false"/>
                <w:bCs w:val="false"/>
                <w:color w:val="000000"/>
                <w:sz w:val="20"/>
                <w:szCs w:val="20"/>
              </w:rPr>
              <w:t xml:space="preserve">18.1%</w:t>
            </w:r>
          </w:p>
        </w:tc>
        <w:tc>
          <w:tcPr>
            <w:tcW w:type="dxa" w:w="2300"/>
          </w:tcPr>
          <w:p>
            <w:r>
              <w:rPr>
                <w:b w:val="false"/>
                <w:bCs w:val="false"/>
                <w:color w:val="000000"/>
                <w:sz w:val="20"/>
                <w:szCs w:val="20"/>
              </w:rPr>
              <w:t xml:space="preserve">0.846</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59.9</w:t>
            </w:r>
          </w:p>
        </w:tc>
        <w:tc>
          <w:tcPr>
            <w:tcW w:type="dxa" w:w="2300"/>
          </w:tcPr>
          <w:p>
            <w:r>
              <w:rPr>
                <w:b w:val="false"/>
                <w:bCs w:val="false"/>
                <w:color w:val="000000"/>
                <w:sz w:val="20"/>
                <w:szCs w:val="20"/>
              </w:rPr>
              <w:t xml:space="preserve">112.7</w:t>
            </w:r>
          </w:p>
        </w:tc>
        <w:tc>
          <w:tcPr>
            <w:tcW w:type="dxa" w:w="2300"/>
          </w:tcPr>
          <w:p>
            <w:r>
              <w:rPr>
                <w:b w:val="false"/>
                <w:bCs w:val="false"/>
                <w:color w:val="000000"/>
                <w:sz w:val="20"/>
                <w:szCs w:val="20"/>
              </w:rPr>
              <w:t xml:space="preserve">20.7%</w:t>
            </w:r>
          </w:p>
        </w:tc>
        <w:tc>
          <w:tcPr>
            <w:tcW w:type="dxa" w:w="2300"/>
          </w:tcPr>
          <w:p>
            <w:r>
              <w:rPr>
                <w:b w:val="false"/>
                <w:bCs w:val="false"/>
                <w:color w:val="000000"/>
                <w:sz w:val="20"/>
                <w:szCs w:val="20"/>
              </w:rPr>
              <w:t xml:space="preserve">0.860</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LightGBM</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58.7</w:t>
            </w:r>
          </w:p>
        </w:tc>
        <w:tc>
          <w:tcPr>
            <w:tcW w:type="dxa" w:w="2300"/>
          </w:tcPr>
          <w:p>
            <w:r>
              <w:rPr>
                <w:b w:val="false"/>
                <w:bCs w:val="false"/>
                <w:color w:val="000000"/>
                <w:sz w:val="20"/>
                <w:szCs w:val="20"/>
              </w:rPr>
              <w:t xml:space="preserve">118.8</w:t>
            </w:r>
          </w:p>
        </w:tc>
        <w:tc>
          <w:tcPr>
            <w:tcW w:type="dxa" w:w="2300"/>
          </w:tcPr>
          <w:p>
            <w:r>
              <w:rPr>
                <w:b w:val="false"/>
                <w:bCs w:val="false"/>
                <w:color w:val="000000"/>
                <w:sz w:val="20"/>
                <w:szCs w:val="20"/>
              </w:rPr>
              <w:t xml:space="preserve">18.2%</w:t>
            </w:r>
          </w:p>
        </w:tc>
        <w:tc>
          <w:tcPr>
            <w:tcW w:type="dxa" w:w="2300"/>
          </w:tcPr>
          <w:p>
            <w:r>
              <w:rPr>
                <w:b w:val="false"/>
                <w:bCs w:val="false"/>
                <w:color w:val="000000"/>
                <w:sz w:val="20"/>
                <w:szCs w:val="20"/>
              </w:rPr>
              <w:t xml:space="preserve">0.844</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raw</w:t>
            </w:r>
          </w:p>
        </w:tc>
        <w:tc>
          <w:tcPr>
            <w:tcW w:type="dxa" w:w="2300"/>
          </w:tcPr>
          <w:p>
            <w:r>
              <w:rPr>
                <w:b w:val="false"/>
                <w:bCs w:val="false"/>
                <w:color w:val="000000"/>
                <w:sz w:val="20"/>
                <w:szCs w:val="20"/>
              </w:rPr>
              <w:t xml:space="preserve">64.3</w:t>
            </w:r>
          </w:p>
        </w:tc>
        <w:tc>
          <w:tcPr>
            <w:tcW w:type="dxa" w:w="2300"/>
          </w:tcPr>
          <w:p>
            <w:r>
              <w:rPr>
                <w:b w:val="false"/>
                <w:bCs w:val="false"/>
                <w:color w:val="000000"/>
                <w:sz w:val="20"/>
                <w:szCs w:val="20"/>
              </w:rPr>
              <w:t xml:space="preserve">118.2</w:t>
            </w:r>
          </w:p>
        </w:tc>
        <w:tc>
          <w:tcPr>
            <w:tcW w:type="dxa" w:w="2300"/>
          </w:tcPr>
          <w:p>
            <w:r>
              <w:rPr>
                <w:b w:val="false"/>
                <w:bCs w:val="false"/>
                <w:color w:val="000000"/>
                <w:sz w:val="20"/>
                <w:szCs w:val="20"/>
              </w:rPr>
              <w:t xml:space="preserve">22.4%</w:t>
            </w:r>
          </w:p>
        </w:tc>
        <w:tc>
          <w:tcPr>
            <w:tcW w:type="dxa" w:w="2300"/>
          </w:tcPr>
          <w:p>
            <w:r>
              <w:rPr>
                <w:b w:val="false"/>
                <w:bCs w:val="false"/>
                <w:color w:val="000000"/>
                <w:sz w:val="20"/>
                <w:szCs w:val="20"/>
              </w:rPr>
              <w:t xml:space="preserve">0.846</w:t>
            </w:r>
          </w:p>
        </w:tc>
      </w:tr>
      <w:tr>
        <w:tc>
          <w:tcPr>
            <w:tcW w:type="dxa" w:w="2300"/>
          </w:tcPr>
          <w:p>
            <w:r>
              <w:rPr>
                <w:b w:val="false"/>
                <w:bCs w:val="false"/>
                <w:color w:val="000000"/>
                <w:sz w:val="20"/>
                <w:szCs w:val="20"/>
              </w:rPr>
              <w:t xml:space="preserve">Magnus</w:t>
            </w:r>
          </w:p>
        </w:tc>
        <w:tc>
          <w:tcPr>
            <w:tcW w:type="dxa" w:w="2300"/>
          </w:tcPr>
          <w:p>
            <w:r>
              <w:rPr>
                <w:b w:val="false"/>
                <w:bCs w:val="false"/>
                <w:color w:val="000000"/>
                <w:sz w:val="20"/>
                <w:szCs w:val="20"/>
              </w:rPr>
              <w:t xml:space="preserve">CatBoost</w:t>
            </w:r>
          </w:p>
        </w:tc>
        <w:tc>
          <w:tcPr>
            <w:tcW w:type="dxa" w:w="2300"/>
          </w:tcPr>
          <w:p>
            <w:r>
              <w:rPr>
                <w:b w:val="false"/>
                <w:bCs w:val="false"/>
                <w:color w:val="000000"/>
                <w:sz w:val="20"/>
                <w:szCs w:val="20"/>
              </w:rPr>
              <w:t xml:space="preserve">log1p</w:t>
            </w:r>
          </w:p>
        </w:tc>
        <w:tc>
          <w:tcPr>
            <w:tcW w:type="dxa" w:w="2300"/>
          </w:tcPr>
          <w:p>
            <w:r>
              <w:rPr>
                <w:b w:val="false"/>
                <w:bCs w:val="false"/>
                <w:color w:val="000000"/>
                <w:sz w:val="20"/>
                <w:szCs w:val="20"/>
              </w:rPr>
              <w:t xml:space="preserve">61.1</w:t>
            </w:r>
          </w:p>
        </w:tc>
        <w:tc>
          <w:tcPr>
            <w:tcW w:type="dxa" w:w="2300"/>
          </w:tcPr>
          <w:p>
            <w:r>
              <w:rPr>
                <w:b w:val="false"/>
                <w:bCs w:val="false"/>
                <w:color w:val="000000"/>
                <w:sz w:val="20"/>
                <w:szCs w:val="20"/>
              </w:rPr>
              <w:t xml:space="preserve">122.7</w:t>
            </w:r>
          </w:p>
        </w:tc>
        <w:tc>
          <w:tcPr>
            <w:tcW w:type="dxa" w:w="2300"/>
          </w:tcPr>
          <w:p>
            <w:r>
              <w:rPr>
                <w:b w:val="false"/>
                <w:bCs w:val="false"/>
                <w:color w:val="000000"/>
                <w:sz w:val="20"/>
                <w:szCs w:val="20"/>
              </w:rPr>
              <w:t xml:space="preserve">19.3%</w:t>
            </w:r>
          </w:p>
        </w:tc>
        <w:tc>
          <w:tcPr>
            <w:tcW w:type="dxa" w:w="2300"/>
          </w:tcPr>
          <w:p>
            <w:r>
              <w:rPr>
                <w:b w:val="false"/>
                <w:bCs w:val="false"/>
                <w:color w:val="000000"/>
                <w:sz w:val="20"/>
                <w:szCs w:val="20"/>
              </w:rPr>
              <w:t xml:space="preserve">0.834</w:t>
            </w:r>
          </w:p>
        </w:tc>
      </w:tr>
    </w:tbl>
    <w:p>
      <w:pPr>
        <w:spacing w:after="200"/>
        <w:jc w:val="center"/>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76700"/>
                    </a:xfrm>
                    <a:prstGeom prst="rect">
                      <a:avLst/>
                    </a:prstGeom>
                  </pic:spPr>
                </pic:pic>
              </a:graphicData>
            </a:graphic>
          </wp:inline>
        </w:drawing>
      </w:r>
    </w:p>
    <w:p>
      <w:pPr>
        <w:spacing w:after="260"/>
        <w:jc w:val="center"/>
      </w:pPr>
      <w:r>
        <w:rPr>
          <w:i/>
          <w:iCs/>
          <w:sz w:val="18"/>
          <w:szCs w:val="18"/>
        </w:rPr>
        <w:t xml:space="preserve">Figure 8. MAE / RMSE / MAPE / R² across all 18 models, grouped by segment.</w:t>
      </w:r>
    </w:p>
    <w:p>
      <w:pPr>
        <w:pStyle w:val="Heading2"/>
        <w:spacing w:after="100" w:before="200"/>
      </w:pPr>
      <w:r>
        <w:t xml:space="preserve">9.1 Key findings</w:t>
      </w:r>
    </w:p>
    <w:p>
      <w:pPr>
        <w:pStyle w:val="ListParagraph"/>
        <w:numPr>
          <w:ilvl w:val="0"/>
          <w:numId w:val="1"/>
        </w:numPr>
        <w:spacing w:after="60"/>
      </w:pPr>
      <w:r>
        <w:t xml:space="preserve">XGBoost on the raw (untransformed) target is the best model in every segment on R², MAE and RMSE.</w:t>
      </w:r>
    </w:p>
    <w:p>
      <w:pPr>
        <w:pStyle w:val="ListParagraph"/>
        <w:numPr>
          <w:ilvl w:val="0"/>
          <w:numId w:val="1"/>
        </w:numPr>
        <w:spacing w:after="60"/>
      </w:pPr>
      <w:r>
        <w:t xml:space="preserve">log1p consistently improves MAPE (percentage error) but worsens MAE/RMSE/R² (dollar error) - it down-weights large shipments during training. Choice of raw-vs-log1p target is therefore a business decision: raw target minimizes dollar error, log1p minimizes percentage error.</w:t>
      </w:r>
    </w:p>
    <w:p>
      <w:pPr>
        <w:pStyle w:val="ListParagraph"/>
        <w:numPr>
          <w:ilvl w:val="0"/>
          <w:numId w:val="1"/>
        </w:numPr>
        <w:spacing w:after="60"/>
      </w:pPr>
      <w:r>
        <w:t xml:space="preserve">XGBoost &gt; LightGBM &gt; CatBoost consistently, though the XGBoost-LightGBM gap is small (&lt;2 R² points).</w:t>
      </w:r>
    </w:p>
    <w:p>
      <w:pPr>
        <w:pStyle w:val="ListParagraph"/>
        <w:numPr>
          <w:ilvl w:val="0"/>
          <w:numId w:val="1"/>
        </w:numPr>
        <w:spacing w:after="60"/>
      </w:pPr>
      <w:r>
        <w:t xml:space="preserve">Magnus models are meaningfully weaker (R² ~0.85-0.86) than Turvo/Overall (R² ~0.94-0.95) - expected, given Magnus's smaller size and heavier reliance on imputed features.</w:t>
      </w:r>
    </w:p>
    <w:p>
      <w:pPr>
        <w:pStyle w:val="ListParagraph"/>
        <w:numPr>
          <w:ilvl w:val="0"/>
          <w:numId w:val="1"/>
        </w:numPr>
        <w:spacing w:after="60"/>
      </w:pPr>
      <w:r>
        <w:t xml:space="preserve">The Overall model performs almost identically to the Turvo-only model (R² 0.947 vs 0.949), suggesting a single unified pipeline is a reasonable production choice.</w:t>
      </w:r>
    </w:p>
    <w:p>
      <w:pPr>
        <w:pStyle w:val="Heading1"/>
        <w:spacing w:after="150" w:before="300"/>
      </w:pPr>
      <w:r>
        <w:t xml:space="preserve">10. SHAP Explainability</w:t>
      </w:r>
    </w:p>
    <w:p>
      <w:pPr>
        <w:spacing w:after="120"/>
      </w:pPr>
      <w:r>
        <w:t xml:space="preserve">SHAP TreeExplainer summary plots were produced for all 18 models (artifacts/shap/). Across every model, the Historical Lane Cost features (TotalCostOriginMean, TotalCostDestinationMean, TotalCost_mean_6m_lane_state, OriginZip3_TE) and Distance features (HaversineMiles, LengthOfHaul) are consistently the top drivers of predicted cost - in agreement with both the raw Pearson-correlation analysis (Section 6) and the Boruta feature-group composition (Section 4), giving three independent lines of evidence pointing to the same conclusion: historical pricing on the lane and physical distance are what set vehicle-shipment cost.</w:t>
      </w:r>
    </w:p>
    <w:p>
      <w:pPr>
        <w:pStyle w:val="Heading1"/>
        <w:spacing w:after="150" w:before="300"/>
      </w:pPr>
      <w:r>
        <w:t xml:space="preserve">11. Recommendations &amp; Next Steps</w:t>
      </w:r>
    </w:p>
    <w:p>
      <w:pPr>
        <w:pStyle w:val="ListParagraph"/>
        <w:numPr>
          <w:ilvl w:val="0"/>
          <w:numId w:val="1"/>
        </w:numPr>
        <w:spacing w:after="60"/>
      </w:pPr>
      <w:r>
        <w:t xml:space="preserve">Deploy XGBoost trained on the raw target as the primary cost-prediction model (Overall scope), with the option of the Turvo/Magnus segment-specific models where segment-level accuracy matters more than a single unified pipeline.</w:t>
      </w:r>
    </w:p>
    <w:p>
      <w:pPr>
        <w:pStyle w:val="ListParagraph"/>
        <w:numPr>
          <w:ilvl w:val="0"/>
          <w:numId w:val="1"/>
        </w:numPr>
        <w:spacing w:after="60"/>
      </w:pPr>
      <w:r>
        <w:t xml:space="preserve">Revisit data capture for Magnus: populating EquipmentType/Enclosed would remove the need for imputation and likely close a meaningful part of the Turvo-Magnus R² gap.</w:t>
      </w:r>
    </w:p>
    <w:p>
      <w:pPr>
        <w:pStyle w:val="ListParagraph"/>
        <w:numPr>
          <w:ilvl w:val="0"/>
          <w:numId w:val="1"/>
        </w:numPr>
        <w:spacing w:after="60"/>
      </w:pPr>
      <w:r>
        <w:t xml:space="preserve">Consider a hurdle/two-stage or quantile-regression approach for very-high-cost shipments (the tail removed by IQR outlier filtering here) if the business needs cost predictions for those cases too.</w:t>
      </w:r>
    </w:p>
    <w:p>
      <w:pPr>
        <w:pStyle w:val="ListParagraph"/>
        <w:numPr>
          <w:ilvl w:val="0"/>
          <w:numId w:val="1"/>
        </w:numPr>
        <w:spacing w:after="60"/>
      </w:pPr>
      <w:r>
        <w:t xml:space="preserve">Periodically retrain, since Historical Lane Cost features are time-varying rolling windows and Market Conditions features are macro-economic series that will drift.</w:t>
      </w:r>
    </w:p>
    <w:p>
      <w:pPr>
        <w:pStyle w:val="Heading1"/>
        <w:spacing w:after="150" w:before="300"/>
      </w:pPr>
      <w:r>
        <w:t xml:space="preserve">12. Repository &amp; Reproducibility</w:t>
      </w:r>
    </w:p>
    <w:p>
      <w:pPr>
        <w:spacing w:after="120"/>
      </w:pPr>
      <w:r>
        <w:t xml:space="preserve">All code, notebooks, data artifacts, figures and models referenced in this report are packaged in the accompanying GitHub-ready repository (see README.md for the full folder layout and step-by-step reproduction instructions).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72224c862a774a895dacfc6f547c3f01fbafb3.png"/><Relationship Id="rId8" Type="http://schemas.openxmlformats.org/officeDocument/2006/relationships/image" Target="media/3bbe6f48626be6e892cc8c203d02a1b78604ed1a.png"/><Relationship Id="rId9" Type="http://schemas.openxmlformats.org/officeDocument/2006/relationships/image" Target="media/774c63b4abb6d3cf64ad1561105c2a9192fb461d.png"/><Relationship Id="rId10" Type="http://schemas.openxmlformats.org/officeDocument/2006/relationships/image" Target="media/5756b08ff36db19f7330311bb61e07723cdf726c.png"/><Relationship Id="rId11" Type="http://schemas.openxmlformats.org/officeDocument/2006/relationships/image" Target="media/6c97455c8f7d0fe6858fd57ced69b7b11358949d.png"/><Relationship Id="rId12" Type="http://schemas.openxmlformats.org/officeDocument/2006/relationships/image" Target="media/b890b6df9637e1ee945f1edb5af6883fe795f66c.png"/><Relationship Id="rId13" Type="http://schemas.openxmlformats.org/officeDocument/2006/relationships/image" Target="media/a245c3f95501ac50cc309d47ddeeee4cdff6c39c.png"/><Relationship Id="rId14" Type="http://schemas.openxmlformats.org/officeDocument/2006/relationships/image" Target="media/24b7e852e56447304700f098c015d37bb25b33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2026-08-29T13:26:04.759Z</dcterms:created>
  <dcterms:modified xsi:type="dcterms:W3CDTF">2026-08-29T13:26:04.759Z</dcterms:modified>
</cp:coreProperties>
</file>

<file path=docProps/custom.xml><?xml version="1.0" encoding="utf-8"?>
<Properties xmlns="http://schemas.openxmlformats.org/officeDocument/2006/custom-properties" xmlns:vt="http://schemas.openxmlformats.org/officeDocument/2006/docPropsVTypes"/>
</file>