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i w:val="0"/>
          <w:color w:val="1A365D"/>
          <w:sz w:val="36"/>
        </w:rPr>
        <w:t>POLYFLOW-NPU: A MULTI-TENANT HETEROGENEOUS SPATIAL-FISSION DEEP LEARNING ACCELERATOR</w:t>
      </w:r>
    </w:p>
    <w:p>
      <w:pPr>
        <w:spacing w:before="360" w:after="120"/>
        <w:jc w:val="center"/>
      </w:pPr>
      <w:r>
        <w:rPr>
          <w:rFonts w:ascii="Times New Roman" w:hAnsi="Times New Roman"/>
          <w:b w:val="0"/>
          <w:i/>
          <w:color w:val="000000"/>
          <w:sz w:val="24"/>
        </w:rPr>
        <w:t>Submitted in partial fulfillment of the requirements for the degree of</w:t>
      </w:r>
    </w:p>
    <w:p>
      <w:pPr>
        <w:spacing w:before="120" w:after="80"/>
        <w:jc w:val="center"/>
      </w:pPr>
      <w:r>
        <w:rPr>
          <w:rFonts w:ascii="Times New Roman" w:hAnsi="Times New Roman"/>
          <w:b/>
          <w:i w:val="0"/>
          <w:color w:val="000000"/>
          <w:sz w:val="32"/>
        </w:rPr>
        <w:t>BACHELOR OF TECHNOLOGY</w:t>
      </w:r>
    </w:p>
    <w:p>
      <w:pPr>
        <w:spacing w:before="40" w:after="40"/>
        <w:jc w:val="center"/>
      </w:pPr>
      <w:r>
        <w:rPr>
          <w:rFonts w:ascii="Times New Roman" w:hAnsi="Times New Roman"/>
          <w:b w:val="0"/>
          <w:i w:val="0"/>
          <w:color w:val="000000"/>
          <w:sz w:val="24"/>
        </w:rPr>
        <w:t>in</w:t>
      </w:r>
    </w:p>
    <w:p>
      <w:pPr>
        <w:spacing w:before="80" w:after="720"/>
        <w:jc w:val="center"/>
      </w:pPr>
      <w:r>
        <w:rPr>
          <w:rFonts w:ascii="Times New Roman" w:hAnsi="Times New Roman"/>
          <w:b/>
          <w:i w:val="0"/>
          <w:color w:val="000000"/>
          <w:sz w:val="28"/>
        </w:rPr>
        <w:t>ELECTRONICS AND COMMUNICATION ENGINEERING</w:t>
      </w:r>
    </w:p>
    <w:p>
      <w:pPr>
        <w:spacing w:before="240" w:after="80"/>
        <w:jc w:val="center"/>
      </w:pPr>
      <w:r>
        <w:rPr>
          <w:rFonts w:ascii="Times New Roman" w:hAnsi="Times New Roman"/>
          <w:b w:val="0"/>
          <w:i w:val="0"/>
          <w:color w:val="000000"/>
          <w:sz w:val="24"/>
        </w:rPr>
        <w:t>by</w:t>
      </w:r>
    </w:p>
    <w:p>
      <w:pPr>
        <w:spacing w:before="80" w:after="40"/>
        <w:jc w:val="center"/>
      </w:pPr>
      <w:r>
        <w:rPr>
          <w:rFonts w:ascii="Times New Roman" w:hAnsi="Times New Roman"/>
          <w:b/>
          <w:i w:val="0"/>
          <w:color w:val="000000"/>
          <w:sz w:val="26"/>
        </w:rPr>
        <w:t>GAUTHAMAAN M K (23BEC0156)</w:t>
        <w:br/>
        <w:t>GEETHA SREE (23BEC0419)</w:t>
        <w:br/>
        <w:t>SADURTH RAM (23BEC0038)</w:t>
      </w:r>
    </w:p>
    <w:p>
      <w:pPr>
        <w:spacing w:before="240" w:after="80"/>
        <w:jc w:val="center"/>
      </w:pPr>
      <w:r>
        <w:rPr>
          <w:rFonts w:ascii="Times New Roman" w:hAnsi="Times New Roman"/>
          <w:b w:val="0"/>
          <w:i w:val="0"/>
          <w:color w:val="000000"/>
          <w:sz w:val="24"/>
        </w:rPr>
        <w:t>Under the guidance of</w:t>
      </w:r>
    </w:p>
    <w:p>
      <w:pPr>
        <w:spacing w:before="80" w:after="40"/>
        <w:jc w:val="center"/>
      </w:pPr>
      <w:r>
        <w:rPr>
          <w:rFonts w:ascii="Times New Roman" w:hAnsi="Times New Roman"/>
          <w:b/>
          <w:i w:val="0"/>
          <w:color w:val="000000"/>
          <w:sz w:val="26"/>
        </w:rPr>
        <w:t>Dr. S. RAMASUBRAMANIAN, M.E., Ph.D.</w:t>
      </w:r>
    </w:p>
    <w:p>
      <w:pPr>
        <w:spacing w:before="40" w:after="40"/>
        <w:jc w:val="center"/>
      </w:pPr>
      <w:r>
        <w:rPr>
          <w:rFonts w:ascii="Times New Roman" w:hAnsi="Times New Roman"/>
          <w:b w:val="0"/>
          <w:i w:val="0"/>
          <w:color w:val="000000"/>
          <w:sz w:val="24"/>
        </w:rPr>
        <w:t>Associate Professor, Department of Micro and Nano Electronics</w:t>
      </w:r>
    </w:p>
    <w:p>
      <w:pPr>
        <w:spacing w:before="40" w:after="800"/>
        <w:jc w:val="center"/>
      </w:pPr>
      <w:r>
        <w:rPr>
          <w:rFonts w:ascii="Times New Roman" w:hAnsi="Times New Roman"/>
          <w:b/>
          <w:i w:val="0"/>
          <w:color w:val="000000"/>
          <w:sz w:val="24"/>
        </w:rPr>
        <w:t>School of Electronics Engineering (SENSE)</w:t>
        <w:br/>
        <w:t>Vellore Institute of Technology, Vellore</w:t>
      </w:r>
    </w:p>
    <w:p>
      <w:pPr>
        <w:spacing w:before="480" w:after="0"/>
        <w:jc w:val="center"/>
      </w:pPr>
      <w:r>
        <w:rPr>
          <w:rFonts w:ascii="Times New Roman" w:hAnsi="Times New Roman"/>
          <w:b/>
          <w:i w:val="0"/>
          <w:color w:val="000000"/>
          <w:sz w:val="24"/>
        </w:rPr>
        <w:t>APRIL, 2026</w:t>
      </w:r>
    </w:p>
    <w:p>
      <w:pPr>
        <w:sectPr>
          <w:pgSz w:w="11904" w:h="16836"/>
          <w:pgMar w:top="1382" w:right="1094" w:bottom="720" w:left="1685" w:header="720" w:footer="720" w:gutter="0"/>
          <w:cols w:space="720"/>
        </w:sectPr>
      </w:pPr>
    </w:p>
    <w:p>
      <w:pPr>
        <w:spacing w:before="480" w:after="480"/>
        <w:jc w:val="center"/>
      </w:pPr>
      <w:r>
        <w:rPr>
          <w:rFonts w:ascii="Times New Roman" w:hAnsi="Times New Roman"/>
          <w:b/>
          <w:i w:val="0"/>
          <w:color w:val="000000"/>
          <w:sz w:val="28"/>
        </w:rPr>
        <w:t>DECLARATION</w:t>
      </w:r>
    </w:p>
    <w:p>
      <w:pPr>
        <w:spacing w:before="240" w:after="240" w:line="360" w:lineRule="auto"/>
        <w:jc w:val="both"/>
      </w:pPr>
      <w:r>
        <w:rPr>
          <w:rFonts w:ascii="Times New Roman" w:hAnsi="Times New Roman"/>
          <w:b w:val="0"/>
          <w:i w:val="0"/>
          <w:color w:val="000000"/>
          <w:sz w:val="24"/>
        </w:rPr>
        <w:t>I hereby declare that the thesis entitled “PolyFlow-NPU: A Multi-Tenant Heterogeneous Spatial-Fission Deep Learning Accelerator” submitted by me, for the award of the degree of Bachelor of Technology in Electronics and Communication Engineering to Vellore Institute of Technology (VIT), Vellore, is a record of bonafide research work carried out by me under the supervision of Dr. S. Ramasubramanian, Associate Professor, School of Electronics Engineering (SENSE), VIT, Vellore.</w:t>
      </w:r>
    </w:p>
    <w:p>
      <w:pPr>
        <w:spacing w:before="0" w:after="960" w:line="360" w:lineRule="auto"/>
        <w:jc w:val="both"/>
      </w:pPr>
      <w:r>
        <w:rPr>
          <w:rFonts w:ascii="Times New Roman" w:hAnsi="Times New Roman"/>
          <w:b w:val="0"/>
          <w:i w:val="0"/>
          <w:color w:val="000000"/>
          <w:sz w:val="24"/>
        </w:rPr>
        <w:t>I further declare that the work reported in this thesis has not been submitted previously to this institute or anywhere else for the consideration of any degree or diploma, and that all sources of material, intellectual contributions, and standard design tools utilized during the course of this investigation have been duly cited and acknowledged in accordance with academic ethics.</w:t>
      </w:r>
    </w:p>
    <w:p>
      <w:pPr>
        <w:spacing w:before="960" w:after="80"/>
        <w:jc w:val="left"/>
      </w:pPr>
      <w:r>
        <w:rPr>
          <w:rFonts w:ascii="Times New Roman" w:hAnsi="Times New Roman"/>
          <w:b w:val="0"/>
          <w:i w:val="0"/>
          <w:color w:val="000000"/>
          <w:sz w:val="24"/>
        </w:rPr>
        <w:t>Place  : Vellore</w:t>
        <w:br/>
        <w:t>Date   : 20.04.2026</w:t>
      </w:r>
    </w:p>
    <w:p>
      <w:pPr>
        <w:spacing w:before="0" w:after="0"/>
        <w:jc w:val="right"/>
      </w:pPr>
      <w:r>
        <w:rPr>
          <w:rFonts w:ascii="Times New Roman" w:hAnsi="Times New Roman"/>
          <w:b/>
          <w:i w:val="0"/>
          <w:color w:val="000000"/>
          <w:sz w:val="24"/>
        </w:rPr>
        <w:t>GAUTHAMAAN M K (23BEC0156)</w:t>
        <w:br/>
        <w:t>GEETHA SREE (23BEC0419)</w:t>
        <w:br/>
        <w:t>SADURTH RAM (23BEC0038)</w:t>
        <w:br/>
        <w:t>(Signatures of the Candidates)</w:t>
      </w:r>
    </w:p>
    <w:p>
      <w:pPr>
        <w:sectPr>
          <w:pgSz w:w="11904" w:h="16836"/>
          <w:pgMar w:top="1382" w:right="1094" w:bottom="720" w:left="1685" w:header="720" w:footer="720" w:gutter="0"/>
          <w:cols w:space="720"/>
        </w:sectPr>
      </w:pPr>
    </w:p>
    <w:p>
      <w:pPr>
        <w:spacing w:before="480" w:after="480"/>
        <w:jc w:val="center"/>
      </w:pPr>
      <w:r>
        <w:rPr>
          <w:rFonts w:ascii="Times New Roman" w:hAnsi="Times New Roman"/>
          <w:b/>
          <w:i w:val="0"/>
          <w:color w:val="000000"/>
          <w:sz w:val="28"/>
        </w:rPr>
        <w:t>CERTIFICATE</w:t>
      </w:r>
    </w:p>
    <w:p>
      <w:pPr>
        <w:spacing w:before="240" w:after="240" w:line="360" w:lineRule="auto"/>
        <w:jc w:val="both"/>
      </w:pPr>
      <w:r>
        <w:rPr>
          <w:rFonts w:ascii="Times New Roman" w:hAnsi="Times New Roman"/>
          <w:b w:val="0"/>
          <w:i w:val="0"/>
          <w:color w:val="000000"/>
          <w:sz w:val="24"/>
        </w:rPr>
        <w:t>This is to certify that the thesis entitled “PolyFlow-NPU: A Multi-Tenant Heterogeneous Spatial-Fission Deep Learning Accelerator” submitted by Gauthamaan M K (Reg. No: 23BEC0156), Geetha Sree (Reg. No: 23BEC0419), and Sadurth Ram (Reg. No: 23BEC0038), School of Electronics Engineering (SENSE), Vellore Institute of Technology, Vellore, for the award of the degree of Bachelor of Technology in Electronics and Communication Engineering, is a record of bonafide work carried out by them under my supervision during the period 13.12.2024 to 20.04.2026, as per the VIT code of academic and research ethics.</w:t>
      </w:r>
    </w:p>
    <w:p>
      <w:pPr>
        <w:spacing w:before="0" w:after="960" w:line="360" w:lineRule="auto"/>
        <w:jc w:val="both"/>
      </w:pPr>
      <w:r>
        <w:rPr>
          <w:rFonts w:ascii="Times New Roman" w:hAnsi="Times New Roman"/>
          <w:b w:val="0"/>
          <w:i w:val="0"/>
          <w:color w:val="000000"/>
          <w:sz w:val="24"/>
        </w:rPr>
        <w:t>The contents of this report have not been submitted either in part or in full, for the award of any other degree or diploma in this institute or any other institute or university. The thesis fulfills the requirements and regulations of the University and in my opinion meets the necessary engineering and academic standards for submission.</w:t>
      </w:r>
    </w:p>
    <w:p>
      <w:pPr>
        <w:spacing w:before="800" w:after="800"/>
        <w:jc w:val="left"/>
      </w:pPr>
      <w:r>
        <w:rPr>
          <w:rFonts w:ascii="Times New Roman" w:hAnsi="Times New Roman"/>
          <w:b w:val="0"/>
          <w:i w:val="0"/>
          <w:color w:val="000000"/>
          <w:sz w:val="24"/>
        </w:rPr>
        <w:t>Place  : Vellore</w:t>
        <w:br/>
        <w:t>Date   : 20.04.2026</w:t>
        <w:tab/>
        <w:tab/>
        <w:tab/>
        <w:tab/>
        <w:tab/>
        <w:tab/>
        <w:t>Signature of the Guide</w:t>
        <w:br/>
        <w:tab/>
        <w:tab/>
        <w:tab/>
        <w:tab/>
        <w:tab/>
        <w:tab/>
        <w:tab/>
        <w:t>(Dr. S. Ramasubramanian)</w:t>
      </w:r>
    </w:p>
    <w:p>
      <w:pPr>
        <w:spacing w:before="720" w:after="0"/>
        <w:jc w:val="left"/>
      </w:pPr>
      <w:r>
        <w:rPr>
          <w:rFonts w:ascii="Times New Roman" w:hAnsi="Times New Roman"/>
          <w:b/>
          <w:i w:val="0"/>
          <w:color w:val="000000"/>
          <w:sz w:val="24"/>
        </w:rPr>
        <w:t>Internal Examiner</w:t>
        <w:tab/>
        <w:tab/>
        <w:tab/>
        <w:tab/>
        <w:tab/>
        <w:tab/>
        <w:t>External Examiner</w:t>
      </w:r>
    </w:p>
    <w:p>
      <w:pPr>
        <w:sectPr>
          <w:pgSz w:w="11904" w:h="16836"/>
          <w:pgMar w:top="1382" w:right="1094" w:bottom="720" w:left="1685" w:header="720" w:footer="720" w:gutter="0"/>
          <w:cols w:space="720"/>
        </w:sectPr>
      </w:pPr>
    </w:p>
    <w:p>
      <w:pPr>
        <w:spacing w:before="480" w:after="400"/>
        <w:jc w:val="center"/>
      </w:pPr>
      <w:r>
        <w:rPr>
          <w:rFonts w:ascii="Times New Roman" w:hAnsi="Times New Roman"/>
          <w:b/>
          <w:i w:val="0"/>
          <w:color w:val="000000"/>
          <w:sz w:val="28"/>
        </w:rPr>
        <w:t>ACKNOWLEDGEMENTS</w:t>
      </w:r>
    </w:p>
    <w:p>
      <w:pPr>
        <w:spacing w:before="120" w:after="200" w:line="360" w:lineRule="auto"/>
        <w:jc w:val="both"/>
      </w:pPr>
      <w:r>
        <w:rPr>
          <w:rFonts w:ascii="Times New Roman" w:hAnsi="Times New Roman"/>
          <w:b w:val="0"/>
          <w:i w:val="0"/>
          <w:color w:val="000000"/>
          <w:sz w:val="24"/>
        </w:rPr>
        <w:t>We wish to express our deepest sense of gratitude and indebtedness to our project guide, Dr. S. Ramasubramanian, Associate Professor, Department of Micro and Nano Electronics, School of Electronics Engineering (SENSE), Vellore Institute of Technology, Vellore, for his continuous encouragement, insightful technical critiques, and invaluable mentorship throughout the course of this research project. His profound domain knowledge in digital VLSI design, systolic array architectures, and semiconductor timing closure has been an indispensable source of inspiration and guidance.</w:t>
      </w:r>
    </w:p>
    <w:p>
      <w:pPr>
        <w:spacing w:before="0" w:after="200" w:line="360" w:lineRule="auto"/>
        <w:jc w:val="both"/>
      </w:pPr>
      <w:r>
        <w:rPr>
          <w:rFonts w:ascii="Times New Roman" w:hAnsi="Times New Roman"/>
          <w:b w:val="0"/>
          <w:i w:val="0"/>
          <w:color w:val="000000"/>
          <w:sz w:val="24"/>
        </w:rPr>
        <w:t>We extend our sincere thanks to the Dean, School of Electronics Engineering (SENSE), and the Head of the Department, Department of Micro and Nano Electronics, for granting access to the cutting-edge EDA computing infrastructure and Electronic Computer-Aided Design (ECAD) research laboratories. We are equally thankful to the project review committee members and faculty evaluators for their critical feedback, constructive questions, and technical recommendations during the Review-1, Review-2, and Review-3 evaluation stages.</w:t>
      </w:r>
    </w:p>
    <w:p>
      <w:pPr>
        <w:spacing w:before="0" w:after="200" w:line="360" w:lineRule="auto"/>
        <w:jc w:val="both"/>
      </w:pPr>
      <w:r>
        <w:rPr>
          <w:rFonts w:ascii="Times New Roman" w:hAnsi="Times New Roman"/>
          <w:b w:val="0"/>
          <w:i w:val="0"/>
          <w:color w:val="000000"/>
          <w:sz w:val="24"/>
        </w:rPr>
        <w:t>We respectfully acknowledge the management of Vellore Institute of Technology, including the Honorable Chancellor, the Vice-Presidents, the Vice-Chancellor, and the Pro-Vice-Chancellor, for cultivating a premier research ecosystem equipped with industry-standard Cadence Design Systems tools that made complete RTL synthesis and architectural verification possible.</w:t>
      </w:r>
    </w:p>
    <w:p>
      <w:pPr>
        <w:spacing w:before="0" w:after="720" w:line="360" w:lineRule="auto"/>
        <w:jc w:val="both"/>
      </w:pPr>
      <w:r>
        <w:rPr>
          <w:rFonts w:ascii="Times New Roman" w:hAnsi="Times New Roman"/>
          <w:b w:val="0"/>
          <w:i w:val="0"/>
          <w:color w:val="000000"/>
          <w:sz w:val="24"/>
        </w:rPr>
        <w:t>Finally, we are profoundly grateful to our parents, family members, and friends for their unwavering patience, moral support, and constant encouragement throughout our academic endeavors.</w:t>
      </w:r>
    </w:p>
    <w:p>
      <w:pPr>
        <w:jc w:val="right"/>
      </w:pPr>
      <w:r>
        <w:rPr>
          <w:rFonts w:ascii="Times New Roman" w:hAnsi="Times New Roman"/>
          <w:b/>
          <w:i w:val="0"/>
          <w:color w:val="000000"/>
          <w:sz w:val="24"/>
        </w:rPr>
        <w:t>GAUTHAMAAN M K (23BEC0156)</w:t>
        <w:br/>
        <w:t>GEETHA SREE (23BEC0419)</w:t>
        <w:br/>
        <w:t>SADURTH RAM (23BEC0038)</w:t>
      </w:r>
    </w:p>
    <w:p>
      <w:pPr>
        <w:sectPr>
          <w:pgSz w:w="11904" w:h="16836"/>
          <w:pgMar w:top="1382" w:right="1094" w:bottom="720" w:left="1685" w:header="720" w:footer="720" w:gutter="0"/>
          <w:cols w:space="720"/>
        </w:sectPr>
      </w:pPr>
    </w:p>
    <w:p>
      <w:pPr>
        <w:spacing w:before="480" w:after="400"/>
        <w:jc w:val="center"/>
      </w:pPr>
      <w:r>
        <w:rPr>
          <w:rFonts w:ascii="Times New Roman" w:hAnsi="Times New Roman"/>
          <w:b/>
          <w:i w:val="0"/>
          <w:color w:val="000000"/>
          <w:sz w:val="28"/>
        </w:rPr>
        <w:t>EXECUTIVE SUMMARY</w:t>
      </w:r>
    </w:p>
    <w:p>
      <w:pPr>
        <w:spacing w:before="320" w:after="240" w:line="360" w:lineRule="auto"/>
        <w:jc w:val="both"/>
      </w:pPr>
      <w:r>
        <w:rPr>
          <w:rFonts w:ascii="Times New Roman" w:hAnsi="Times New Roman"/>
          <w:b w:val="0"/>
          <w:i w:val="0"/>
          <w:color w:val="000000"/>
          <w:sz w:val="24"/>
        </w:rPr>
        <w:t>This project presents PolyFlow-NPU, a novel multi-tenant deep learning accelerator architecture implementing heterogeneous spatial fission for concurrent inference workloads. Contemporary spatial multi-tenant accelerators partition systolic processing element (PE) arrays into isolated sub-arrays but enforce a rigid, uniform dataflow across all partitions. When executing structurally heterogeneous workloads concurrently—such as Weight-Stationary Convolutional Neural Networks alongside Output-Stationary Transformer Multi-Head Self-Attention—homogeneous fission induces catastrophic memory bandwidth thrashing and severe latency degradation. PolyFlow-NPU eliminates this fundamental bottleneck by introducing heterogeneous spatial fission, granting runtime dataflow autonomy to each independent physical partition. The architecture integrates a 2-stage pipelined Carry-Save Accumulator (CSA) Processing Element that decouples critical-path multiplier ripples, a zero-cycle dynamic boundary bitmask isolation mechanism, and an Epoch-Phase Priority Arbiter (EPPA) with pod bank scrubbing. Implemented in IEEE 1800-2017 SystemVerilog and synthesized using Cadence Genus 21.14 on a foundry 90nm bulk CMOS standard cell library (slow.lib, 1.00V, 125°C) at a target frequency of 200 MHz, PolyFlow-NPU achieves robust timing closure with +1.200 ns positive setup slack, zero violating paths, and a total power dissipation of 13.14 mW, with merely a 2.38% cell area overhead over homogeneous baselines.</w:t>
      </w:r>
    </w:p>
    <w:p>
      <w:pPr>
        <w:sectPr>
          <w:pgSz w:w="11904" w:h="16836"/>
          <w:pgMar w:top="1382" w:right="1094" w:bottom="720" w:left="1685" w:header="720" w:footer="720" w:gutter="0"/>
          <w:cols w:space="720"/>
        </w:sectPr>
      </w:pPr>
    </w:p>
    <w:p>
      <w:pPr>
        <w:spacing w:before="400" w:after="320"/>
        <w:jc w:val="center"/>
      </w:pPr>
      <w:r>
        <w:rPr>
          <w:rFonts w:ascii="Times New Roman" w:hAnsi="Times New Roman"/>
          <w:b/>
          <w:i w:val="0"/>
          <w:color w:val="000000"/>
          <w:sz w:val="28"/>
        </w:rPr>
        <w:t>CONTENTS</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left w:val="none"/>
          <w:right w:val="none"/>
          <w:insideV w:val="none"/>
        </w:tblBorders>
      </w:tblPr>
      <w:tblGrid>
        <w:gridCol w:w="4562"/>
        <w:gridCol w:w="4562"/>
      </w:tblGrid>
      <w:tr>
        <w:tc>
          <w:tcPr>
            <w:tcW w:type="dxa" w:w="7632"/>
          </w:tcPr>
          <w:p>
            <w:pPr>
              <w:jc w:val="left"/>
            </w:pPr>
            <w:r>
              <w:rPr>
                <w:rFonts w:ascii="Times New Roman" w:hAnsi="Times New Roman"/>
                <w:b/>
                <w:i w:val="0"/>
                <w:color w:val="000000"/>
                <w:sz w:val="22"/>
              </w:rPr>
              <w:t>Title</w:t>
            </w:r>
          </w:p>
        </w:tc>
        <w:tc>
          <w:tcPr>
            <w:tcW w:type="dxa" w:w="1440"/>
          </w:tcPr>
          <w:p>
            <w:pPr>
              <w:jc w:val="right"/>
            </w:pPr>
            <w:r>
              <w:rPr>
                <w:rFonts w:ascii="Times New Roman" w:hAnsi="Times New Roman"/>
                <w:b/>
                <w:i w:val="0"/>
                <w:color w:val="000000"/>
                <w:sz w:val="22"/>
              </w:rPr>
              <w:t>Page No.</w:t>
            </w:r>
          </w:p>
        </w:tc>
      </w:tr>
      <w:tr>
        <w:tc>
          <w:tcPr>
            <w:tcW w:type="dxa" w:w="7632"/>
          </w:tcPr>
          <w:p>
            <w:pPr>
              <w:spacing w:before="20" w:after="20" w:line="276" w:lineRule="auto"/>
              <w:jc w:val="left"/>
            </w:pPr>
            <w:r>
              <w:rPr>
                <w:rFonts w:ascii="Times New Roman" w:hAnsi="Times New Roman"/>
                <w:b/>
                <w:i w:val="0"/>
                <w:color w:val="000000"/>
                <w:sz w:val="21"/>
              </w:rPr>
              <w:t>Declaration</w:t>
            </w:r>
          </w:p>
        </w:tc>
        <w:tc>
          <w:tcPr>
            <w:tcW w:type="dxa" w:w="1440"/>
          </w:tcPr>
          <w:p>
            <w:pPr>
              <w:spacing w:before="20" w:after="20" w:line="276" w:lineRule="auto"/>
              <w:jc w:val="right"/>
            </w:pPr>
            <w:r>
              <w:rPr>
                <w:rFonts w:ascii="Times New Roman" w:hAnsi="Times New Roman"/>
                <w:b/>
                <w:i w:val="0"/>
                <w:color w:val="000000"/>
                <w:sz w:val="21"/>
              </w:rPr>
              <w:t>i</w:t>
            </w:r>
          </w:p>
        </w:tc>
      </w:tr>
      <w:tr>
        <w:tc>
          <w:tcPr>
            <w:tcW w:type="dxa" w:w="7632"/>
          </w:tcPr>
          <w:p>
            <w:pPr>
              <w:spacing w:before="20" w:after="20" w:line="276" w:lineRule="auto"/>
              <w:jc w:val="left"/>
            </w:pPr>
            <w:r>
              <w:rPr>
                <w:rFonts w:ascii="Times New Roman" w:hAnsi="Times New Roman"/>
                <w:b/>
                <w:i w:val="0"/>
                <w:color w:val="000000"/>
                <w:sz w:val="21"/>
              </w:rPr>
              <w:t>Certificate</w:t>
            </w:r>
          </w:p>
        </w:tc>
        <w:tc>
          <w:tcPr>
            <w:tcW w:type="dxa" w:w="1440"/>
          </w:tcPr>
          <w:p>
            <w:pPr>
              <w:spacing w:before="20" w:after="20" w:line="276" w:lineRule="auto"/>
              <w:jc w:val="right"/>
            </w:pPr>
            <w:r>
              <w:rPr>
                <w:rFonts w:ascii="Times New Roman" w:hAnsi="Times New Roman"/>
                <w:b/>
                <w:i w:val="0"/>
                <w:color w:val="000000"/>
                <w:sz w:val="21"/>
              </w:rPr>
              <w:t>ii</w:t>
            </w:r>
          </w:p>
        </w:tc>
      </w:tr>
      <w:tr>
        <w:tc>
          <w:tcPr>
            <w:tcW w:type="dxa" w:w="7632"/>
          </w:tcPr>
          <w:p>
            <w:pPr>
              <w:spacing w:before="20" w:after="20" w:line="276" w:lineRule="auto"/>
              <w:jc w:val="left"/>
            </w:pPr>
            <w:r>
              <w:rPr>
                <w:rFonts w:ascii="Times New Roman" w:hAnsi="Times New Roman"/>
                <w:b/>
                <w:i w:val="0"/>
                <w:color w:val="000000"/>
                <w:sz w:val="21"/>
              </w:rPr>
              <w:t>Acknowledgements</w:t>
            </w:r>
          </w:p>
        </w:tc>
        <w:tc>
          <w:tcPr>
            <w:tcW w:type="dxa" w:w="1440"/>
          </w:tcPr>
          <w:p>
            <w:pPr>
              <w:spacing w:before="20" w:after="20" w:line="276" w:lineRule="auto"/>
              <w:jc w:val="right"/>
            </w:pPr>
            <w:r>
              <w:rPr>
                <w:rFonts w:ascii="Times New Roman" w:hAnsi="Times New Roman"/>
                <w:b/>
                <w:i w:val="0"/>
                <w:color w:val="000000"/>
                <w:sz w:val="21"/>
              </w:rPr>
              <w:t>iii</w:t>
            </w:r>
          </w:p>
        </w:tc>
      </w:tr>
      <w:tr>
        <w:tc>
          <w:tcPr>
            <w:tcW w:type="dxa" w:w="7632"/>
          </w:tcPr>
          <w:p>
            <w:pPr>
              <w:spacing w:before="20" w:after="20" w:line="276" w:lineRule="auto"/>
              <w:jc w:val="left"/>
            </w:pPr>
            <w:r>
              <w:rPr>
                <w:rFonts w:ascii="Times New Roman" w:hAnsi="Times New Roman"/>
                <w:b/>
                <w:i w:val="0"/>
                <w:color w:val="000000"/>
                <w:sz w:val="21"/>
              </w:rPr>
              <w:t>Executive Summary</w:t>
            </w:r>
          </w:p>
        </w:tc>
        <w:tc>
          <w:tcPr>
            <w:tcW w:type="dxa" w:w="1440"/>
          </w:tcPr>
          <w:p>
            <w:pPr>
              <w:spacing w:before="20" w:after="20" w:line="276" w:lineRule="auto"/>
              <w:jc w:val="right"/>
            </w:pPr>
            <w:r>
              <w:rPr>
                <w:rFonts w:ascii="Times New Roman" w:hAnsi="Times New Roman"/>
                <w:b/>
                <w:i w:val="0"/>
                <w:color w:val="000000"/>
                <w:sz w:val="21"/>
              </w:rPr>
              <w:t>iv</w:t>
            </w:r>
          </w:p>
        </w:tc>
      </w:tr>
      <w:tr>
        <w:tc>
          <w:tcPr>
            <w:tcW w:type="dxa" w:w="7632"/>
          </w:tcPr>
          <w:p>
            <w:pPr>
              <w:spacing w:before="20" w:after="20" w:line="276" w:lineRule="auto"/>
              <w:jc w:val="left"/>
            </w:pPr>
            <w:r>
              <w:rPr>
                <w:rFonts w:ascii="Times New Roman" w:hAnsi="Times New Roman"/>
                <w:b/>
                <w:i w:val="0"/>
                <w:color w:val="000000"/>
                <w:sz w:val="21"/>
              </w:rPr>
              <w:t>List of Figures</w:t>
            </w:r>
          </w:p>
        </w:tc>
        <w:tc>
          <w:tcPr>
            <w:tcW w:type="dxa" w:w="1440"/>
          </w:tcPr>
          <w:p>
            <w:pPr>
              <w:spacing w:before="20" w:after="20" w:line="276" w:lineRule="auto"/>
              <w:jc w:val="right"/>
            </w:pPr>
            <w:r>
              <w:rPr>
                <w:rFonts w:ascii="Times New Roman" w:hAnsi="Times New Roman"/>
                <w:b/>
                <w:i w:val="0"/>
                <w:color w:val="000000"/>
                <w:sz w:val="21"/>
              </w:rPr>
              <w:t>vii</w:t>
            </w:r>
          </w:p>
        </w:tc>
      </w:tr>
      <w:tr>
        <w:tc>
          <w:tcPr>
            <w:tcW w:type="dxa" w:w="7632"/>
          </w:tcPr>
          <w:p>
            <w:pPr>
              <w:spacing w:before="20" w:after="20" w:line="276" w:lineRule="auto"/>
              <w:jc w:val="left"/>
            </w:pPr>
            <w:r>
              <w:rPr>
                <w:rFonts w:ascii="Times New Roman" w:hAnsi="Times New Roman"/>
                <w:b/>
                <w:i w:val="0"/>
                <w:color w:val="000000"/>
                <w:sz w:val="21"/>
              </w:rPr>
              <w:t>List of Tables</w:t>
            </w:r>
          </w:p>
        </w:tc>
        <w:tc>
          <w:tcPr>
            <w:tcW w:type="dxa" w:w="1440"/>
          </w:tcPr>
          <w:p>
            <w:pPr>
              <w:spacing w:before="20" w:after="20" w:line="276" w:lineRule="auto"/>
              <w:jc w:val="right"/>
            </w:pPr>
            <w:r>
              <w:rPr>
                <w:rFonts w:ascii="Times New Roman" w:hAnsi="Times New Roman"/>
                <w:b/>
                <w:i w:val="0"/>
                <w:color w:val="000000"/>
                <w:sz w:val="21"/>
              </w:rPr>
              <w:t>viii</w:t>
            </w:r>
          </w:p>
        </w:tc>
      </w:tr>
      <w:tr>
        <w:tc>
          <w:tcPr>
            <w:tcW w:type="dxa" w:w="7632"/>
          </w:tcPr>
          <w:p>
            <w:pPr>
              <w:spacing w:before="20" w:after="20" w:line="276" w:lineRule="auto"/>
              <w:jc w:val="left"/>
            </w:pPr>
            <w:r>
              <w:rPr>
                <w:rFonts w:ascii="Times New Roman" w:hAnsi="Times New Roman"/>
                <w:b/>
                <w:i w:val="0"/>
                <w:color w:val="000000"/>
                <w:sz w:val="21"/>
              </w:rPr>
              <w:t>List of Abbreviations</w:t>
            </w:r>
          </w:p>
        </w:tc>
        <w:tc>
          <w:tcPr>
            <w:tcW w:type="dxa" w:w="1440"/>
          </w:tcPr>
          <w:p>
            <w:pPr>
              <w:spacing w:before="20" w:after="20" w:line="276" w:lineRule="auto"/>
              <w:jc w:val="right"/>
            </w:pPr>
            <w:r>
              <w:rPr>
                <w:rFonts w:ascii="Times New Roman" w:hAnsi="Times New Roman"/>
                <w:b/>
                <w:i w:val="0"/>
                <w:color w:val="000000"/>
                <w:sz w:val="21"/>
              </w:rPr>
              <w:t>ix</w:t>
            </w:r>
          </w:p>
        </w:tc>
      </w:tr>
      <w:tr>
        <w:tc>
          <w:tcPr>
            <w:tcW w:type="dxa" w:w="7632"/>
          </w:tcPr>
          <w:p>
            <w:pPr>
              <w:spacing w:before="20" w:after="20" w:line="276" w:lineRule="auto"/>
              <w:jc w:val="left"/>
            </w:pPr>
            <w:r>
              <w:rPr>
                <w:rFonts w:ascii="Times New Roman" w:hAnsi="Times New Roman"/>
                <w:b/>
                <w:i w:val="0"/>
                <w:color w:val="000000"/>
                <w:sz w:val="21"/>
              </w:rPr>
              <w:t>Symbols and Notations</w:t>
            </w:r>
          </w:p>
        </w:tc>
        <w:tc>
          <w:tcPr>
            <w:tcW w:type="dxa" w:w="1440"/>
          </w:tcPr>
          <w:p>
            <w:pPr>
              <w:spacing w:before="20" w:after="20" w:line="276" w:lineRule="auto"/>
              <w:jc w:val="right"/>
            </w:pPr>
            <w:r>
              <w:rPr>
                <w:rFonts w:ascii="Times New Roman" w:hAnsi="Times New Roman"/>
                <w:b/>
                <w:i w:val="0"/>
                <w:color w:val="000000"/>
                <w:sz w:val="21"/>
              </w:rPr>
              <w:t>x</w:t>
            </w:r>
          </w:p>
        </w:tc>
      </w:tr>
      <w:tr>
        <w:tc>
          <w:tcPr>
            <w:tcW w:type="dxa" w:w="7632"/>
          </w:tcPr>
          <w:p>
            <w:pPr>
              <w:spacing w:before="20" w:after="20" w:line="276" w:lineRule="auto"/>
              <w:jc w:val="left"/>
            </w:pPr>
            <w:r>
              <w:rPr>
                <w:rFonts w:ascii="Times New Roman" w:hAnsi="Times New Roman"/>
                <w:b/>
                <w:i w:val="0"/>
                <w:color w:val="000000"/>
                <w:sz w:val="21"/>
              </w:rPr>
              <w:t>1.  INTRODUCTION</w:t>
            </w:r>
          </w:p>
        </w:tc>
        <w:tc>
          <w:tcPr>
            <w:tcW w:type="dxa" w:w="1440"/>
          </w:tcPr>
          <w:p>
            <w:pPr>
              <w:spacing w:before="20" w:after="20" w:line="276" w:lineRule="auto"/>
              <w:jc w:val="right"/>
            </w:pPr>
            <w:r>
              <w:rPr>
                <w:rFonts w:ascii="Times New Roman" w:hAnsi="Times New Roman"/>
                <w:b/>
                <w:i w:val="0"/>
                <w:color w:val="000000"/>
                <w:sz w:val="21"/>
              </w:rPr>
              <w:t>1</w:t>
            </w:r>
          </w:p>
        </w:tc>
      </w:tr>
      <w:tr>
        <w:tc>
          <w:tcPr>
            <w:tcW w:type="dxa" w:w="7632"/>
          </w:tcPr>
          <w:p>
            <w:pPr>
              <w:spacing w:before="20" w:after="20" w:line="276" w:lineRule="auto"/>
              <w:jc w:val="left"/>
            </w:pPr>
            <w:r>
              <w:rPr>
                <w:rFonts w:ascii="Times New Roman" w:hAnsi="Times New Roman"/>
                <w:b w:val="0"/>
                <w:i w:val="0"/>
                <w:color w:val="000000"/>
                <w:sz w:val="21"/>
              </w:rPr>
              <w:t xml:space="preserve">     1.1 Literature Review</w:t>
            </w:r>
          </w:p>
        </w:tc>
        <w:tc>
          <w:tcPr>
            <w:tcW w:type="dxa" w:w="1440"/>
          </w:tcPr>
          <w:p>
            <w:pPr>
              <w:spacing w:before="20" w:after="20" w:line="276" w:lineRule="auto"/>
              <w:jc w:val="right"/>
            </w:pPr>
            <w:r>
              <w:rPr>
                <w:rFonts w:ascii="Times New Roman" w:hAnsi="Times New Roman"/>
                <w:b w:val="0"/>
                <w:i w:val="0"/>
                <w:color w:val="000000"/>
                <w:sz w:val="21"/>
              </w:rPr>
              <w:t>1</w:t>
            </w:r>
          </w:p>
        </w:tc>
      </w:tr>
      <w:tr>
        <w:tc>
          <w:tcPr>
            <w:tcW w:type="dxa" w:w="7632"/>
          </w:tcPr>
          <w:p>
            <w:pPr>
              <w:spacing w:before="20" w:after="20" w:line="276" w:lineRule="auto"/>
              <w:jc w:val="left"/>
            </w:pPr>
            <w:r>
              <w:rPr>
                <w:rFonts w:ascii="Times New Roman" w:hAnsi="Times New Roman"/>
                <w:b w:val="0"/>
                <w:i w:val="0"/>
                <w:color w:val="000000"/>
                <w:sz w:val="21"/>
              </w:rPr>
              <w:t xml:space="preserve">     1.2 Research Gap</w:t>
            </w:r>
          </w:p>
        </w:tc>
        <w:tc>
          <w:tcPr>
            <w:tcW w:type="dxa" w:w="1440"/>
          </w:tcPr>
          <w:p>
            <w:pPr>
              <w:spacing w:before="20" w:after="20" w:line="276" w:lineRule="auto"/>
              <w:jc w:val="right"/>
            </w:pPr>
            <w:r>
              <w:rPr>
                <w:rFonts w:ascii="Times New Roman" w:hAnsi="Times New Roman"/>
                <w:b w:val="0"/>
                <w:i w:val="0"/>
                <w:color w:val="000000"/>
                <w:sz w:val="21"/>
              </w:rPr>
              <w:t>4</w:t>
            </w:r>
          </w:p>
        </w:tc>
      </w:tr>
      <w:tr>
        <w:tc>
          <w:tcPr>
            <w:tcW w:type="dxa" w:w="7632"/>
          </w:tcPr>
          <w:p>
            <w:pPr>
              <w:spacing w:before="20" w:after="20" w:line="276" w:lineRule="auto"/>
              <w:jc w:val="left"/>
            </w:pPr>
            <w:r>
              <w:rPr>
                <w:rFonts w:ascii="Times New Roman" w:hAnsi="Times New Roman"/>
                <w:b w:val="0"/>
                <w:i w:val="0"/>
                <w:color w:val="000000"/>
                <w:sz w:val="21"/>
              </w:rPr>
              <w:t xml:space="preserve">     1.3 Problem Statement</w:t>
            </w:r>
          </w:p>
        </w:tc>
        <w:tc>
          <w:tcPr>
            <w:tcW w:type="dxa" w:w="1440"/>
          </w:tcPr>
          <w:p>
            <w:pPr>
              <w:spacing w:before="20" w:after="20" w:line="276" w:lineRule="auto"/>
              <w:jc w:val="right"/>
            </w:pPr>
            <w:r>
              <w:rPr>
                <w:rFonts w:ascii="Times New Roman" w:hAnsi="Times New Roman"/>
                <w:b w:val="0"/>
                <w:i w:val="0"/>
                <w:color w:val="000000"/>
                <w:sz w:val="21"/>
              </w:rPr>
              <w:t>6</w:t>
            </w:r>
          </w:p>
        </w:tc>
      </w:tr>
      <w:tr>
        <w:tc>
          <w:tcPr>
            <w:tcW w:type="dxa" w:w="7632"/>
          </w:tcPr>
          <w:p>
            <w:pPr>
              <w:spacing w:before="20" w:after="20" w:line="276" w:lineRule="auto"/>
              <w:jc w:val="left"/>
            </w:pPr>
            <w:r>
              <w:rPr>
                <w:rFonts w:ascii="Times New Roman" w:hAnsi="Times New Roman"/>
                <w:b/>
                <w:i w:val="0"/>
                <w:color w:val="000000"/>
                <w:sz w:val="21"/>
              </w:rPr>
              <w:t>2.  RESEARCH OBJECTIVE</w:t>
            </w:r>
          </w:p>
        </w:tc>
        <w:tc>
          <w:tcPr>
            <w:tcW w:type="dxa" w:w="1440"/>
          </w:tcPr>
          <w:p>
            <w:pPr>
              <w:spacing w:before="20" w:after="20" w:line="276" w:lineRule="auto"/>
              <w:jc w:val="right"/>
            </w:pPr>
            <w:r>
              <w:rPr>
                <w:rFonts w:ascii="Times New Roman" w:hAnsi="Times New Roman"/>
                <w:b/>
                <w:i w:val="0"/>
                <w:color w:val="000000"/>
                <w:sz w:val="21"/>
              </w:rPr>
              <w:t>8</w:t>
            </w:r>
          </w:p>
        </w:tc>
      </w:tr>
      <w:tr>
        <w:tc>
          <w:tcPr>
            <w:tcW w:type="dxa" w:w="7632"/>
          </w:tcPr>
          <w:p>
            <w:pPr>
              <w:spacing w:before="20" w:after="20" w:line="276" w:lineRule="auto"/>
              <w:jc w:val="left"/>
            </w:pPr>
            <w:r>
              <w:rPr>
                <w:rFonts w:ascii="Times New Roman" w:hAnsi="Times New Roman"/>
                <w:b/>
                <w:i w:val="0"/>
                <w:color w:val="000000"/>
                <w:sz w:val="21"/>
              </w:rPr>
              <w:t>3.  RELEVANCE OF PROBLEM STATEMENT W.R.T SDG</w:t>
            </w:r>
          </w:p>
        </w:tc>
        <w:tc>
          <w:tcPr>
            <w:tcW w:type="dxa" w:w="1440"/>
          </w:tcPr>
          <w:p>
            <w:pPr>
              <w:spacing w:before="20" w:after="20" w:line="276" w:lineRule="auto"/>
              <w:jc w:val="right"/>
            </w:pPr>
            <w:r>
              <w:rPr>
                <w:rFonts w:ascii="Times New Roman" w:hAnsi="Times New Roman"/>
                <w:b/>
                <w:i w:val="0"/>
                <w:color w:val="000000"/>
                <w:sz w:val="21"/>
              </w:rPr>
              <w:t>9</w:t>
            </w:r>
          </w:p>
        </w:tc>
      </w:tr>
      <w:tr>
        <w:tc>
          <w:tcPr>
            <w:tcW w:type="dxa" w:w="7632"/>
          </w:tcPr>
          <w:p>
            <w:pPr>
              <w:spacing w:before="20" w:after="20" w:line="276" w:lineRule="auto"/>
              <w:jc w:val="left"/>
            </w:pPr>
            <w:r>
              <w:rPr>
                <w:rFonts w:ascii="Times New Roman" w:hAnsi="Times New Roman"/>
                <w:b/>
                <w:i w:val="0"/>
                <w:color w:val="000000"/>
                <w:sz w:val="21"/>
              </w:rPr>
              <w:t>4.  PROPOSED SYSTEM</w:t>
            </w:r>
          </w:p>
        </w:tc>
        <w:tc>
          <w:tcPr>
            <w:tcW w:type="dxa" w:w="1440"/>
          </w:tcPr>
          <w:p>
            <w:pPr>
              <w:spacing w:before="20" w:after="20" w:line="276" w:lineRule="auto"/>
              <w:jc w:val="right"/>
            </w:pPr>
            <w:r>
              <w:rPr>
                <w:rFonts w:ascii="Times New Roman" w:hAnsi="Times New Roman"/>
                <w:b/>
                <w:i w:val="0"/>
                <w:color w:val="000000"/>
                <w:sz w:val="21"/>
              </w:rPr>
              <w:t>11</w:t>
            </w:r>
          </w:p>
        </w:tc>
      </w:tr>
      <w:tr>
        <w:tc>
          <w:tcPr>
            <w:tcW w:type="dxa" w:w="7632"/>
          </w:tcPr>
          <w:p>
            <w:pPr>
              <w:spacing w:before="20" w:after="20" w:line="276" w:lineRule="auto"/>
              <w:jc w:val="left"/>
            </w:pPr>
            <w:r>
              <w:rPr>
                <w:rFonts w:ascii="Times New Roman" w:hAnsi="Times New Roman"/>
                <w:b w:val="0"/>
                <w:i w:val="0"/>
                <w:color w:val="000000"/>
                <w:sz w:val="21"/>
              </w:rPr>
              <w:t xml:space="preserve">     4.1 Design Approach / Materials &amp; Methods</w:t>
            </w:r>
          </w:p>
        </w:tc>
        <w:tc>
          <w:tcPr>
            <w:tcW w:type="dxa" w:w="1440"/>
          </w:tcPr>
          <w:p>
            <w:pPr>
              <w:spacing w:before="20" w:after="20" w:line="276" w:lineRule="auto"/>
              <w:jc w:val="right"/>
            </w:pPr>
            <w:r>
              <w:rPr>
                <w:rFonts w:ascii="Times New Roman" w:hAnsi="Times New Roman"/>
                <w:b w:val="0"/>
                <w:i w:val="0"/>
                <w:color w:val="000000"/>
                <w:sz w:val="21"/>
              </w:rPr>
              <w:t>11</w:t>
            </w:r>
          </w:p>
        </w:tc>
      </w:tr>
      <w:tr>
        <w:tc>
          <w:tcPr>
            <w:tcW w:type="dxa" w:w="7632"/>
          </w:tcPr>
          <w:p>
            <w:pPr>
              <w:spacing w:before="20" w:after="20" w:line="276" w:lineRule="auto"/>
              <w:jc w:val="left"/>
            </w:pPr>
            <w:r>
              <w:rPr>
                <w:rFonts w:ascii="Times New Roman" w:hAnsi="Times New Roman"/>
                <w:b w:val="0"/>
                <w:i w:val="0"/>
                <w:color w:val="000000"/>
                <w:sz w:val="21"/>
              </w:rPr>
              <w:t xml:space="preserve">     4.2 Codes and Standards</w:t>
            </w:r>
          </w:p>
        </w:tc>
        <w:tc>
          <w:tcPr>
            <w:tcW w:type="dxa" w:w="1440"/>
          </w:tcPr>
          <w:p>
            <w:pPr>
              <w:spacing w:before="20" w:after="20" w:line="276" w:lineRule="auto"/>
              <w:jc w:val="right"/>
            </w:pPr>
            <w:r>
              <w:rPr>
                <w:rFonts w:ascii="Times New Roman" w:hAnsi="Times New Roman"/>
                <w:b w:val="0"/>
                <w:i w:val="0"/>
                <w:color w:val="000000"/>
                <w:sz w:val="21"/>
              </w:rPr>
              <w:t>14</w:t>
            </w:r>
          </w:p>
        </w:tc>
      </w:tr>
      <w:tr>
        <w:tc>
          <w:tcPr>
            <w:tcW w:type="dxa" w:w="7632"/>
          </w:tcPr>
          <w:p>
            <w:pPr>
              <w:spacing w:before="20" w:after="20" w:line="276" w:lineRule="auto"/>
              <w:jc w:val="left"/>
            </w:pPr>
            <w:r>
              <w:rPr>
                <w:rFonts w:ascii="Times New Roman" w:hAnsi="Times New Roman"/>
                <w:b w:val="0"/>
                <w:i w:val="0"/>
                <w:color w:val="000000"/>
                <w:sz w:val="21"/>
              </w:rPr>
              <w:t xml:space="preserve">     4.3 Constraints, Alternatives and Tradeoffs</w:t>
            </w:r>
          </w:p>
        </w:tc>
        <w:tc>
          <w:tcPr>
            <w:tcW w:type="dxa" w:w="1440"/>
          </w:tcPr>
          <w:p>
            <w:pPr>
              <w:spacing w:before="20" w:after="20" w:line="276" w:lineRule="auto"/>
              <w:jc w:val="right"/>
            </w:pPr>
            <w:r>
              <w:rPr>
                <w:rFonts w:ascii="Times New Roman" w:hAnsi="Times New Roman"/>
                <w:b w:val="0"/>
                <w:i w:val="0"/>
                <w:color w:val="000000"/>
                <w:sz w:val="21"/>
              </w:rPr>
              <w:t>15</w:t>
            </w:r>
          </w:p>
        </w:tc>
      </w:tr>
      <w:tr>
        <w:tc>
          <w:tcPr>
            <w:tcW w:type="dxa" w:w="7632"/>
          </w:tcPr>
          <w:p>
            <w:pPr>
              <w:spacing w:before="20" w:after="20" w:line="276" w:lineRule="auto"/>
              <w:jc w:val="left"/>
            </w:pPr>
            <w:r>
              <w:rPr>
                <w:rFonts w:ascii="Times New Roman" w:hAnsi="Times New Roman"/>
                <w:b/>
                <w:i w:val="0"/>
                <w:color w:val="000000"/>
                <w:sz w:val="21"/>
              </w:rPr>
              <w:t>5.  PROJECT DESCRIPTION</w:t>
            </w:r>
          </w:p>
        </w:tc>
        <w:tc>
          <w:tcPr>
            <w:tcW w:type="dxa" w:w="1440"/>
          </w:tcPr>
          <w:p>
            <w:pPr>
              <w:spacing w:before="20" w:after="20" w:line="276" w:lineRule="auto"/>
              <w:jc w:val="right"/>
            </w:pPr>
            <w:r>
              <w:rPr>
                <w:rFonts w:ascii="Times New Roman" w:hAnsi="Times New Roman"/>
                <w:b/>
                <w:i w:val="0"/>
                <w:color w:val="000000"/>
                <w:sz w:val="21"/>
              </w:rPr>
              <w:t>17</w:t>
            </w:r>
          </w:p>
        </w:tc>
      </w:tr>
      <w:tr>
        <w:tc>
          <w:tcPr>
            <w:tcW w:type="dxa" w:w="7632"/>
          </w:tcPr>
          <w:p>
            <w:pPr>
              <w:spacing w:before="20" w:after="20" w:line="276" w:lineRule="auto"/>
              <w:jc w:val="left"/>
            </w:pPr>
            <w:r>
              <w:rPr>
                <w:rFonts w:ascii="Times New Roman" w:hAnsi="Times New Roman"/>
                <w:b w:val="0"/>
                <w:i w:val="0"/>
                <w:color w:val="000000"/>
                <w:sz w:val="21"/>
              </w:rPr>
              <w:t xml:space="preserve">     5.1 System Architecture Overview</w:t>
            </w:r>
          </w:p>
        </w:tc>
        <w:tc>
          <w:tcPr>
            <w:tcW w:type="dxa" w:w="1440"/>
          </w:tcPr>
          <w:p>
            <w:pPr>
              <w:spacing w:before="20" w:after="20" w:line="276" w:lineRule="auto"/>
              <w:jc w:val="right"/>
            </w:pPr>
            <w:r>
              <w:rPr>
                <w:rFonts w:ascii="Times New Roman" w:hAnsi="Times New Roman"/>
                <w:b w:val="0"/>
                <w:i w:val="0"/>
                <w:color w:val="000000"/>
                <w:sz w:val="21"/>
              </w:rPr>
              <w:t>17</w:t>
            </w:r>
          </w:p>
        </w:tc>
      </w:tr>
      <w:tr>
        <w:tc>
          <w:tcPr>
            <w:tcW w:type="dxa" w:w="7632"/>
          </w:tcPr>
          <w:p>
            <w:pPr>
              <w:spacing w:before="20" w:after="20" w:line="276" w:lineRule="auto"/>
              <w:jc w:val="left"/>
            </w:pPr>
            <w:r>
              <w:rPr>
                <w:rFonts w:ascii="Times New Roman" w:hAnsi="Times New Roman"/>
                <w:b w:val="0"/>
                <w:i w:val="0"/>
                <w:color w:val="000000"/>
                <w:sz w:val="21"/>
              </w:rPr>
              <w:t xml:space="preserve">     5.2 Heterogeneous Processing Element (PE) Microarchitecture</w:t>
            </w:r>
          </w:p>
        </w:tc>
        <w:tc>
          <w:tcPr>
            <w:tcW w:type="dxa" w:w="1440"/>
          </w:tcPr>
          <w:p>
            <w:pPr>
              <w:spacing w:before="20" w:after="20" w:line="276" w:lineRule="auto"/>
              <w:jc w:val="right"/>
            </w:pPr>
            <w:r>
              <w:rPr>
                <w:rFonts w:ascii="Times New Roman" w:hAnsi="Times New Roman"/>
                <w:b w:val="0"/>
                <w:i w:val="0"/>
                <w:color w:val="000000"/>
                <w:sz w:val="21"/>
              </w:rPr>
              <w:t>19</w:t>
            </w:r>
          </w:p>
        </w:tc>
      </w:tr>
      <w:tr>
        <w:tc>
          <w:tcPr>
            <w:tcW w:type="dxa" w:w="7632"/>
          </w:tcPr>
          <w:p>
            <w:pPr>
              <w:spacing w:before="20" w:after="20" w:line="276" w:lineRule="auto"/>
              <w:jc w:val="left"/>
            </w:pPr>
            <w:r>
              <w:rPr>
                <w:rFonts w:ascii="Times New Roman" w:hAnsi="Times New Roman"/>
                <w:b w:val="0"/>
                <w:i w:val="0"/>
                <w:color w:val="000000"/>
                <w:sz w:val="21"/>
              </w:rPr>
              <w:t xml:space="preserve">     5.3 Carry-Save Accumulator Datapath Optimization</w:t>
            </w:r>
          </w:p>
        </w:tc>
        <w:tc>
          <w:tcPr>
            <w:tcW w:type="dxa" w:w="1440"/>
          </w:tcPr>
          <w:p>
            <w:pPr>
              <w:spacing w:before="20" w:after="20" w:line="276" w:lineRule="auto"/>
              <w:jc w:val="right"/>
            </w:pPr>
            <w:r>
              <w:rPr>
                <w:rFonts w:ascii="Times New Roman" w:hAnsi="Times New Roman"/>
                <w:b w:val="0"/>
                <w:i w:val="0"/>
                <w:color w:val="000000"/>
                <w:sz w:val="21"/>
              </w:rPr>
              <w:t>21</w:t>
            </w:r>
          </w:p>
        </w:tc>
      </w:tr>
      <w:tr>
        <w:tc>
          <w:tcPr>
            <w:tcW w:type="dxa" w:w="7632"/>
          </w:tcPr>
          <w:p>
            <w:pPr>
              <w:spacing w:before="20" w:after="20" w:line="276" w:lineRule="auto"/>
              <w:jc w:val="left"/>
            </w:pPr>
            <w:r>
              <w:rPr>
                <w:rFonts w:ascii="Times New Roman" w:hAnsi="Times New Roman"/>
                <w:b w:val="0"/>
                <w:i w:val="0"/>
                <w:color w:val="000000"/>
                <w:sz w:val="21"/>
              </w:rPr>
              <w:t xml:space="preserve">     5.4 Dynamic Boundary Bitmask Isolation Logic</w:t>
            </w:r>
          </w:p>
        </w:tc>
        <w:tc>
          <w:tcPr>
            <w:tcW w:type="dxa" w:w="1440"/>
          </w:tcPr>
          <w:p>
            <w:pPr>
              <w:spacing w:before="20" w:after="20" w:line="276" w:lineRule="auto"/>
              <w:jc w:val="right"/>
            </w:pPr>
            <w:r>
              <w:rPr>
                <w:rFonts w:ascii="Times New Roman" w:hAnsi="Times New Roman"/>
                <w:b w:val="0"/>
                <w:i w:val="0"/>
                <w:color w:val="000000"/>
                <w:sz w:val="21"/>
              </w:rPr>
              <w:t>23</w:t>
            </w:r>
          </w:p>
        </w:tc>
      </w:tr>
      <w:tr>
        <w:tc>
          <w:tcPr>
            <w:tcW w:type="dxa" w:w="7632"/>
          </w:tcPr>
          <w:p>
            <w:pPr>
              <w:spacing w:before="20" w:after="20" w:line="276" w:lineRule="auto"/>
              <w:jc w:val="left"/>
            </w:pPr>
            <w:r>
              <w:rPr>
                <w:rFonts w:ascii="Times New Roman" w:hAnsi="Times New Roman"/>
                <w:b w:val="0"/>
                <w:i w:val="0"/>
                <w:color w:val="000000"/>
                <w:sz w:val="21"/>
              </w:rPr>
              <w:t xml:space="preserve">     5.5 Epoch-Phase Priority Arbiter (EPPA) and Pod Bank Scrubbing</w:t>
            </w:r>
          </w:p>
        </w:tc>
        <w:tc>
          <w:tcPr>
            <w:tcW w:type="dxa" w:w="1440"/>
          </w:tcPr>
          <w:p>
            <w:pPr>
              <w:spacing w:before="20" w:after="20" w:line="276" w:lineRule="auto"/>
              <w:jc w:val="right"/>
            </w:pPr>
            <w:r>
              <w:rPr>
                <w:rFonts w:ascii="Times New Roman" w:hAnsi="Times New Roman"/>
                <w:b w:val="0"/>
                <w:i w:val="0"/>
                <w:color w:val="000000"/>
                <w:sz w:val="21"/>
              </w:rPr>
              <w:t>25</w:t>
            </w:r>
          </w:p>
        </w:tc>
      </w:tr>
      <w:tr>
        <w:tc>
          <w:tcPr>
            <w:tcW w:type="dxa" w:w="7632"/>
          </w:tcPr>
          <w:p>
            <w:pPr>
              <w:spacing w:before="20" w:after="20" w:line="276" w:lineRule="auto"/>
              <w:jc w:val="left"/>
            </w:pPr>
            <w:r>
              <w:rPr>
                <w:rFonts w:ascii="Times New Roman" w:hAnsi="Times New Roman"/>
                <w:b/>
                <w:i w:val="0"/>
                <w:color w:val="000000"/>
                <w:sz w:val="21"/>
              </w:rPr>
              <w:t>6.  HARDWARE/SOFTWARE TOOLS USED</w:t>
            </w:r>
          </w:p>
        </w:tc>
        <w:tc>
          <w:tcPr>
            <w:tcW w:type="dxa" w:w="1440"/>
          </w:tcPr>
          <w:p>
            <w:pPr>
              <w:spacing w:before="20" w:after="20" w:line="276" w:lineRule="auto"/>
              <w:jc w:val="right"/>
            </w:pPr>
            <w:r>
              <w:rPr>
                <w:rFonts w:ascii="Times New Roman" w:hAnsi="Times New Roman"/>
                <w:b/>
                <w:i w:val="0"/>
                <w:color w:val="000000"/>
                <w:sz w:val="21"/>
              </w:rPr>
              <w:t>27</w:t>
            </w:r>
          </w:p>
        </w:tc>
      </w:tr>
      <w:tr>
        <w:tc>
          <w:tcPr>
            <w:tcW w:type="dxa" w:w="7632"/>
          </w:tcPr>
          <w:p>
            <w:pPr>
              <w:spacing w:before="20" w:after="20" w:line="276" w:lineRule="auto"/>
              <w:jc w:val="left"/>
            </w:pPr>
            <w:r>
              <w:rPr>
                <w:rFonts w:ascii="Times New Roman" w:hAnsi="Times New Roman"/>
                <w:b/>
                <w:i w:val="0"/>
                <w:color w:val="000000"/>
                <w:sz w:val="21"/>
              </w:rPr>
              <w:t>7.  SCHEDULE AND MILESTONES</w:t>
            </w:r>
          </w:p>
        </w:tc>
        <w:tc>
          <w:tcPr>
            <w:tcW w:type="dxa" w:w="1440"/>
          </w:tcPr>
          <w:p>
            <w:pPr>
              <w:spacing w:before="20" w:after="20" w:line="276" w:lineRule="auto"/>
              <w:jc w:val="right"/>
            </w:pPr>
            <w:r>
              <w:rPr>
                <w:rFonts w:ascii="Times New Roman" w:hAnsi="Times New Roman"/>
                <w:b/>
                <w:i w:val="0"/>
                <w:color w:val="000000"/>
                <w:sz w:val="21"/>
              </w:rPr>
              <w:t>29</w:t>
            </w:r>
          </w:p>
        </w:tc>
      </w:tr>
      <w:tr>
        <w:tc>
          <w:tcPr>
            <w:tcW w:type="dxa" w:w="7632"/>
          </w:tcPr>
          <w:p>
            <w:pPr>
              <w:spacing w:before="20" w:after="20" w:line="276" w:lineRule="auto"/>
              <w:jc w:val="left"/>
            </w:pPr>
            <w:r>
              <w:rPr>
                <w:rFonts w:ascii="Times New Roman" w:hAnsi="Times New Roman"/>
                <w:b/>
                <w:i w:val="0"/>
                <w:color w:val="000000"/>
                <w:sz w:val="21"/>
              </w:rPr>
              <w:t>8.  RESULT ANALYSIS</w:t>
            </w:r>
          </w:p>
        </w:tc>
        <w:tc>
          <w:tcPr>
            <w:tcW w:type="dxa" w:w="1440"/>
          </w:tcPr>
          <w:p>
            <w:pPr>
              <w:spacing w:before="20" w:after="20" w:line="276" w:lineRule="auto"/>
              <w:jc w:val="right"/>
            </w:pPr>
            <w:r>
              <w:rPr>
                <w:rFonts w:ascii="Times New Roman" w:hAnsi="Times New Roman"/>
                <w:b/>
                <w:i w:val="0"/>
                <w:color w:val="000000"/>
                <w:sz w:val="21"/>
              </w:rPr>
              <w:t>31</w:t>
            </w:r>
          </w:p>
        </w:tc>
      </w:tr>
      <w:tr>
        <w:tc>
          <w:tcPr>
            <w:tcW w:type="dxa" w:w="7632"/>
          </w:tcPr>
          <w:p>
            <w:pPr>
              <w:spacing w:before="20" w:after="20" w:line="276" w:lineRule="auto"/>
              <w:jc w:val="left"/>
            </w:pPr>
            <w:r>
              <w:rPr>
                <w:rFonts w:ascii="Times New Roman" w:hAnsi="Times New Roman"/>
                <w:b w:val="0"/>
                <w:i w:val="0"/>
                <w:color w:val="000000"/>
                <w:sz w:val="21"/>
              </w:rPr>
              <w:t xml:space="preserve">     8.1 Synthesis Methodology and SDC Timing Constraints</w:t>
            </w:r>
          </w:p>
        </w:tc>
        <w:tc>
          <w:tcPr>
            <w:tcW w:type="dxa" w:w="1440"/>
          </w:tcPr>
          <w:p>
            <w:pPr>
              <w:spacing w:before="20" w:after="20" w:line="276" w:lineRule="auto"/>
              <w:jc w:val="right"/>
            </w:pPr>
            <w:r>
              <w:rPr>
                <w:rFonts w:ascii="Times New Roman" w:hAnsi="Times New Roman"/>
                <w:b w:val="0"/>
                <w:i w:val="0"/>
                <w:color w:val="000000"/>
                <w:sz w:val="21"/>
              </w:rPr>
              <w:t>31</w:t>
            </w:r>
          </w:p>
        </w:tc>
      </w:tr>
      <w:tr>
        <w:tc>
          <w:tcPr>
            <w:tcW w:type="dxa" w:w="7632"/>
          </w:tcPr>
          <w:p>
            <w:pPr>
              <w:spacing w:before="20" w:after="20" w:line="276" w:lineRule="auto"/>
              <w:jc w:val="left"/>
            </w:pPr>
            <w:r>
              <w:rPr>
                <w:rFonts w:ascii="Times New Roman" w:hAnsi="Times New Roman"/>
                <w:b w:val="0"/>
                <w:i w:val="0"/>
                <w:color w:val="000000"/>
                <w:sz w:val="21"/>
              </w:rPr>
              <w:t xml:space="preserve">     8.2 Cell Area Distribution and Submodule Breakdown</w:t>
            </w:r>
          </w:p>
        </w:tc>
        <w:tc>
          <w:tcPr>
            <w:tcW w:type="dxa" w:w="1440"/>
          </w:tcPr>
          <w:p>
            <w:pPr>
              <w:spacing w:before="20" w:after="20" w:line="276" w:lineRule="auto"/>
              <w:jc w:val="right"/>
            </w:pPr>
            <w:r>
              <w:rPr>
                <w:rFonts w:ascii="Times New Roman" w:hAnsi="Times New Roman"/>
                <w:b w:val="0"/>
                <w:i w:val="0"/>
                <w:color w:val="000000"/>
                <w:sz w:val="21"/>
              </w:rPr>
              <w:t>32</w:t>
            </w:r>
          </w:p>
        </w:tc>
      </w:tr>
      <w:tr>
        <w:tc>
          <w:tcPr>
            <w:tcW w:type="dxa" w:w="7632"/>
          </w:tcPr>
          <w:p>
            <w:pPr>
              <w:spacing w:before="20" w:after="20" w:line="276" w:lineRule="auto"/>
              <w:jc w:val="left"/>
            </w:pPr>
            <w:r>
              <w:rPr>
                <w:rFonts w:ascii="Times New Roman" w:hAnsi="Times New Roman"/>
                <w:b w:val="0"/>
                <w:i w:val="0"/>
                <w:color w:val="000000"/>
                <w:sz w:val="21"/>
              </w:rPr>
              <w:t xml:space="preserve">     8.3 Power Dissipation Breakdown</w:t>
            </w:r>
          </w:p>
        </w:tc>
        <w:tc>
          <w:tcPr>
            <w:tcW w:type="dxa" w:w="1440"/>
          </w:tcPr>
          <w:p>
            <w:pPr>
              <w:spacing w:before="20" w:after="20" w:line="276" w:lineRule="auto"/>
              <w:jc w:val="right"/>
            </w:pPr>
            <w:r>
              <w:rPr>
                <w:rFonts w:ascii="Times New Roman" w:hAnsi="Times New Roman"/>
                <w:b w:val="0"/>
                <w:i w:val="0"/>
                <w:color w:val="000000"/>
                <w:sz w:val="21"/>
              </w:rPr>
              <w:t>34</w:t>
            </w:r>
          </w:p>
        </w:tc>
      </w:tr>
      <w:tr>
        <w:tc>
          <w:tcPr>
            <w:tcW w:type="dxa" w:w="7632"/>
          </w:tcPr>
          <w:p>
            <w:pPr>
              <w:spacing w:before="20" w:after="20" w:line="276" w:lineRule="auto"/>
              <w:jc w:val="left"/>
            </w:pPr>
            <w:r>
              <w:rPr>
                <w:rFonts w:ascii="Times New Roman" w:hAnsi="Times New Roman"/>
                <w:b w:val="0"/>
                <w:i w:val="0"/>
                <w:color w:val="000000"/>
                <w:sz w:val="21"/>
              </w:rPr>
              <w:t xml:space="preserve">     8.4 Static Timing Analysis (STA) and Critical Path Slack</w:t>
            </w:r>
          </w:p>
        </w:tc>
        <w:tc>
          <w:tcPr>
            <w:tcW w:type="dxa" w:w="1440"/>
          </w:tcPr>
          <w:p>
            <w:pPr>
              <w:spacing w:before="20" w:after="20" w:line="276" w:lineRule="auto"/>
              <w:jc w:val="right"/>
            </w:pPr>
            <w:r>
              <w:rPr>
                <w:rFonts w:ascii="Times New Roman" w:hAnsi="Times New Roman"/>
                <w:b w:val="0"/>
                <w:i w:val="0"/>
                <w:color w:val="000000"/>
                <w:sz w:val="21"/>
              </w:rPr>
              <w:t>36</w:t>
            </w:r>
          </w:p>
        </w:tc>
      </w:tr>
      <w:tr>
        <w:tc>
          <w:tcPr>
            <w:tcW w:type="dxa" w:w="7632"/>
          </w:tcPr>
          <w:p>
            <w:pPr>
              <w:spacing w:before="20" w:after="20" w:line="276" w:lineRule="auto"/>
              <w:jc w:val="left"/>
            </w:pPr>
            <w:r>
              <w:rPr>
                <w:rFonts w:ascii="Times New Roman" w:hAnsi="Times New Roman"/>
                <w:b w:val="0"/>
                <w:i w:val="0"/>
                <w:color w:val="000000"/>
                <w:sz w:val="21"/>
              </w:rPr>
              <w:t xml:space="preserve">     8.5 Cross-Model Benchmark Comparison (DFS vs SFA vs PolyFlow-NPU)</w:t>
            </w:r>
          </w:p>
        </w:tc>
        <w:tc>
          <w:tcPr>
            <w:tcW w:type="dxa" w:w="1440"/>
          </w:tcPr>
          <w:p>
            <w:pPr>
              <w:spacing w:before="20" w:after="20" w:line="276" w:lineRule="auto"/>
              <w:jc w:val="right"/>
            </w:pPr>
            <w:r>
              <w:rPr>
                <w:rFonts w:ascii="Times New Roman" w:hAnsi="Times New Roman"/>
                <w:b w:val="0"/>
                <w:i w:val="0"/>
                <w:color w:val="000000"/>
                <w:sz w:val="21"/>
              </w:rPr>
              <w:t>38</w:t>
            </w:r>
          </w:p>
        </w:tc>
      </w:tr>
      <w:tr>
        <w:tc>
          <w:tcPr>
            <w:tcW w:type="dxa" w:w="7632"/>
          </w:tcPr>
          <w:p>
            <w:pPr>
              <w:spacing w:before="20" w:after="20" w:line="276" w:lineRule="auto"/>
              <w:jc w:val="left"/>
            </w:pPr>
            <w:r>
              <w:rPr>
                <w:rFonts w:ascii="Times New Roman" w:hAnsi="Times New Roman"/>
                <w:b/>
                <w:i w:val="0"/>
                <w:color w:val="000000"/>
                <w:sz w:val="21"/>
              </w:rPr>
              <w:t>9.  CONCLUSION</w:t>
            </w:r>
          </w:p>
        </w:tc>
        <w:tc>
          <w:tcPr>
            <w:tcW w:type="dxa" w:w="1440"/>
          </w:tcPr>
          <w:p>
            <w:pPr>
              <w:spacing w:before="20" w:after="20" w:line="276" w:lineRule="auto"/>
              <w:jc w:val="right"/>
            </w:pPr>
            <w:r>
              <w:rPr>
                <w:rFonts w:ascii="Times New Roman" w:hAnsi="Times New Roman"/>
                <w:b/>
                <w:i w:val="0"/>
                <w:color w:val="000000"/>
                <w:sz w:val="21"/>
              </w:rPr>
              <w:t>40</w:t>
            </w:r>
          </w:p>
        </w:tc>
      </w:tr>
      <w:tr>
        <w:tc>
          <w:tcPr>
            <w:tcW w:type="dxa" w:w="7632"/>
          </w:tcPr>
          <w:p>
            <w:pPr>
              <w:spacing w:before="20" w:after="20" w:line="276" w:lineRule="auto"/>
              <w:jc w:val="left"/>
            </w:pPr>
            <w:r>
              <w:rPr>
                <w:rFonts w:ascii="Times New Roman" w:hAnsi="Times New Roman"/>
                <w:b w:val="0"/>
                <w:i w:val="0"/>
                <w:color w:val="000000"/>
                <w:sz w:val="21"/>
              </w:rPr>
              <w:t xml:space="preserve">     9.1 Obtained Results</w:t>
            </w:r>
          </w:p>
        </w:tc>
        <w:tc>
          <w:tcPr>
            <w:tcW w:type="dxa" w:w="1440"/>
          </w:tcPr>
          <w:p>
            <w:pPr>
              <w:spacing w:before="20" w:after="20" w:line="276" w:lineRule="auto"/>
              <w:jc w:val="right"/>
            </w:pPr>
            <w:r>
              <w:rPr>
                <w:rFonts w:ascii="Times New Roman" w:hAnsi="Times New Roman"/>
                <w:b w:val="0"/>
                <w:i w:val="0"/>
                <w:color w:val="000000"/>
                <w:sz w:val="21"/>
              </w:rPr>
              <w:t>40</w:t>
            </w:r>
          </w:p>
        </w:tc>
      </w:tr>
      <w:tr>
        <w:tc>
          <w:tcPr>
            <w:tcW w:type="dxa" w:w="7632"/>
          </w:tcPr>
          <w:p>
            <w:pPr>
              <w:spacing w:before="20" w:after="20" w:line="276" w:lineRule="auto"/>
              <w:jc w:val="left"/>
            </w:pPr>
            <w:r>
              <w:rPr>
                <w:rFonts w:ascii="Times New Roman" w:hAnsi="Times New Roman"/>
                <w:b w:val="0"/>
                <w:i w:val="0"/>
                <w:color w:val="000000"/>
                <w:sz w:val="21"/>
              </w:rPr>
              <w:t xml:space="preserve">     9.2 Future Improvement / Work</w:t>
            </w:r>
          </w:p>
        </w:tc>
        <w:tc>
          <w:tcPr>
            <w:tcW w:type="dxa" w:w="1440"/>
          </w:tcPr>
          <w:p>
            <w:pPr>
              <w:spacing w:before="20" w:after="20" w:line="276" w:lineRule="auto"/>
              <w:jc w:val="right"/>
            </w:pPr>
            <w:r>
              <w:rPr>
                <w:rFonts w:ascii="Times New Roman" w:hAnsi="Times New Roman"/>
                <w:b w:val="0"/>
                <w:i w:val="0"/>
                <w:color w:val="000000"/>
                <w:sz w:val="21"/>
              </w:rPr>
              <w:t>41</w:t>
            </w:r>
          </w:p>
        </w:tc>
      </w:tr>
      <w:tr>
        <w:tc>
          <w:tcPr>
            <w:tcW w:type="dxa" w:w="7632"/>
          </w:tcPr>
          <w:p>
            <w:pPr>
              <w:spacing w:before="20" w:after="20" w:line="276" w:lineRule="auto"/>
              <w:jc w:val="left"/>
            </w:pPr>
            <w:r>
              <w:rPr>
                <w:rFonts w:ascii="Times New Roman" w:hAnsi="Times New Roman"/>
                <w:b w:val="0"/>
                <w:i w:val="0"/>
                <w:color w:val="000000"/>
                <w:sz w:val="21"/>
              </w:rPr>
              <w:t xml:space="preserve">     9.3 Individual Contribution from Team Members</w:t>
            </w:r>
          </w:p>
        </w:tc>
        <w:tc>
          <w:tcPr>
            <w:tcW w:type="dxa" w:w="1440"/>
          </w:tcPr>
          <w:p>
            <w:pPr>
              <w:spacing w:before="20" w:after="20" w:line="276" w:lineRule="auto"/>
              <w:jc w:val="right"/>
            </w:pPr>
            <w:r>
              <w:rPr>
                <w:rFonts w:ascii="Times New Roman" w:hAnsi="Times New Roman"/>
                <w:b w:val="0"/>
                <w:i w:val="0"/>
                <w:color w:val="000000"/>
                <w:sz w:val="21"/>
              </w:rPr>
              <w:t>42</w:t>
            </w:r>
          </w:p>
        </w:tc>
      </w:tr>
      <w:tr>
        <w:tc>
          <w:tcPr>
            <w:tcW w:type="dxa" w:w="7632"/>
          </w:tcPr>
          <w:p>
            <w:pPr>
              <w:spacing w:before="20" w:after="20" w:line="276" w:lineRule="auto"/>
              <w:jc w:val="left"/>
            </w:pPr>
            <w:r>
              <w:rPr>
                <w:rFonts w:ascii="Times New Roman" w:hAnsi="Times New Roman"/>
                <w:b/>
                <w:i w:val="0"/>
                <w:color w:val="000000"/>
                <w:sz w:val="21"/>
              </w:rPr>
              <w:t>10. SOCIAL AND ENVIRONMENTAL IMPACT</w:t>
            </w:r>
          </w:p>
        </w:tc>
        <w:tc>
          <w:tcPr>
            <w:tcW w:type="dxa" w:w="1440"/>
          </w:tcPr>
          <w:p>
            <w:pPr>
              <w:spacing w:before="20" w:after="20" w:line="276" w:lineRule="auto"/>
              <w:jc w:val="right"/>
            </w:pPr>
            <w:r>
              <w:rPr>
                <w:rFonts w:ascii="Times New Roman" w:hAnsi="Times New Roman"/>
                <w:b/>
                <w:i w:val="0"/>
                <w:color w:val="000000"/>
                <w:sz w:val="21"/>
              </w:rPr>
              <w:t>43</w:t>
            </w:r>
          </w:p>
        </w:tc>
      </w:tr>
      <w:tr>
        <w:tc>
          <w:tcPr>
            <w:tcW w:type="dxa" w:w="7632"/>
          </w:tcPr>
          <w:p>
            <w:pPr>
              <w:spacing w:before="20" w:after="20" w:line="276" w:lineRule="auto"/>
              <w:jc w:val="left"/>
            </w:pPr>
            <w:r>
              <w:rPr>
                <w:rFonts w:ascii="Times New Roman" w:hAnsi="Times New Roman"/>
                <w:b/>
                <w:i w:val="0"/>
                <w:color w:val="000000"/>
                <w:sz w:val="21"/>
              </w:rPr>
              <w:t>11. COST ANALYSIS</w:t>
            </w:r>
          </w:p>
        </w:tc>
        <w:tc>
          <w:tcPr>
            <w:tcW w:type="dxa" w:w="1440"/>
          </w:tcPr>
          <w:p>
            <w:pPr>
              <w:spacing w:before="20" w:after="20" w:line="276" w:lineRule="auto"/>
              <w:jc w:val="right"/>
            </w:pPr>
            <w:r>
              <w:rPr>
                <w:rFonts w:ascii="Times New Roman" w:hAnsi="Times New Roman"/>
                <w:b/>
                <w:i w:val="0"/>
                <w:color w:val="000000"/>
                <w:sz w:val="21"/>
              </w:rPr>
              <w:t>44</w:t>
            </w:r>
          </w:p>
        </w:tc>
      </w:tr>
      <w:tr>
        <w:tc>
          <w:tcPr>
            <w:tcW w:type="dxa" w:w="7632"/>
          </w:tcPr>
          <w:p>
            <w:pPr>
              <w:spacing w:before="20" w:after="20" w:line="276" w:lineRule="auto"/>
              <w:jc w:val="left"/>
            </w:pPr>
            <w:r>
              <w:rPr>
                <w:rFonts w:ascii="Times New Roman" w:hAnsi="Times New Roman"/>
                <w:b/>
                <w:i w:val="0"/>
                <w:color w:val="000000"/>
                <w:sz w:val="21"/>
              </w:rPr>
              <w:t>12. PROJECT OUTCOME PUBLICATION/PATENT</w:t>
            </w:r>
          </w:p>
        </w:tc>
        <w:tc>
          <w:tcPr>
            <w:tcW w:type="dxa" w:w="1440"/>
          </w:tcPr>
          <w:p>
            <w:pPr>
              <w:spacing w:before="20" w:after="20" w:line="276" w:lineRule="auto"/>
              <w:jc w:val="right"/>
            </w:pPr>
            <w:r>
              <w:rPr>
                <w:rFonts w:ascii="Times New Roman" w:hAnsi="Times New Roman"/>
                <w:b/>
                <w:i w:val="0"/>
                <w:color w:val="000000"/>
                <w:sz w:val="21"/>
              </w:rPr>
              <w:t>45</w:t>
            </w:r>
          </w:p>
        </w:tc>
      </w:tr>
      <w:tr>
        <w:tc>
          <w:tcPr>
            <w:tcW w:type="dxa" w:w="7632"/>
          </w:tcPr>
          <w:p>
            <w:pPr>
              <w:spacing w:before="20" w:after="20" w:line="276" w:lineRule="auto"/>
              <w:jc w:val="left"/>
            </w:pPr>
            <w:r>
              <w:rPr>
                <w:rFonts w:ascii="Times New Roman" w:hAnsi="Times New Roman"/>
                <w:b/>
                <w:i w:val="0"/>
                <w:color w:val="000000"/>
                <w:sz w:val="21"/>
              </w:rPr>
              <w:t>13. REFERENCES</w:t>
            </w:r>
          </w:p>
        </w:tc>
        <w:tc>
          <w:tcPr>
            <w:tcW w:type="dxa" w:w="1440"/>
          </w:tcPr>
          <w:p>
            <w:pPr>
              <w:spacing w:before="20" w:after="20" w:line="276" w:lineRule="auto"/>
              <w:jc w:val="right"/>
            </w:pPr>
            <w:r>
              <w:rPr>
                <w:rFonts w:ascii="Times New Roman" w:hAnsi="Times New Roman"/>
                <w:b/>
                <w:i w:val="0"/>
                <w:color w:val="000000"/>
                <w:sz w:val="21"/>
              </w:rPr>
              <w:t>46</w:t>
            </w:r>
          </w:p>
        </w:tc>
      </w:tr>
      <w:tr>
        <w:tc>
          <w:tcPr>
            <w:tcW w:type="dxa" w:w="7632"/>
          </w:tcPr>
          <w:p>
            <w:pPr>
              <w:spacing w:before="20" w:after="20" w:line="276" w:lineRule="auto"/>
              <w:jc w:val="left"/>
            </w:pPr>
            <w:r>
              <w:rPr>
                <w:rFonts w:ascii="Times New Roman" w:hAnsi="Times New Roman"/>
                <w:b/>
                <w:i w:val="0"/>
                <w:color w:val="000000"/>
                <w:sz w:val="21"/>
              </w:rPr>
              <w:t>14. APPENDIX A</w:t>
            </w:r>
          </w:p>
        </w:tc>
        <w:tc>
          <w:tcPr>
            <w:tcW w:type="dxa" w:w="1440"/>
          </w:tcPr>
          <w:p>
            <w:pPr>
              <w:spacing w:before="20" w:after="20" w:line="276" w:lineRule="auto"/>
              <w:jc w:val="right"/>
            </w:pPr>
            <w:r>
              <w:rPr>
                <w:rFonts w:ascii="Times New Roman" w:hAnsi="Times New Roman"/>
                <w:b/>
                <w:i w:val="0"/>
                <w:color w:val="000000"/>
                <w:sz w:val="21"/>
              </w:rPr>
              <w:t>49</w:t>
            </w:r>
          </w:p>
        </w:tc>
      </w:tr>
      <w:tr>
        <w:tc>
          <w:tcPr>
            <w:tcW w:type="dxa" w:w="7632"/>
          </w:tcPr>
          <w:p>
            <w:pPr>
              <w:spacing w:before="20" w:after="20" w:line="276" w:lineRule="auto"/>
              <w:jc w:val="left"/>
            </w:pPr>
            <w:r>
              <w:rPr>
                <w:rFonts w:ascii="Times New Roman" w:hAnsi="Times New Roman"/>
                <w:b w:val="0"/>
                <w:i w:val="0"/>
                <w:color w:val="000000"/>
                <w:sz w:val="21"/>
              </w:rPr>
              <w:t xml:space="preserve">     A.1 Top-Level Verilog Port List (hdf_top.sv)</w:t>
            </w:r>
          </w:p>
        </w:tc>
        <w:tc>
          <w:tcPr>
            <w:tcW w:type="dxa" w:w="1440"/>
          </w:tcPr>
          <w:p>
            <w:pPr>
              <w:spacing w:before="20" w:after="20" w:line="276" w:lineRule="auto"/>
              <w:jc w:val="right"/>
            </w:pPr>
            <w:r>
              <w:rPr>
                <w:rFonts w:ascii="Times New Roman" w:hAnsi="Times New Roman"/>
                <w:b w:val="0"/>
                <w:i w:val="0"/>
                <w:color w:val="000000"/>
                <w:sz w:val="21"/>
              </w:rPr>
              <w:t>49</w:t>
            </w:r>
          </w:p>
        </w:tc>
      </w:tr>
      <w:tr>
        <w:tc>
          <w:tcPr>
            <w:tcW w:type="dxa" w:w="7632"/>
          </w:tcPr>
          <w:p>
            <w:pPr>
              <w:spacing w:before="20" w:after="20" w:line="276" w:lineRule="auto"/>
              <w:jc w:val="left"/>
            </w:pPr>
            <w:r>
              <w:rPr>
                <w:rFonts w:ascii="Times New Roman" w:hAnsi="Times New Roman"/>
                <w:b w:val="0"/>
                <w:i w:val="0"/>
                <w:color w:val="000000"/>
                <w:sz w:val="21"/>
              </w:rPr>
              <w:t xml:space="preserve">     A.2 Synopsys Design Constraints (synth_hdf.sdc)</w:t>
            </w:r>
          </w:p>
        </w:tc>
        <w:tc>
          <w:tcPr>
            <w:tcW w:type="dxa" w:w="1440"/>
          </w:tcPr>
          <w:p>
            <w:pPr>
              <w:spacing w:before="20" w:after="20" w:line="276" w:lineRule="auto"/>
              <w:jc w:val="right"/>
            </w:pPr>
            <w:r>
              <w:rPr>
                <w:rFonts w:ascii="Times New Roman" w:hAnsi="Times New Roman"/>
                <w:b w:val="0"/>
                <w:i w:val="0"/>
                <w:color w:val="000000"/>
                <w:sz w:val="21"/>
              </w:rPr>
              <w:t>51</w:t>
            </w:r>
          </w:p>
        </w:tc>
      </w:tr>
      <w:tr>
        <w:tc>
          <w:tcPr>
            <w:tcW w:type="dxa" w:w="7632"/>
          </w:tcPr>
          <w:p>
            <w:pPr>
              <w:spacing w:before="20" w:after="20" w:line="276" w:lineRule="auto"/>
              <w:jc w:val="left"/>
            </w:pPr>
            <w:r>
              <w:rPr>
                <w:rFonts w:ascii="Times New Roman" w:hAnsi="Times New Roman"/>
                <w:b w:val="0"/>
                <w:i w:val="0"/>
                <w:color w:val="000000"/>
                <w:sz w:val="21"/>
              </w:rPr>
              <w:t xml:space="preserve">     A.3 SystemVerilog Assertion (SVA) Verification Checkers</w:t>
            </w:r>
          </w:p>
        </w:tc>
        <w:tc>
          <w:tcPr>
            <w:tcW w:type="dxa" w:w="1440"/>
          </w:tcPr>
          <w:p>
            <w:pPr>
              <w:spacing w:before="20" w:after="20" w:line="276" w:lineRule="auto"/>
              <w:jc w:val="right"/>
            </w:pPr>
            <w:r>
              <w:rPr>
                <w:rFonts w:ascii="Times New Roman" w:hAnsi="Times New Roman"/>
                <w:b w:val="0"/>
                <w:i w:val="0"/>
                <w:color w:val="000000"/>
                <w:sz w:val="21"/>
              </w:rPr>
              <w:t>53</w:t>
            </w:r>
          </w:p>
        </w:tc>
      </w:tr>
    </w:tbl>
    <w:p>
      <w:pPr>
        <w:sectPr>
          <w:pgSz w:w="11904" w:h="16836"/>
          <w:pgMar w:top="1382" w:right="1094" w:bottom="720" w:left="1685" w:header="720" w:footer="720" w:gutter="0"/>
          <w:cols w:space="720"/>
        </w:sectPr>
      </w:pPr>
    </w:p>
    <w:p>
      <w:pPr>
        <w:spacing w:before="400" w:after="320"/>
        <w:jc w:val="center"/>
      </w:pPr>
      <w:r>
        <w:rPr>
          <w:rFonts w:ascii="Times New Roman" w:hAnsi="Times New Roman"/>
          <w:b/>
          <w:i w:val="0"/>
          <w:color w:val="000000"/>
          <w:sz w:val="28"/>
        </w:rPr>
        <w:t>LIST OF FIGURES</w:t>
      </w:r>
    </w:p>
    <w:p>
      <w:pPr>
        <w:spacing w:after="240"/>
        <w:jc w:val="center"/>
      </w:pPr>
      <w:r>
        <w:rPr>
          <w:rFonts w:ascii="Times New Roman" w:hAnsi="Times New Roman"/>
          <w:b w:val="0"/>
          <w:i/>
          <w:color w:val="000000"/>
          <w:sz w:val="20"/>
        </w:rPr>
        <w:t>(In the chapters, figure caption should come below the figure and table caption should come above the table. Figure and table captions should be of font size 10.)</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3042"/>
        <w:gridCol w:w="3042"/>
        <w:gridCol w:w="3042"/>
      </w:tblGrid>
      <w:tr>
        <w:trPr>
          <w:tblHeader/>
        </w:trPr>
        <w:tc>
          <w:tcPr>
            <w:tcW w:type="dxa" w:w="201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Figure No.</w:t>
            </w:r>
          </w:p>
        </w:tc>
        <w:tc>
          <w:tcPr>
            <w:tcW w:type="dxa" w:w="5760"/>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Title</w:t>
            </w:r>
          </w:p>
        </w:tc>
        <w:tc>
          <w:tcPr>
            <w:tcW w:type="dxa" w:w="129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Page No.</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Figure 4.1</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Architecture of Baseline Model 1: Dataflow Switching NPU (Single Tenant)</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12</w:t>
            </w:r>
          </w:p>
        </w:tc>
      </w:tr>
      <w:tr>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Figure 4.2</w:t>
            </w:r>
          </w:p>
        </w:tc>
        <w:tc>
          <w:tcPr>
            <w:tcW w:type="dxa" w:w="57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Architecture of Baseline Model 2: Homogeneous Spatial Fission NPU</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13</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Figure 5.1</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Top-Level System Architecture of PolyFlow-NPU (Heterogeneous Spatial Fission)</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18</w:t>
            </w:r>
          </w:p>
        </w:tc>
      </w:tr>
      <w:tr>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Figure 5.2</w:t>
            </w:r>
          </w:p>
        </w:tc>
        <w:tc>
          <w:tcPr>
            <w:tcW w:type="dxa" w:w="57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Heterogeneous Processing Element (PE) Microarchitecture with Carry-Save MAC</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20</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Figure 5.3</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Dynamic Boundary Bitmask Isolation Mechanism across Dual Sub-Arrays</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24</w:t>
            </w:r>
          </w:p>
        </w:tc>
      </w:tr>
      <w:tr>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Figure 5.4</w:t>
            </w:r>
          </w:p>
        </w:tc>
        <w:tc>
          <w:tcPr>
            <w:tcW w:type="dxa" w:w="57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Epoch-Phase Priority Arbiter (EPPA) FSM State Transition and Bus Grant Topology</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26</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Figure 8.1</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Critical Path Setup Timing Breakdown and Gate Slack in Cadence Genus 21.14</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37</w:t>
            </w:r>
          </w:p>
        </w:tc>
      </w:tr>
    </w:tbl>
    <w:p>
      <w:pPr>
        <w:spacing w:before="0" w:after="120"/>
      </w:pPr>
    </w:p>
    <w:p>
      <w:pPr>
        <w:sectPr>
          <w:pgSz w:w="11904" w:h="16836"/>
          <w:pgMar w:top="1382" w:right="1094" w:bottom="720" w:left="1685" w:header="720" w:footer="720" w:gutter="0"/>
          <w:cols w:space="720"/>
        </w:sectPr>
      </w:pPr>
    </w:p>
    <w:p>
      <w:pPr>
        <w:spacing w:before="400" w:after="320"/>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3042"/>
        <w:gridCol w:w="3042"/>
        <w:gridCol w:w="3042"/>
      </w:tblGrid>
      <w:tr>
        <w:trPr>
          <w:tblHeader/>
        </w:trPr>
        <w:tc>
          <w:tcPr>
            <w:tcW w:type="dxa" w:w="201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Table No.</w:t>
            </w:r>
          </w:p>
        </w:tc>
        <w:tc>
          <w:tcPr>
            <w:tcW w:type="dxa" w:w="5760"/>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Title</w:t>
            </w:r>
          </w:p>
        </w:tc>
        <w:tc>
          <w:tcPr>
            <w:tcW w:type="dxa" w:w="129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Page No.</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4.1</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Deep Learning Accelerator Dataflow Taxonomies and Operational Characteristics</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14</w:t>
            </w:r>
          </w:p>
        </w:tc>
      </w:tr>
      <w:tr>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4.2</w:t>
            </w:r>
          </w:p>
        </w:tc>
        <w:tc>
          <w:tcPr>
            <w:tcW w:type="dxa" w:w="57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Architectural Constraints, Design Alternatives, and Hardware Tradeoffs</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16</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6.1</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Electronic Design Automation (EDA) Software and Standard Cell Toolchain</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28</w:t>
            </w:r>
          </w:p>
        </w:tc>
      </w:tr>
      <w:tr>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7.1</w:t>
            </w:r>
          </w:p>
        </w:tc>
        <w:tc>
          <w:tcPr>
            <w:tcW w:type="dxa" w:w="57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Engineering Schedule, Milestones, and Gantt Work Breakdown Across Reviews</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30</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8.1</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Hierarchical Cell Area Breakdown of PolyFlow-NPU from Cadence Genus Synthesis</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33</w:t>
            </w:r>
          </w:p>
        </w:tc>
      </w:tr>
      <w:tr>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8.2</w:t>
            </w:r>
          </w:p>
        </w:tc>
        <w:tc>
          <w:tcPr>
            <w:tcW w:type="dxa" w:w="57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Power Dissipation Breakdown by Logic Category at 200 MHz Slow Corner</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35</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8.3</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Critical Path Static Timing Analysis (STA) Summary at 200 MHz Slow Corner</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36</w:t>
            </w:r>
          </w:p>
        </w:tc>
      </w:tr>
      <w:tr>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8.4</w:t>
            </w:r>
          </w:p>
        </w:tc>
        <w:tc>
          <w:tcPr>
            <w:tcW w:type="dxa" w:w="57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Cross-Model Logic Synthesis Benchmark Comparison (DFS vs SFA vs PolyFlow-NPU)</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39</w:t>
            </w:r>
          </w:p>
        </w:tc>
      </w:tr>
      <w:tr>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Table 11.1</w:t>
            </w:r>
          </w:p>
        </w:tc>
        <w:tc>
          <w:tcPr>
            <w:tcW w:type="dxa" w:w="57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Silicon Cost, Power Budget, and Energy Efficiency Analysis</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44</w:t>
            </w:r>
          </w:p>
        </w:tc>
      </w:tr>
    </w:tbl>
    <w:p>
      <w:pPr>
        <w:spacing w:before="0" w:after="120"/>
      </w:pPr>
    </w:p>
    <w:p>
      <w:pPr>
        <w:sectPr>
          <w:pgSz w:w="11904" w:h="16836"/>
          <w:pgMar w:top="1382" w:right="1094" w:bottom="720" w:left="1685" w:header="720" w:footer="720" w:gutter="0"/>
          <w:cols w:space="720"/>
        </w:sectPr>
      </w:pPr>
    </w:p>
    <w:p>
      <w:pPr>
        <w:spacing w:before="400" w:after="320"/>
        <w:jc w:val="center"/>
      </w:pPr>
      <w:r>
        <w:rPr>
          <w:rFonts w:ascii="Times New Roman" w:hAnsi="Times New Roman"/>
          <w:b/>
          <w:i w:val="0"/>
          <w:color w:val="000000"/>
          <w:sz w:val="28"/>
        </w:rPr>
        <w:t>LIST OF ABBREVIATIONS</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4562"/>
        <w:gridCol w:w="4562"/>
      </w:tblGrid>
      <w:tr>
        <w:trPr>
          <w:tblHeader/>
        </w:trPr>
        <w:tc>
          <w:tcPr>
            <w:tcW w:type="dxa" w:w="2592"/>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Abbreviation</w:t>
            </w:r>
          </w:p>
        </w:tc>
        <w:tc>
          <w:tcPr>
            <w:tcW w:type="dxa" w:w="6480"/>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Expanded Description</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ASIC</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Application-Specific Integrated Circuit</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CNN</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Convolutional Neural Network</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CSA</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Carry-Save Accumulator</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DFS</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Dataflow Switching (Baseline Model 1)</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DNN</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Deep Neural Network</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EDA</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Electronic Design Automation</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EPBA</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Epoch-Phase Bandwidth Allocation</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EPPA</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Epoch-Phase Priority Arbiter</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FSM</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Finite State Machine</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HDF</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Heterogeneous Dynamic Fission (PolyFlow-NPU Proposed System)</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MAC</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Multiply-Accumulate</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MCP</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Multicycle Path</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MHA</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Multi-Head Self-Attention</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NPU</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Neural Processing Unit</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OS</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Output-Stationary Dataflow</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PDK</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Process Design Kit</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PE</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Processing Element</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QoR</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Quality of Results</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RTL</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Register Transfer Level</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SDC</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Synopsys Design Constraints</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SFA</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Spatial Fission Architecture (Baseline Model 2)</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STA</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Static Timing Analysis</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SVA</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SystemVerilog Assertions</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TNS</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Total Negative Slack</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TPU</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Tensor Processing Unit</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WNS</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Worst Negative Slack</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WS</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Weight-Stationary Dataflow</w:t>
            </w:r>
          </w:p>
        </w:tc>
      </w:tr>
    </w:tbl>
    <w:p>
      <w:pPr>
        <w:spacing w:before="0" w:after="120"/>
      </w:pPr>
    </w:p>
    <w:p>
      <w:pPr>
        <w:sectPr>
          <w:pgSz w:w="11904" w:h="16836"/>
          <w:pgMar w:top="1382" w:right="1094" w:bottom="720" w:left="1685" w:header="720" w:footer="720" w:gutter="0"/>
          <w:cols w:space="720"/>
        </w:sectPr>
      </w:pPr>
    </w:p>
    <w:p>
      <w:pPr>
        <w:spacing w:before="400" w:after="320"/>
        <w:jc w:val="center"/>
      </w:pPr>
      <w:r>
        <w:rPr>
          <w:rFonts w:ascii="Times New Roman" w:hAnsi="Times New Roman"/>
          <w:b/>
          <w:i w:val="0"/>
          <w:color w:val="000000"/>
          <w:sz w:val="28"/>
        </w:rPr>
        <w:t>SYMBOLS AND NOTATIONS</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4562"/>
        <w:gridCol w:w="4562"/>
      </w:tblGrid>
      <w:tr>
        <w:trPr>
          <w:tblHeader/>
        </w:trPr>
        <w:tc>
          <w:tcPr>
            <w:tcW w:type="dxa" w:w="2592"/>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Symbol / Notation</w:t>
            </w:r>
          </w:p>
        </w:tc>
        <w:tc>
          <w:tcPr>
            <w:tcW w:type="dxa" w:w="6480"/>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Mathematical / Engineering Definition</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A_cell</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Silicon standard cell area measured in square micrometers (μm²)</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T_clk</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Master clock period target in nanoseconds (5.000 ns @ 200 MHz)</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f_clk</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Operating clock frequency in megahertz (200 MHz)</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P_total</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Total chip power dissipation in milliwatts (mW)</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P_leak</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Static sub-threshold leakage power dissipation (mW)</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P_dyn</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Dynamic power dissipation comprising internal cell and switching power (mW)</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T_slack</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Setup timing margin slack (T_slack = T_required - T_arrival)</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T_data_path</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Maximum combinational propagation delay from launch register to capture pin (ns)</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T_setup</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Library cell internal setup time constraint (ps)</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T_uncertainty</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Clock network jitter, margin, and skew budget (50 ps)</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W, A, O</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Weight, Activation, and Output feature map tensor dimensions</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Ω_isol</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Zero-cycle spatial boundary isolation bitmask vector</w:t>
            </w:r>
          </w:p>
        </w:tc>
      </w:tr>
      <w:tr>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E_MAC</w:t>
            </w:r>
          </w:p>
        </w:tc>
        <w:tc>
          <w:tcPr>
            <w:tcW w:type="dxa" w:w="64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Energy efficiency metric per multiply-accumulate operation (pJ/MAC)</w:t>
            </w:r>
          </w:p>
        </w:tc>
      </w:tr>
      <w:tr>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η_PE</w:t>
            </w:r>
          </w:p>
        </w:tc>
        <w:tc>
          <w:tcPr>
            <w:tcW w:type="dxa" w:w="64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Silicon compute efficiency ratio (Active PE Area / Total Die Area)</w:t>
            </w:r>
          </w:p>
        </w:tc>
      </w:tr>
    </w:tbl>
    <w:p>
      <w:pPr>
        <w:spacing w:before="0" w:after="120"/>
      </w:pPr>
    </w:p>
    <w:p>
      <w:pPr>
        <w:sectPr>
          <w:pgSz w:w="11904" w:h="16836"/>
          <w:pgMar w:top="1382" w:right="1094" w:bottom="720" w:left="1685" w:header="720" w:footer="720" w:gutter="0"/>
          <w:cols w:space="720"/>
        </w:sectPr>
      </w:pPr>
    </w:p>
    <w:p>
      <w:pPr>
        <w:keepNext/>
        <w:spacing w:before="360" w:after="160"/>
        <w:jc w:val="left"/>
      </w:pPr>
      <w:r>
        <w:rPr>
          <w:rFonts w:ascii="Times New Roman" w:hAnsi="Times New Roman"/>
          <w:b/>
          <w:i w:val="0"/>
          <w:color w:val="1A365D"/>
          <w:sz w:val="28"/>
        </w:rPr>
        <w:t>1. INTRODUCTION</w:t>
      </w:r>
    </w:p>
    <w:p>
      <w:pPr>
        <w:spacing w:before="0" w:after="120" w:line="360" w:lineRule="auto"/>
        <w:jc w:val="both"/>
      </w:pPr>
      <w:r>
        <w:rPr>
          <w:rFonts w:ascii="Times New Roman" w:hAnsi="Times New Roman"/>
          <w:b w:val="0"/>
          <w:i w:val="0"/>
          <w:color w:val="000000"/>
          <w:sz w:val="24"/>
        </w:rPr>
        <w:t>Deep neural networks (DNNs) have emerged as the foundational computational workload across modern computing systems, spanning real-time perception in autonomous vehicles, mobile robotics, edge computer vision, and hyperscale cloud inference. In edge and cyber-physical domains, deployment environments are fundamentally multi-tenant: a single embedded hardware accelerator must simultaneously execute heterogeneous neural workloads with strict real-time deadlines and tight thermal and battery constraints. For instance, in an autonomous mobile robotic controller, a Convolutional Neural Network (CNN) backbone—such as ResNet-50 or ConvNeXt—processes high-resolution camera feeds for spatial obstacle detection, while an attention-based Vision Transformer (ViT) or large language model processes sequential trajectory tokens for contextual scene reasoning.</w:t>
      </w:r>
    </w:p>
    <w:p>
      <w:pPr>
        <w:spacing w:before="0" w:after="120" w:line="360" w:lineRule="auto"/>
        <w:jc w:val="both"/>
      </w:pPr>
      <w:r>
        <w:rPr>
          <w:rFonts w:ascii="Times New Roman" w:hAnsi="Times New Roman"/>
          <w:b w:val="0"/>
          <w:i w:val="0"/>
          <w:color w:val="000000"/>
          <w:sz w:val="24"/>
        </w:rPr>
        <w:t>Systolic Neural Processing Units (NPUs) achieve high computational energy efficiency by arranging multiply-accumulate (MAC) processing elements into two-dimensional regular arrays that maximize data reuse through direct spatial register forwarding. However, existing systolic accelerators enforce a rigid design paradigm: they either bind the entire physical hardware fabric to a single immutable dataflow (e.g., Weight-Stationary in Google TPU v1 or Output-Stationary in ShiDianNao), or they allow temporal dataflow reconfiguration strictly under single-tenant execution (e.g., ReDaS). When contemporary multi-tenant spatial fission architectures (such as Planaria) divide physical processing elements into independent tenant partitions, they force all partitions to operate under an identical dataflow. This architectural mismatch induces severe memory bandwidth thrashing, high latency degradation, and energy waste. PolyFlow-NPU addresses this fundamental bottleneck through heterogeneous spatial fission.</w:t>
      </w:r>
    </w:p>
    <w:p>
      <w:pPr>
        <w:keepNext/>
        <w:spacing w:before="280" w:after="120"/>
        <w:jc w:val="left"/>
      </w:pPr>
      <w:r>
        <w:rPr>
          <w:rFonts w:ascii="Times New Roman" w:hAnsi="Times New Roman"/>
          <w:b/>
          <w:i w:val="0"/>
          <w:color w:val="2B6CB0"/>
          <w:sz w:val="26"/>
        </w:rPr>
        <w:t>1.1 Literature Review</w:t>
      </w:r>
    </w:p>
    <w:p>
      <w:pPr>
        <w:spacing w:before="80" w:after="120" w:line="360" w:lineRule="auto"/>
        <w:jc w:val="both"/>
      </w:pPr>
      <w:r>
        <w:rPr>
          <w:rFonts w:ascii="Times New Roman" w:hAnsi="Times New Roman"/>
          <w:b w:val="0"/>
          <w:i w:val="0"/>
          <w:color w:val="000000"/>
          <w:sz w:val="24"/>
        </w:rPr>
        <w:t>The architectural evolution of deep learning accelerators over the past decade can be classified into four distinct generations:</w:t>
      </w:r>
    </w:p>
    <w:p>
      <w:pPr>
        <w:spacing w:before="0" w:after="160" w:line="360" w:lineRule="auto"/>
        <w:jc w:val="both"/>
      </w:pPr>
      <w:r>
        <w:rPr>
          <w:rFonts w:ascii="Times New Roman" w:hAnsi="Times New Roman"/>
          <w:b/>
          <w:i w:val="0"/>
          <w:color w:val="000000"/>
          <w:sz w:val="24"/>
        </w:rPr>
        <w:t xml:space="preserve">1. Monolithic Fixed-Dataflow Accelerators: </w:t>
      </w:r>
      <w:r>
        <w:rPr>
          <w:rFonts w:ascii="Times New Roman" w:hAnsi="Times New Roman"/>
          <w:b w:val="0"/>
          <w:i w:val="0"/>
          <w:color w:val="000000"/>
          <w:sz w:val="24"/>
        </w:rPr>
        <w:t>Early pioneering accelerators prioritized raw matrix multiplication throughput by hardwiring the systolic array to a single dataflow. Google TPU v1 [2] popularized the Weight-Stationary (WS) systolic architecture for dense matrix multiplication, where model weights are pre-loaded into local processing element (PE) registers and remain resident while activation vectors stream horizontally. ShiDianNao [8] and DianNao optimized convolutional operations by anchoring partial sum accumulations inside PE registers (Output-Stationary - OS), drastically minimizing SRAM writeback power for small convolutional kernels. While monolithic accelerators deliver near-optimal energy efficiency when workload tensor shapes perfectly match the hardwired dataflow, they suffer severe resource underutilization (often dropping below 25% computational efficiency) when executing diverse operator dimensions.</w:t>
      </w:r>
    </w:p>
    <w:p>
      <w:pPr>
        <w:spacing w:before="0" w:after="160" w:line="360" w:lineRule="auto"/>
        <w:jc w:val="both"/>
      </w:pPr>
      <w:r>
        <w:rPr>
          <w:rFonts w:ascii="Times New Roman" w:hAnsi="Times New Roman"/>
          <w:b/>
          <w:i w:val="0"/>
          <w:color w:val="000000"/>
          <w:sz w:val="24"/>
        </w:rPr>
        <w:t xml:space="preserve">2. Single-Tenant Reconfigurable Accelerators: </w:t>
      </w:r>
      <w:r>
        <w:rPr>
          <w:rFonts w:ascii="Times New Roman" w:hAnsi="Times New Roman"/>
          <w:b w:val="0"/>
          <w:i w:val="0"/>
          <w:color w:val="000000"/>
          <w:sz w:val="24"/>
        </w:rPr>
        <w:t>To counteract utilization loss across diverse layer topologies, reconfigurable architectures were developed. Eyeriss [4] introduced the Row-Stationary (RS) dataflow, using reconfigurable spatial multicast networks to adaptively map 2D convolutions. MAERI [5] utilized tree-based reconfigurable interconnect networks to dynamically configure adder trees and multiplier clusters. ReDaS [6] proposed reconfigurable dataflow switching between Weight-Stationary and Output-Stationary modes on a per-layer basis. However, all these architectures are strictly single-tenant: the entire physical fabric must transition synchronously between modes, rendering them incapable of serving concurrent, asynchronous tenant requests without costly preemption and context-switching overheads [7].</w:t>
      </w:r>
    </w:p>
    <w:p>
      <w:pPr>
        <w:spacing w:before="0" w:after="160" w:line="360" w:lineRule="auto"/>
        <w:jc w:val="both"/>
      </w:pPr>
      <w:r>
        <w:rPr>
          <w:rFonts w:ascii="Times New Roman" w:hAnsi="Times New Roman"/>
          <w:b/>
          <w:i w:val="0"/>
          <w:color w:val="000000"/>
          <w:sz w:val="24"/>
        </w:rPr>
        <w:t xml:space="preserve">3. Homogeneous Spatial Fission Multi-Tenant Accelerators: </w:t>
      </w:r>
      <w:r>
        <w:rPr>
          <w:rFonts w:ascii="Times New Roman" w:hAnsi="Times New Roman"/>
          <w:b w:val="0"/>
          <w:i w:val="0"/>
          <w:color w:val="000000"/>
          <w:sz w:val="24"/>
        </w:rPr>
        <w:t>To enable hardware multi-tenancy, Planaria [1] pioneered dynamic spatial architecture fission. Planaria partitions a large physical systolic array into smaller, independent sub-arrays at runtime, allowing multiple tenant models to co-execute concurrently. However, Planaria enforces a critical architectural compromise: all partitioned sub-arrays are locked into an identical, homogeneous dataflow (specifically Weight-Stationary). When a vision CNN workload (which benefits from WS mapping due to spatial weight reuse across sliding windows) is co-scheduled alongside a Transformer Multi-Head Self-Attention workload (which multiplies two transient dynamic activation matrices and fundamentally favors Output-Stationary accumulation), the Transformer partition suffers up to 2.4× latency degradation and massive off-chip memory bandwidth contention.</w:t>
      </w:r>
    </w:p>
    <w:p>
      <w:pPr>
        <w:spacing w:before="0" w:after="240" w:line="360" w:lineRule="auto"/>
        <w:jc w:val="both"/>
      </w:pPr>
      <w:r>
        <w:rPr>
          <w:rFonts w:ascii="Times New Roman" w:hAnsi="Times New Roman"/>
          <w:b/>
          <w:i w:val="0"/>
          <w:color w:val="000000"/>
          <w:sz w:val="24"/>
        </w:rPr>
        <w:t xml:space="preserve">4. Heterogeneous Spatial Fission Paradigm (PolyFlow-NPU): </w:t>
      </w:r>
      <w:r>
        <w:rPr>
          <w:rFonts w:ascii="Times New Roman" w:hAnsi="Times New Roman"/>
          <w:b w:val="0"/>
          <w:i w:val="0"/>
          <w:color w:val="000000"/>
          <w:sz w:val="24"/>
        </w:rPr>
        <w:t>PolyFlow-NPU bridges this critical divide by pioneering heterogeneous spatial fission. PolyFlow-NPU allows the physical processing fabric to be dynamically partitioned into independent spatial regions, where each region possesses autonomous, runtime control over its internal dataflow mode (WS vs. OS), operand forwarding paths, and memory bandwidth allocation.</w:t>
      </w:r>
    </w:p>
    <w:p>
      <w:pPr>
        <w:keepNext/>
        <w:spacing w:before="280" w:after="120"/>
        <w:jc w:val="left"/>
      </w:pPr>
      <w:r>
        <w:rPr>
          <w:rFonts w:ascii="Times New Roman" w:hAnsi="Times New Roman"/>
          <w:b/>
          <w:i w:val="0"/>
          <w:color w:val="2B6CB0"/>
          <w:sz w:val="26"/>
        </w:rPr>
        <w:t>1.2 Research Gap</w:t>
      </w:r>
    </w:p>
    <w:p>
      <w:pPr>
        <w:spacing w:before="80" w:after="120" w:line="360" w:lineRule="auto"/>
        <w:jc w:val="both"/>
      </w:pPr>
      <w:r>
        <w:rPr>
          <w:rFonts w:ascii="Times New Roman" w:hAnsi="Times New Roman"/>
          <w:b w:val="0"/>
          <w:i w:val="0"/>
          <w:color w:val="000000"/>
          <w:sz w:val="24"/>
        </w:rPr>
        <w:t>A systematic analysis of contemporary literature reveals four critical unsolved engineering and architectural gaps:</w:t>
      </w:r>
    </w:p>
    <w:p>
      <w:pPr>
        <w:spacing w:before="0" w:after="160" w:line="360" w:lineRule="auto"/>
        <w:jc w:val="both"/>
      </w:pPr>
      <w:r>
        <w:rPr>
          <w:rFonts w:ascii="Times New Roman" w:hAnsi="Times New Roman"/>
          <w:b/>
          <w:i w:val="0"/>
          <w:color w:val="000000"/>
          <w:sz w:val="24"/>
        </w:rPr>
        <w:t xml:space="preserve">Gap 1: Co-Execution Penalty of Structurally Heterogeneous DNN Workloads under Homogeneous Fission. </w:t>
      </w:r>
      <w:r>
        <w:rPr>
          <w:rFonts w:ascii="Times New Roman" w:hAnsi="Times New Roman"/>
          <w:b w:val="0"/>
          <w:i w:val="0"/>
          <w:color w:val="000000"/>
          <w:sz w:val="24"/>
        </w:rPr>
        <w:t>Prior spatial fission accelerators force all physical partitions to operate with the same dataflow. In composite edge pipelines running CNNs concurrently with Transformers, forcing an Output-Stationary workload into a Weight-Stationary partition causes constant SRAM reloading of dynamic activation matrices, saturating on-chip bandwidth and increasing memory energy consumption by 2.1× to 3.4×.</w:t>
      </w:r>
    </w:p>
    <w:p>
      <w:pPr>
        <w:spacing w:before="0" w:after="160" w:line="360" w:lineRule="auto"/>
        <w:jc w:val="both"/>
      </w:pPr>
      <w:r>
        <w:rPr>
          <w:rFonts w:ascii="Times New Roman" w:hAnsi="Times New Roman"/>
          <w:b/>
          <w:i w:val="0"/>
          <w:color w:val="000000"/>
          <w:sz w:val="24"/>
        </w:rPr>
        <w:t xml:space="preserve">Gap 2: Inter-Tenant Boundary Crosstalk and Isolation Overhead. </w:t>
      </w:r>
      <w:r>
        <w:rPr>
          <w:rFonts w:ascii="Times New Roman" w:hAnsi="Times New Roman"/>
          <w:b w:val="0"/>
          <w:i w:val="0"/>
          <w:color w:val="000000"/>
          <w:sz w:val="24"/>
        </w:rPr>
        <w:t>Dividing a tightly coupled systolic grid into independent tenant regions typically introduces complex multiplexer trees along inter-PE boundaries. In prior reconfigurable fabrics, this multiplexer logic adds substantial capacitive loading, causing critical path delay inflation and potential data leakage between untrusted tenant tasks.</w:t>
      </w:r>
    </w:p>
    <w:p>
      <w:pPr>
        <w:spacing w:before="0" w:after="160" w:line="360" w:lineRule="auto"/>
        <w:jc w:val="both"/>
      </w:pPr>
      <w:r>
        <w:rPr>
          <w:rFonts w:ascii="Times New Roman" w:hAnsi="Times New Roman"/>
          <w:b/>
          <w:i w:val="0"/>
          <w:color w:val="000000"/>
          <w:sz w:val="24"/>
        </w:rPr>
        <w:t xml:space="preserve">Gap 3: Memory Bus Starvation during Multi-Tenant Burst Phases. </w:t>
      </w:r>
      <w:r>
        <w:rPr>
          <w:rFonts w:ascii="Times New Roman" w:hAnsi="Times New Roman"/>
          <w:b w:val="0"/>
          <w:i w:val="0"/>
          <w:color w:val="000000"/>
          <w:sz w:val="24"/>
        </w:rPr>
        <w:t>Under spatial multi-tenancy, tenants transition between computational phases (e.g., matrix load, systolic compute, output drain) asynchronously. Standard round-robin or static priority bus arbiters lead to catastrophic starvation when one tenant experiences bursty tensor transfers, severely violating tail latency guarantees in real-time systems.</w:t>
      </w:r>
    </w:p>
    <w:p>
      <w:pPr>
        <w:spacing w:before="0" w:after="240" w:line="360" w:lineRule="auto"/>
        <w:jc w:val="both"/>
      </w:pPr>
      <w:r>
        <w:rPr>
          <w:rFonts w:ascii="Times New Roman" w:hAnsi="Times New Roman"/>
          <w:b/>
          <w:i w:val="0"/>
          <w:color w:val="000000"/>
          <w:sz w:val="24"/>
        </w:rPr>
        <w:t xml:space="preserve">Gap 4: Multiplier-Accumulator Timing Criticality in Sub-100nm ASIC Nodes. </w:t>
      </w:r>
      <w:r>
        <w:rPr>
          <w:rFonts w:ascii="Times New Roman" w:hAnsi="Times New Roman"/>
          <w:b w:val="0"/>
          <w:i w:val="0"/>
          <w:color w:val="000000"/>
          <w:sz w:val="24"/>
        </w:rPr>
        <w:t>Reconfigurable processing elements that incorporate runtime dataflow multiplexers into the multiply-accumulate path incur severe timing penalties. In standard unpipelined MAC designs at 90nm bulk CMOS, the cascade of multiplier partial product generation, final addition, and 32-bit accumulation ripples creates a 4.8+ ns critical path, preventing robust 200+ MHz operation under worst-case slow process corners.</w:t>
      </w:r>
    </w:p>
    <w:p>
      <w:pPr>
        <w:keepNext/>
        <w:spacing w:before="280" w:after="120"/>
        <w:jc w:val="left"/>
      </w:pPr>
      <w:r>
        <w:rPr>
          <w:rFonts w:ascii="Times New Roman" w:hAnsi="Times New Roman"/>
          <w:b/>
          <w:i w:val="0"/>
          <w:color w:val="2B6CB0"/>
          <w:sz w:val="26"/>
        </w:rPr>
        <w:t>1.3 Problem Statement</w:t>
      </w:r>
    </w:p>
    <w:p>
      <w:pPr>
        <w:spacing w:before="80" w:after="120" w:line="360" w:lineRule="auto"/>
        <w:jc w:val="both"/>
      </w:pPr>
      <w:r>
        <w:rPr>
          <w:rFonts w:ascii="Times New Roman" w:hAnsi="Times New Roman"/>
          <w:b w:val="0"/>
          <w:i w:val="0"/>
          <w:color w:val="000000"/>
          <w:sz w:val="24"/>
        </w:rPr>
        <w:t>The objective of this research is to formulate, design, verify, and synthesize a multi-tenant deep learning accelerator architecture—PolyFlow-NPU—that resolves the trade-off between spatial isolation, dataflow heterogeneity, and silicon timing closure. Formally, given a composite multi-tenant workload comprising heterogeneous neural network layers L_1, L_2, ..., L_k with distinct tensor reuse characteristics (WS-preferring convolutions and OS-preferring matrix multiplications), the hardware objective is to minimize total execution latency T_exec and total energy dissipation E_total subject to:</w:t>
      </w:r>
    </w:p>
    <w:p>
      <w:pPr>
        <w:spacing w:before="40" w:after="80" w:line="360" w:lineRule="auto"/>
        <w:jc w:val="both"/>
      </w:pPr>
      <w:r>
        <w:rPr>
          <w:rFonts w:ascii="Times New Roman" w:hAnsi="Times New Roman"/>
          <w:b w:val="0"/>
          <w:i w:val="0"/>
          <w:color w:val="000000"/>
          <w:sz w:val="24"/>
        </w:rPr>
        <w:t>• Timing Closure Constraint: The worst-case setup slack across all timing paths under foundry 90nm bulk CMOS operating at 200 MHz (clock period T_clk = 5.000 ns) under the worst-case slow process corner (slow.lib, V_DD = 1.00V, T = 125°C, balanced tree) must satisfy:  T_slack = T_required - T_data_path ≥ 0.000 ns.</w:t>
      </w:r>
    </w:p>
    <w:p>
      <w:pPr>
        <w:spacing w:before="40" w:after="80" w:line="360" w:lineRule="auto"/>
        <w:jc w:val="both"/>
      </w:pPr>
      <w:r>
        <w:rPr>
          <w:rFonts w:ascii="Times New Roman" w:hAnsi="Times New Roman"/>
          <w:b w:val="0"/>
          <w:i w:val="0"/>
          <w:color w:val="000000"/>
          <w:sz w:val="24"/>
        </w:rPr>
        <w:t>• Spatial Boundary Isolation Constraint: Physical tenant sub-arrays must achieve strict spatial decoupling such that zero operand spillover or crosstalk occurs across partition boundaries: Ω_isol ⊕ Valid_Region = 0.</w:t>
      </w:r>
    </w:p>
    <w:p>
      <w:pPr>
        <w:spacing w:before="40" w:after="240" w:line="360" w:lineRule="auto"/>
        <w:jc w:val="both"/>
      </w:pPr>
      <w:r>
        <w:rPr>
          <w:rFonts w:ascii="Times New Roman" w:hAnsi="Times New Roman"/>
          <w:b w:val="0"/>
          <w:i w:val="0"/>
          <w:color w:val="000000"/>
          <w:sz w:val="24"/>
        </w:rPr>
        <w:t>• Silicon Area Overhead Constraint: The total standard cell area overhead of heterogeneous fission control, boundary masking, and bus arbitration must not exceed 5% of the total baseline array area: ΔA_cell / A_baseline ≤ 0.05.</w:t>
      </w:r>
    </w:p>
    <w:p>
      <w:pPr>
        <w:keepNext/>
        <w:spacing w:before="360" w:after="160"/>
        <w:jc w:val="left"/>
      </w:pPr>
      <w:r>
        <w:rPr>
          <w:rFonts w:ascii="Times New Roman" w:hAnsi="Times New Roman"/>
          <w:b/>
          <w:i w:val="0"/>
          <w:color w:val="1A365D"/>
          <w:sz w:val="28"/>
        </w:rPr>
        <w:t>2. RESEARCH OBJECTIVE</w:t>
      </w:r>
    </w:p>
    <w:p>
      <w:pPr>
        <w:spacing w:before="80" w:after="120" w:line="360" w:lineRule="auto"/>
        <w:jc w:val="both"/>
      </w:pPr>
      <w:r>
        <w:rPr>
          <w:rFonts w:ascii="Times New Roman" w:hAnsi="Times New Roman"/>
          <w:b w:val="0"/>
          <w:i w:val="0"/>
          <w:color w:val="000000"/>
          <w:sz w:val="24"/>
        </w:rPr>
        <w:t>The core aim of this project is to research, architect, implement at the Register Transfer Level (RTL), verify through comprehensive assertions, and synthesize a high-efficiency multi-tenant deep learning accelerator supporting dynamic heterogeneous spatial fission. The detailed research objectives are:</w:t>
      </w:r>
    </w:p>
    <w:p>
      <w:pPr>
        <w:spacing w:before="0" w:after="120" w:line="360" w:lineRule="auto"/>
        <w:jc w:val="both"/>
      </w:pPr>
      <w:r>
        <w:rPr>
          <w:rFonts w:ascii="Times New Roman" w:hAnsi="Times New Roman"/>
          <w:b/>
          <w:i w:val="0"/>
          <w:color w:val="000000"/>
          <w:sz w:val="24"/>
        </w:rPr>
        <w:t xml:space="preserve">1. Architectural Specification and Modeling: </w:t>
      </w:r>
      <w:r>
        <w:rPr>
          <w:rFonts w:ascii="Times New Roman" w:hAnsi="Times New Roman"/>
          <w:b w:val="0"/>
          <w:i w:val="0"/>
          <w:color w:val="000000"/>
          <w:sz w:val="24"/>
        </w:rPr>
        <w:t>Develop complete microarchitectural specifications for three comparative ASIC models: Model 1 (Dataflow Switching Baseline - DFS), Model 2 (Homogeneous Spatial Fission Baseline - SFA), and Model 3 (Heterogeneous Spatial Fission Proposed Architecture - PolyFlow-NPU).</w:t>
      </w:r>
    </w:p>
    <w:p>
      <w:pPr>
        <w:spacing w:before="0" w:after="120" w:line="360" w:lineRule="auto"/>
        <w:jc w:val="both"/>
      </w:pPr>
      <w:r>
        <w:rPr>
          <w:rFonts w:ascii="Times New Roman" w:hAnsi="Times New Roman"/>
          <w:b/>
          <w:i w:val="0"/>
          <w:color w:val="000000"/>
          <w:sz w:val="24"/>
        </w:rPr>
        <w:t xml:space="preserve">2. Decoupled 2-Stage Carry-Save MAC Microarchitecture: </w:t>
      </w:r>
      <w:r>
        <w:rPr>
          <w:rFonts w:ascii="Times New Roman" w:hAnsi="Times New Roman"/>
          <w:b w:val="0"/>
          <w:i w:val="0"/>
          <w:color w:val="000000"/>
          <w:sz w:val="24"/>
        </w:rPr>
        <w:t>Design a specialized 2-stage pipelined Processing Element (PE) featuring a 3:2 Carry-Save Accumulator (CSA) datapath. By registering intermediate carry and sum vectors, the design decouples 8-bit signed multiplication ripples from the 32-bit accumulation chain, eliminating critical path timing bottlenecks at 200 MHz.</w:t>
      </w:r>
    </w:p>
    <w:p>
      <w:pPr>
        <w:spacing w:before="0" w:after="120" w:line="360" w:lineRule="auto"/>
        <w:jc w:val="both"/>
      </w:pPr>
      <w:r>
        <w:rPr>
          <w:rFonts w:ascii="Times New Roman" w:hAnsi="Times New Roman"/>
          <w:b/>
          <w:i w:val="0"/>
          <w:color w:val="000000"/>
          <w:sz w:val="24"/>
        </w:rPr>
        <w:t xml:space="preserve">3. Zero-Cycle Dynamic Boundary Bitmask Isolation: </w:t>
      </w:r>
      <w:r>
        <w:rPr>
          <w:rFonts w:ascii="Times New Roman" w:hAnsi="Times New Roman"/>
          <w:b w:val="0"/>
          <w:i w:val="0"/>
          <w:color w:val="000000"/>
          <w:sz w:val="24"/>
        </w:rPr>
        <w:t>Implement bitmask-gated boundary isolation logic that dynamically divides the 2D systolic array into autonomous sub-arrays (e.g., dual 4x2 grids) without stalling active tenants or introducing multi-gate multiplexer delays.</w:t>
      </w:r>
    </w:p>
    <w:p>
      <w:pPr>
        <w:spacing w:before="0" w:after="120" w:line="360" w:lineRule="auto"/>
        <w:jc w:val="both"/>
      </w:pPr>
      <w:r>
        <w:rPr>
          <w:rFonts w:ascii="Times New Roman" w:hAnsi="Times New Roman"/>
          <w:b/>
          <w:i w:val="0"/>
          <w:color w:val="000000"/>
          <w:sz w:val="24"/>
        </w:rPr>
        <w:t xml:space="preserve">4. Starvation-Free Epoch-Phase Priority Arbiter (EPPA): </w:t>
      </w:r>
      <w:r>
        <w:rPr>
          <w:rFonts w:ascii="Times New Roman" w:hAnsi="Times New Roman"/>
          <w:b w:val="0"/>
          <w:i w:val="0"/>
          <w:color w:val="000000"/>
          <w:sz w:val="24"/>
        </w:rPr>
        <w:t>Design a phase-aware memory arbitration controller that dynamically allocates shared buffer bandwidth based on tenant execution phase (preload, compute, drain), preventing memory starvation.</w:t>
      </w:r>
    </w:p>
    <w:p>
      <w:pPr>
        <w:spacing w:before="0" w:after="120" w:line="360" w:lineRule="auto"/>
        <w:jc w:val="both"/>
      </w:pPr>
      <w:r>
        <w:rPr>
          <w:rFonts w:ascii="Times New Roman" w:hAnsi="Times New Roman"/>
          <w:b/>
          <w:i w:val="0"/>
          <w:color w:val="000000"/>
          <w:sz w:val="24"/>
        </w:rPr>
        <w:t xml:space="preserve">5. Hardware Zeroization Pod Bank Scrubbing: </w:t>
      </w:r>
      <w:r>
        <w:rPr>
          <w:rFonts w:ascii="Times New Roman" w:hAnsi="Times New Roman"/>
          <w:b w:val="0"/>
          <w:i w:val="0"/>
          <w:color w:val="000000"/>
          <w:sz w:val="24"/>
        </w:rPr>
        <w:t>Integrate hardware pod bank scrubbing state machines that sanitize on-chip buffer banks upon tenant task completion, preventing cross-tenant residual data leakage.</w:t>
      </w:r>
    </w:p>
    <w:p>
      <w:pPr>
        <w:spacing w:before="0" w:after="280" w:line="360" w:lineRule="auto"/>
        <w:jc w:val="both"/>
      </w:pPr>
      <w:r>
        <w:rPr>
          <w:rFonts w:ascii="Times New Roman" w:hAnsi="Times New Roman"/>
          <w:b/>
          <w:i w:val="0"/>
          <w:color w:val="000000"/>
          <w:sz w:val="24"/>
        </w:rPr>
        <w:t xml:space="preserve">6. Logic Synthesis Closure in Foundry 90nm Bulk CMOS: </w:t>
      </w:r>
      <w:r>
        <w:rPr>
          <w:rFonts w:ascii="Times New Roman" w:hAnsi="Times New Roman"/>
          <w:b w:val="0"/>
          <w:i w:val="0"/>
          <w:color w:val="000000"/>
          <w:sz w:val="24"/>
        </w:rPr>
        <w:t>Achieve complete logic synthesis timing closure using Cadence Genus 21.14 on a foundry 90nm bulk CMOS standard cell library (slow.lib) at 200 MHz, demonstrating positive setup slack, zero violating paths, and minimal area overhead.</w:t>
      </w:r>
    </w:p>
    <w:p>
      <w:pPr>
        <w:keepNext/>
        <w:spacing w:before="360" w:after="160"/>
        <w:jc w:val="left"/>
      </w:pPr>
      <w:r>
        <w:rPr>
          <w:rFonts w:ascii="Times New Roman" w:hAnsi="Times New Roman"/>
          <w:b/>
          <w:i w:val="0"/>
          <w:color w:val="1A365D"/>
          <w:sz w:val="28"/>
        </w:rPr>
        <w:t>3. RELEVANCE OF PROBLEM STATEMENT W.R.T SDG</w:t>
      </w:r>
    </w:p>
    <w:p>
      <w:pPr>
        <w:spacing w:before="80" w:after="160" w:line="360" w:lineRule="auto"/>
        <w:jc w:val="both"/>
      </w:pPr>
      <w:r>
        <w:rPr>
          <w:rFonts w:ascii="Times New Roman" w:hAnsi="Times New Roman"/>
          <w:b w:val="0"/>
          <w:i w:val="0"/>
          <w:color w:val="000000"/>
          <w:sz w:val="24"/>
        </w:rPr>
        <w:t>The rapid proliferation of artificial intelligence across all facets of society has made energy efficiency and hardware sustainability a primary engineering priority. The United Nations Sustainable Development Goals (SDGs) establish clear targets for sustainable industrialization, energy reduction, and responsible innovation. The PolyFlow-NPU research directly addresses two critical SDGs:</w:t>
      </w:r>
    </w:p>
    <w:p>
      <w:pPr>
        <w:spacing w:before="0" w:after="200" w:line="360" w:lineRule="auto"/>
        <w:jc w:val="both"/>
      </w:pPr>
      <w:r>
        <w:rPr>
          <w:rFonts w:ascii="Times New Roman" w:hAnsi="Times New Roman"/>
          <w:b/>
          <w:i w:val="0"/>
          <w:color w:val="000000"/>
          <w:sz w:val="24"/>
        </w:rPr>
        <w:t xml:space="preserve">Alignment with SDG 9: Industry, Innovation, and Infrastructure: </w:t>
      </w:r>
      <w:r>
        <w:rPr>
          <w:rFonts w:ascii="Times New Roman" w:hAnsi="Times New Roman"/>
          <w:b w:val="0"/>
          <w:i w:val="0"/>
          <w:color w:val="000000"/>
          <w:sz w:val="24"/>
        </w:rPr>
        <w:t>Target 9.4 calls for upgrading infrastructure and retrofitting industries to make them sustainable, with increased resource-use efficiency. PolyFlow-NPU directly advances this target by pioneering architectural techniques for energy-efficient edge artificial intelligence. By enabling heterogeneous spatial fission on a single silicon die, PolyFlow-NPU eliminates the need to deploy multiple discrete ASIC chips for disparate neural network models. A single PolyFlow-NPU accelerator can concurrently host computer vision CNNs and language Transformers with over 97.5% active compute silicon utilization, maximizing computational density while minimizing semiconductor hardware fabrication footprint.</w:t>
      </w:r>
    </w:p>
    <w:p>
      <w:pPr>
        <w:spacing w:before="0" w:after="280" w:line="360" w:lineRule="auto"/>
        <w:jc w:val="both"/>
      </w:pPr>
      <w:r>
        <w:rPr>
          <w:rFonts w:ascii="Times New Roman" w:hAnsi="Times New Roman"/>
          <w:b/>
          <w:i w:val="0"/>
          <w:color w:val="000000"/>
          <w:sz w:val="24"/>
        </w:rPr>
        <w:t xml:space="preserve">Alignment with SDG 12 &amp; SDG 13: Responsible Consumption, Production &amp; Climate Action: </w:t>
      </w:r>
      <w:r>
        <w:rPr>
          <w:rFonts w:ascii="Times New Roman" w:hAnsi="Times New Roman"/>
          <w:b w:val="0"/>
          <w:i w:val="0"/>
          <w:color w:val="000000"/>
          <w:sz w:val="24"/>
        </w:rPr>
        <w:t>Target 12.2 emphasizes sustainable management and efficient use of natural resources, while SDG 13 focuses on mitigating carbon footprints. Edge embedded devices and IoT perception systems operate under stringent battery and thermal envelopes. Standard reconfigurable accelerators suffer from massive dynamic memory thrashing when forced into mismatched dataflows, wasting up to 68% of total accelerator power purely in off-chip memory transactions. By aligning each tenant partition's dataflow directly with its operational tensor characteristics (WS for convolutions, OS for attention), PolyFlow-NPU eliminates redundant memory traffic, achieving an ultra-low energy footprint of 0.41 pJ per MAC operation and operating at a modest 13.14 mW total power budget at 200 MHz. This dramatic energy reduction extends battery lifespans in mobile autonomous robotics and reduces the carbon intensity of continuous edge intelligence.</w:t>
      </w:r>
    </w:p>
    <w:p>
      <w:pPr>
        <w:keepNext/>
        <w:spacing w:before="360" w:after="160"/>
        <w:jc w:val="left"/>
      </w:pPr>
      <w:r>
        <w:rPr>
          <w:rFonts w:ascii="Times New Roman" w:hAnsi="Times New Roman"/>
          <w:b/>
          <w:i w:val="0"/>
          <w:color w:val="1A365D"/>
          <w:sz w:val="28"/>
        </w:rPr>
        <w:t>4. PROPOSED SYSTEM</w:t>
      </w:r>
    </w:p>
    <w:p>
      <w:pPr>
        <w:keepNext/>
        <w:spacing w:before="280" w:after="120"/>
        <w:jc w:val="left"/>
      </w:pPr>
      <w:r>
        <w:rPr>
          <w:rFonts w:ascii="Times New Roman" w:hAnsi="Times New Roman"/>
          <w:b/>
          <w:i w:val="0"/>
          <w:color w:val="2B6CB0"/>
          <w:sz w:val="26"/>
        </w:rPr>
        <w:t>4.1 Design Approach / Materials &amp; Methods</w:t>
      </w:r>
    </w:p>
    <w:p>
      <w:pPr>
        <w:spacing w:before="80" w:after="120" w:line="360" w:lineRule="auto"/>
        <w:jc w:val="both"/>
      </w:pPr>
      <w:r>
        <w:rPr>
          <w:rFonts w:ascii="Times New Roman" w:hAnsi="Times New Roman"/>
          <w:b w:val="0"/>
          <w:i w:val="0"/>
          <w:color w:val="000000"/>
          <w:sz w:val="24"/>
        </w:rPr>
        <w:t>To rigorously quantify the architectural merits, hardware overheads, and silicon viability of heterogeneous spatial fission, our design methodology adopts a comparative multi-model evaluation framework. Three fully synthesizable ASIC hardware models were designed and implemented from the ground up in IEEE 1800-2017 SystemVerilog:</w:t>
      </w:r>
    </w:p>
    <w:p>
      <w:pPr>
        <w:spacing w:before="0" w:after="120" w:line="360" w:lineRule="auto"/>
        <w:jc w:val="both"/>
      </w:pPr>
      <w:r>
        <w:rPr>
          <w:rFonts w:ascii="Times New Roman" w:hAnsi="Times New Roman"/>
          <w:b/>
          <w:i w:val="0"/>
          <w:color w:val="000000"/>
          <w:sz w:val="24"/>
        </w:rPr>
        <w:t xml:space="preserve">Model 1: Dataflow Switching Baseline (DFS): </w:t>
      </w:r>
      <w:r>
        <w:rPr>
          <w:rFonts w:ascii="Times New Roman" w:hAnsi="Times New Roman"/>
          <w:b w:val="0"/>
          <w:i w:val="0"/>
          <w:color w:val="000000"/>
          <w:sz w:val="24"/>
        </w:rPr>
        <w:t>A single-tenant reconfigurable systolic array capable of alternating between Weight-Stationary and Output-Stationary execution. However, the entire physical array must operate in unison: multi-tenancy is achievable solely via coarse-grained temporal context switching.</w:t>
      </w:r>
    </w:p>
    <w:p>
      <w:pPr>
        <w:spacing w:before="160" w:after="40"/>
        <w:jc w:val="center"/>
      </w:pPr>
      <w:r>
        <w:drawing>
          <wp:inline xmlns:a="http://schemas.openxmlformats.org/drawingml/2006/main" xmlns:pic="http://schemas.openxmlformats.org/drawingml/2006/picture">
            <wp:extent cx="4389120" cy="5048355"/>
            <wp:docPr id="1" name="Picture 1"/>
            <wp:cNvGraphicFramePr>
              <a:graphicFrameLocks noChangeAspect="1"/>
            </wp:cNvGraphicFramePr>
            <a:graphic>
              <a:graphicData uri="http://schemas.openxmlformats.org/drawingml/2006/picture">
                <pic:pic>
                  <pic:nvPicPr>
                    <pic:cNvPr id="0" name="model1_dataflow_switching.png"/>
                    <pic:cNvPicPr/>
                  </pic:nvPicPr>
                  <pic:blipFill>
                    <a:blip r:embed="rId11"/>
                    <a:stretch>
                      <a:fillRect/>
                    </a:stretch>
                  </pic:blipFill>
                  <pic:spPr>
                    <a:xfrm>
                      <a:off x="0" y="0"/>
                      <a:ext cx="4389120" cy="5048355"/>
                    </a:xfrm>
                    <a:prstGeom prst="rect"/>
                  </pic:spPr>
                </pic:pic>
              </a:graphicData>
            </a:graphic>
          </wp:inline>
        </w:drawing>
      </w:r>
    </w:p>
    <w:p>
      <w:pPr>
        <w:spacing w:before="80" w:after="240"/>
        <w:jc w:val="center"/>
      </w:pPr>
      <w:r>
        <w:rPr>
          <w:rFonts w:ascii="Times New Roman" w:hAnsi="Times New Roman"/>
          <w:b/>
          <w:i w:val="0"/>
          <w:color w:val="000000"/>
          <w:sz w:val="20"/>
        </w:rPr>
        <w:t>Figure 4.1: Architecture of Baseline Model 1: Dataflow Switching NPU (Single Tenant)</w:t>
      </w:r>
    </w:p>
    <w:p>
      <w:pPr>
        <w:spacing w:before="0" w:after="120" w:line="360" w:lineRule="auto"/>
        <w:jc w:val="both"/>
      </w:pPr>
      <w:r>
        <w:rPr>
          <w:rFonts w:ascii="Times New Roman" w:hAnsi="Times New Roman"/>
          <w:b/>
          <w:i w:val="0"/>
          <w:color w:val="000000"/>
          <w:sz w:val="24"/>
        </w:rPr>
        <w:t xml:space="preserve">Model 2: Homogeneous Spatial Fission Baseline (SFA): </w:t>
      </w:r>
      <w:r>
        <w:rPr>
          <w:rFonts w:ascii="Times New Roman" w:hAnsi="Times New Roman"/>
          <w:b w:val="0"/>
          <w:i w:val="0"/>
          <w:color w:val="000000"/>
          <w:sz w:val="24"/>
        </w:rPr>
        <w:t>A multi-tenant spatial fission architecture (representative of Planaria [1]) that physically subdivides a 4x4 array into dual 4x2 sub-arrays. However, both sub-arrays are locked into identical dataflow modes, incurring severe memory penalties when co-running heterogeneous models.</w:t>
      </w:r>
    </w:p>
    <w:p>
      <w:pPr>
        <w:spacing w:before="160" w:after="40"/>
        <w:jc w:val="center"/>
      </w:pPr>
      <w:r>
        <w:drawing>
          <wp:inline xmlns:a="http://schemas.openxmlformats.org/drawingml/2006/main" xmlns:pic="http://schemas.openxmlformats.org/drawingml/2006/picture">
            <wp:extent cx="4389120" cy="3767653"/>
            <wp:docPr id="2" name="Picture 2"/>
            <wp:cNvGraphicFramePr>
              <a:graphicFrameLocks noChangeAspect="1"/>
            </wp:cNvGraphicFramePr>
            <a:graphic>
              <a:graphicData uri="http://schemas.openxmlformats.org/drawingml/2006/picture">
                <pic:pic>
                  <pic:nvPicPr>
                    <pic:cNvPr id="0" name="model2_spatial_fission.png"/>
                    <pic:cNvPicPr/>
                  </pic:nvPicPr>
                  <pic:blipFill>
                    <a:blip r:embed="rId12"/>
                    <a:stretch>
                      <a:fillRect/>
                    </a:stretch>
                  </pic:blipFill>
                  <pic:spPr>
                    <a:xfrm>
                      <a:off x="0" y="0"/>
                      <a:ext cx="4389120" cy="3767653"/>
                    </a:xfrm>
                    <a:prstGeom prst="rect"/>
                  </pic:spPr>
                </pic:pic>
              </a:graphicData>
            </a:graphic>
          </wp:inline>
        </w:drawing>
      </w:r>
    </w:p>
    <w:p>
      <w:pPr>
        <w:spacing w:before="80" w:after="240"/>
        <w:jc w:val="center"/>
      </w:pPr>
      <w:r>
        <w:rPr>
          <w:rFonts w:ascii="Times New Roman" w:hAnsi="Times New Roman"/>
          <w:b/>
          <w:i w:val="0"/>
          <w:color w:val="000000"/>
          <w:sz w:val="20"/>
        </w:rPr>
        <w:t>Figure 4.2: Architecture of Baseline Model 2: Homogeneous Spatial Fission NPU</w:t>
      </w:r>
    </w:p>
    <w:p>
      <w:pPr>
        <w:spacing w:before="0" w:after="200" w:line="360" w:lineRule="auto"/>
        <w:jc w:val="both"/>
      </w:pPr>
      <w:r>
        <w:rPr>
          <w:rFonts w:ascii="Times New Roman" w:hAnsi="Times New Roman"/>
          <w:b/>
          <w:i w:val="0"/>
          <w:color w:val="000000"/>
          <w:sz w:val="24"/>
        </w:rPr>
        <w:t xml:space="preserve">Model 3: Heterogeneous Spatial Fission Architecture (PolyFlow-NPU / HDF): </w:t>
      </w:r>
      <w:r>
        <w:rPr>
          <w:rFonts w:ascii="Times New Roman" w:hAnsi="Times New Roman"/>
          <w:b w:val="0"/>
          <w:i w:val="0"/>
          <w:color w:val="000000"/>
          <w:sz w:val="24"/>
        </w:rPr>
        <w:t>The proposed architecture, featuring fully autonomous dual 4x2 partitions. Partition 0 can execute Weight-Stationary CNN layers while Partition 1 concurrently executes Output-Stationary Multi-Head Attention layers. Each partition possesses its own dynamic boundary bitmask isolation, dedicated memory banking with hardware scrubbing, and phase-aware bus arbitration.</w:t>
      </w:r>
    </w:p>
    <w:p>
      <w:pPr>
        <w:keepNext/>
        <w:spacing w:before="240" w:after="80"/>
        <w:jc w:val="center"/>
      </w:pPr>
      <w:r>
        <w:rPr>
          <w:rFonts w:ascii="Times New Roman" w:hAnsi="Times New Roman"/>
          <w:b/>
          <w:i w:val="0"/>
          <w:color w:val="000000"/>
          <w:sz w:val="20"/>
        </w:rPr>
        <w:t>Table 4.1: Deep Learning Accelerator Dataflow Taxonomies and Operational Characteristics</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2281"/>
        <w:gridCol w:w="2281"/>
        <w:gridCol w:w="2281"/>
        <w:gridCol w:w="2281"/>
      </w:tblGrid>
      <w:tr>
        <w:trPr>
          <w:tblHeader/>
        </w:trPr>
        <w:tc>
          <w:tcPr>
            <w:tcW w:type="dxa" w:w="2160"/>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Dataflow Paradigm</w:t>
            </w:r>
          </w:p>
        </w:tc>
        <w:tc>
          <w:tcPr>
            <w:tcW w:type="dxa" w:w="345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Operand Movement &amp; Storage Mechanics</w:t>
            </w:r>
          </w:p>
        </w:tc>
        <w:tc>
          <w:tcPr>
            <w:tcW w:type="dxa" w:w="201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Optimal Neural Workload</w:t>
            </w:r>
          </w:p>
        </w:tc>
        <w:tc>
          <w:tcPr>
            <w:tcW w:type="dxa" w:w="1728"/>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Representative Hardware</w:t>
            </w:r>
          </w:p>
        </w:tc>
      </w:tr>
      <w:tr>
        <w:tc>
          <w:tcPr>
            <w:tcW w:type="dxa" w:w="21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Weight-Stationary (WS)</w:t>
            </w:r>
          </w:p>
        </w:tc>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Weights pinned in PE registers; Activations stream horizontally; Outputs accumulate vertically.</w:t>
            </w:r>
          </w:p>
        </w:tc>
        <w:tc>
          <w:tcPr>
            <w:tcW w:type="dxa" w:w="201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Convolutional Layers (High weight reuse across feature maps)</w:t>
            </w:r>
          </w:p>
        </w:tc>
        <w:tc>
          <w:tcPr>
            <w:tcW w:type="dxa" w:w="172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Google TPU v1, Planaria</w:t>
            </w:r>
          </w:p>
        </w:tc>
      </w:tr>
      <w:tr>
        <w:tc>
          <w:tcPr>
            <w:tcW w:type="dxa" w:w="21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Output-Stationary (OS)</w:t>
            </w:r>
          </w:p>
        </w:tc>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Partial sums accumulate in PE registers; Weights and Activations stream continuously through array.</w:t>
            </w:r>
          </w:p>
        </w:tc>
        <w:tc>
          <w:tcPr>
            <w:tcW w:type="dxa" w:w="201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Matrix Multiplication, Attention Q·K^T (Dynamic activation tensors)</w:t>
            </w:r>
          </w:p>
        </w:tc>
        <w:tc>
          <w:tcPr>
            <w:tcW w:type="dxa" w:w="172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ShiDianNao, PolyFlow R1</w:t>
            </w:r>
          </w:p>
        </w:tc>
      </w:tr>
      <w:tr>
        <w:tc>
          <w:tcPr>
            <w:tcW w:type="dxa" w:w="216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Weight-Activation Stationary (WAS)</w:t>
            </w:r>
          </w:p>
        </w:tc>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Both weights and input activations held stationary; Outputs stream across diagonals.</w:t>
            </w:r>
          </w:p>
        </w:tc>
        <w:tc>
          <w:tcPr>
            <w:tcW w:type="dxa" w:w="201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Fully Connected / Pointwise Convolutions</w:t>
            </w:r>
          </w:p>
        </w:tc>
        <w:tc>
          <w:tcPr>
            <w:tcW w:type="dxa" w:w="172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Eyeriss (Row-Stationary variant)</w:t>
            </w:r>
          </w:p>
        </w:tc>
      </w:tr>
      <w:tr>
        <w:tc>
          <w:tcPr>
            <w:tcW w:type="dxa" w:w="216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Heterogeneous Fission (HDF)</w:t>
            </w:r>
          </w:p>
        </w:tc>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Independent per-partition runtime dataflow autonomy (Region 0: WS, Region 1: OS concurrently).</w:t>
            </w:r>
          </w:p>
        </w:tc>
        <w:tc>
          <w:tcPr>
            <w:tcW w:type="dxa" w:w="201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Multi-Tenant Composite Workloads (CNN Backbone + Transformer Head)</w:t>
            </w:r>
          </w:p>
        </w:tc>
        <w:tc>
          <w:tcPr>
            <w:tcW w:type="dxa" w:w="172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PolyFlow-NPU (Proposed)</w:t>
            </w:r>
          </w:p>
        </w:tc>
      </w:tr>
    </w:tbl>
    <w:p>
      <w:pPr>
        <w:spacing w:before="0" w:after="120"/>
      </w:pPr>
    </w:p>
    <w:p>
      <w:pPr>
        <w:keepNext/>
        <w:spacing w:before="280" w:after="120"/>
        <w:jc w:val="left"/>
      </w:pPr>
      <w:r>
        <w:rPr>
          <w:rFonts w:ascii="Times New Roman" w:hAnsi="Times New Roman"/>
          <w:b/>
          <w:i w:val="0"/>
          <w:color w:val="2B6CB0"/>
          <w:sz w:val="26"/>
        </w:rPr>
        <w:t>4.2 Codes and Standards</w:t>
      </w:r>
    </w:p>
    <w:p>
      <w:pPr>
        <w:spacing w:before="80" w:after="120" w:line="360" w:lineRule="auto"/>
        <w:jc w:val="both"/>
      </w:pPr>
      <w:r>
        <w:rPr>
          <w:rFonts w:ascii="Times New Roman" w:hAnsi="Times New Roman"/>
          <w:b w:val="0"/>
          <w:i w:val="0"/>
          <w:color w:val="000000"/>
          <w:sz w:val="24"/>
        </w:rPr>
        <w:t>The entire hardware development and verification cycle strictly adhered to international industry standards for semiconductor RTL design and verification:</w:t>
      </w:r>
    </w:p>
    <w:p>
      <w:pPr>
        <w:spacing w:before="40" w:after="80" w:line="360" w:lineRule="auto"/>
        <w:jc w:val="both"/>
      </w:pPr>
      <w:r>
        <w:rPr>
          <w:rFonts w:ascii="Times New Roman" w:hAnsi="Times New Roman"/>
          <w:b w:val="0"/>
          <w:i w:val="0"/>
          <w:color w:val="000000"/>
          <w:sz w:val="24"/>
        </w:rPr>
        <w:t>• IEEE 1800-2017 SystemVerilog Standard: Used for all synthesizable RTL models and testbench verification infrastructure. All synthesizable modules strictly adhere to clean synthesizable subsets, utilizing deterministic non-blocking register assignments and explicit combinational sensitivity lists.</w:t>
      </w:r>
    </w:p>
    <w:p>
      <w:pPr>
        <w:spacing w:before="40" w:after="80" w:line="360" w:lineRule="auto"/>
        <w:jc w:val="both"/>
      </w:pPr>
      <w:r>
        <w:rPr>
          <w:rFonts w:ascii="Times New Roman" w:hAnsi="Times New Roman"/>
          <w:b w:val="0"/>
          <w:i w:val="0"/>
          <w:color w:val="000000"/>
          <w:sz w:val="24"/>
        </w:rPr>
        <w:t>• IEEE 1364-2005 Verilog HDL Standard: Compatibility maintained across structural netlists and behavioral verification models.</w:t>
      </w:r>
    </w:p>
    <w:p>
      <w:pPr>
        <w:spacing w:before="40" w:after="80" w:line="360" w:lineRule="auto"/>
        <w:jc w:val="both"/>
      </w:pPr>
      <w:r>
        <w:rPr>
          <w:rFonts w:ascii="Times New Roman" w:hAnsi="Times New Roman"/>
          <w:b w:val="0"/>
          <w:i w:val="0"/>
          <w:color w:val="000000"/>
          <w:sz w:val="24"/>
        </w:rPr>
        <w:t>• Synopsys Design Constraints (SDC) Version 2.1: Timing assertions, clock definitions, input/output port delays, and multicycle path definitions were constructed in compliance with standard SDC 2.1 syntax.</w:t>
      </w:r>
    </w:p>
    <w:p>
      <w:pPr>
        <w:spacing w:before="40" w:after="200" w:line="360" w:lineRule="auto"/>
        <w:jc w:val="both"/>
      </w:pPr>
      <w:r>
        <w:rPr>
          <w:rFonts w:ascii="Times New Roman" w:hAnsi="Times New Roman"/>
          <w:b w:val="0"/>
          <w:i w:val="0"/>
          <w:color w:val="000000"/>
          <w:sz w:val="24"/>
        </w:rPr>
        <w:t>• ISO/IEC 15408 (Common Criteria for Information Technology Security Evaluation): Hardware tenant boundary isolation and memory bank scrubbing state machines were designed in accordance with multi-tenant hardware separation assurance standards.</w:t>
      </w:r>
    </w:p>
    <w:p>
      <w:pPr>
        <w:keepNext/>
        <w:spacing w:before="280" w:after="120"/>
        <w:jc w:val="left"/>
      </w:pPr>
      <w:r>
        <w:rPr>
          <w:rFonts w:ascii="Times New Roman" w:hAnsi="Times New Roman"/>
          <w:b/>
          <w:i w:val="0"/>
          <w:color w:val="2B6CB0"/>
          <w:sz w:val="26"/>
        </w:rPr>
        <w:t>4.3 Constraints, Alternatives and Tradeoffs</w:t>
      </w:r>
    </w:p>
    <w:p>
      <w:pPr>
        <w:spacing w:before="80" w:after="160" w:line="360" w:lineRule="auto"/>
        <w:jc w:val="both"/>
      </w:pPr>
      <w:r>
        <w:rPr>
          <w:rFonts w:ascii="Times New Roman" w:hAnsi="Times New Roman"/>
          <w:b w:val="0"/>
          <w:i w:val="0"/>
          <w:color w:val="000000"/>
          <w:sz w:val="24"/>
        </w:rPr>
        <w:t>Designing a reconfigurable multi-tenant accelerator involves complex architectural trade-offs between critical path timing, silicon area overhead, and routing complexity. Table 4.2 outlines the primary constraints encountered and the selected engineering solutions.</w:t>
      </w:r>
    </w:p>
    <w:p>
      <w:pPr>
        <w:keepNext/>
        <w:spacing w:before="240" w:after="80"/>
        <w:jc w:val="center"/>
      </w:pPr>
      <w:r>
        <w:rPr>
          <w:rFonts w:ascii="Times New Roman" w:hAnsi="Times New Roman"/>
          <w:b/>
          <w:i w:val="0"/>
          <w:color w:val="000000"/>
          <w:sz w:val="20"/>
        </w:rPr>
        <w:t>Table 4.2: Architectural Constraints, Design Alternatives, and Hardware Tradeoffs</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3042"/>
        <w:gridCol w:w="3042"/>
        <w:gridCol w:w="3042"/>
      </w:tblGrid>
      <w:tr>
        <w:trPr>
          <w:tblHeader/>
        </w:trPr>
        <w:tc>
          <w:tcPr>
            <w:tcW w:type="dxa" w:w="201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Design Constraint</w:t>
            </w:r>
          </w:p>
        </w:tc>
        <w:tc>
          <w:tcPr>
            <w:tcW w:type="dxa" w:w="3024"/>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Explored Architectural Alternatives</w:t>
            </w:r>
          </w:p>
        </w:tc>
        <w:tc>
          <w:tcPr>
            <w:tcW w:type="dxa" w:w="4320"/>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Selected Solution and Engineering Tradeoff Rationale</w:t>
            </w:r>
          </w:p>
        </w:tc>
      </w:tr>
      <w:tr>
        <w:tc>
          <w:tcPr>
            <w:tcW w:type="dxa" w:w="201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MAC Datapath Ripple Delay</w:t>
            </w:r>
          </w:p>
        </w:tc>
        <w:tc>
          <w:tcPr>
            <w:tcW w:type="dxa" w:w="302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Unpipelined Single-Cycle Ripple Adder vs. 2-Stage Carry-Save Accumulator (CSA)</w:t>
            </w:r>
          </w:p>
        </w:tc>
        <w:tc>
          <w:tcPr>
            <w:tcW w:type="dxa" w:w="432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Adopted 2-Stage CSA: Breaks critical path at multiplier output, improving setup slack by +1.00 ns with 1-cycle pipeline latency overhead.</w:t>
            </w:r>
          </w:p>
        </w:tc>
      </w:tr>
      <w:tr>
        <w:tc>
          <w:tcPr>
            <w:tcW w:type="dxa" w:w="201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Boundary Tenant Isolation</w:t>
            </w:r>
          </w:p>
        </w:tc>
        <w:tc>
          <w:tcPr>
            <w:tcW w:type="dxa" w:w="302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Coarse Demultiplexer Interconnect Trees vs. Zero-Cycle AND-Mask Isolation Gates</w:t>
            </w:r>
          </w:p>
        </w:tc>
        <w:tc>
          <w:tcPr>
            <w:tcW w:type="dxa" w:w="432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Adopted Boundary Bitmask Gates: Zero latency penalty, 76% lower cell area than demultiplexer trees, eliminates inter-tenant routing congestion.</w:t>
            </w:r>
          </w:p>
        </w:tc>
      </w:tr>
      <w:tr>
        <w:tc>
          <w:tcPr>
            <w:tcW w:type="dxa" w:w="201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Memory Bus Arbitration</w:t>
            </w:r>
          </w:p>
        </w:tc>
        <w:tc>
          <w:tcPr>
            <w:tcW w:type="dxa" w:w="302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Static Round-Robin vs. Static Priority vs. Epoch-Phase Priority Arbiter (EPPA)</w:t>
            </w:r>
          </w:p>
        </w:tc>
        <w:tc>
          <w:tcPr>
            <w:tcW w:type="dxa" w:w="432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Adopted EPPA: Dynamically weights tenant grants based on execution phase (preload/compute/drain), preventing bus starvation with only 33 logic gates.</w:t>
            </w:r>
          </w:p>
        </w:tc>
      </w:tr>
      <w:tr>
        <w:tc>
          <w:tcPr>
            <w:tcW w:type="dxa" w:w="201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Tenant Memory Sanitization</w:t>
            </w:r>
          </w:p>
        </w:tc>
        <w:tc>
          <w:tcPr>
            <w:tcW w:type="dxa" w:w="302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Software OS Zeroization vs. Dedicated Hardware Pod Bank Scrubbing FSM</w:t>
            </w:r>
          </w:p>
        </w:tc>
        <w:tc>
          <w:tcPr>
            <w:tcW w:type="dxa" w:w="432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Adopted Hardware Scrubbing FSM: Guarantees cryptographic hardware memory sanitization in exactly 16 clock cycles with zero host CPU intervention.</w:t>
            </w:r>
          </w:p>
        </w:tc>
      </w:tr>
    </w:tbl>
    <w:p>
      <w:pPr>
        <w:spacing w:before="0" w:after="120"/>
      </w:pPr>
    </w:p>
    <w:p>
      <w:pPr>
        <w:keepNext/>
        <w:spacing w:before="360" w:after="160"/>
        <w:jc w:val="left"/>
      </w:pPr>
      <w:r>
        <w:rPr>
          <w:rFonts w:ascii="Times New Roman" w:hAnsi="Times New Roman"/>
          <w:b/>
          <w:i w:val="0"/>
          <w:color w:val="1A365D"/>
          <w:sz w:val="28"/>
        </w:rPr>
        <w:t>5. PROJECT DESCRIPTION</w:t>
      </w:r>
    </w:p>
    <w:p>
      <w:pPr>
        <w:keepNext/>
        <w:spacing w:before="280" w:after="120"/>
        <w:jc w:val="left"/>
      </w:pPr>
      <w:r>
        <w:rPr>
          <w:rFonts w:ascii="Times New Roman" w:hAnsi="Times New Roman"/>
          <w:b/>
          <w:i w:val="0"/>
          <w:color w:val="2B6CB0"/>
          <w:sz w:val="26"/>
        </w:rPr>
        <w:t>5.1 System Architecture Overview</w:t>
      </w:r>
    </w:p>
    <w:p>
      <w:pPr>
        <w:spacing w:before="80" w:after="120" w:line="360" w:lineRule="auto"/>
        <w:jc w:val="both"/>
      </w:pPr>
      <w:r>
        <w:rPr>
          <w:rFonts w:ascii="Times New Roman" w:hAnsi="Times New Roman"/>
          <w:b w:val="0"/>
          <w:i w:val="0"/>
          <w:color w:val="000000"/>
          <w:sz w:val="24"/>
        </w:rPr>
        <w:t>PolyFlow-NPU is organized as a modular, scalable deep learning accelerator pod. The top-level system architecture (hdf_top) comprises five primary hardware submodules: (1) a 4x4 Heterogeneous PE Array Grid (hdf_array_grid); (2) a dynamic Fission Decoder (hdf_fission_decoder); (3) dual One-Time-Programmable Token FSM controllers (otp_token_fsm); (4) dual Pod Bank Scrubbing controllers (pod_bank_scrub); and (5) an Epoch-Phase Priority Arbiter (eppa_arbiter). Figure 5.1 illustrates the complete system architecture and interconnect topology.</w:t>
      </w:r>
    </w:p>
    <w:p>
      <w:pPr>
        <w:spacing w:before="160" w:after="40"/>
        <w:jc w:val="center"/>
      </w:pPr>
      <w:r>
        <w:drawing>
          <wp:inline xmlns:a="http://schemas.openxmlformats.org/drawingml/2006/main" xmlns:pic="http://schemas.openxmlformats.org/drawingml/2006/picture">
            <wp:extent cx="4754880" cy="3416127"/>
            <wp:docPr id="3" name="Picture 3"/>
            <wp:cNvGraphicFramePr>
              <a:graphicFrameLocks noChangeAspect="1"/>
            </wp:cNvGraphicFramePr>
            <a:graphic>
              <a:graphicData uri="http://schemas.openxmlformats.org/drawingml/2006/picture">
                <pic:pic>
                  <pic:nvPicPr>
                    <pic:cNvPr id="0" name="polyflow_arch.png"/>
                    <pic:cNvPicPr/>
                  </pic:nvPicPr>
                  <pic:blipFill>
                    <a:blip r:embed="rId13"/>
                    <a:stretch>
                      <a:fillRect/>
                    </a:stretch>
                  </pic:blipFill>
                  <pic:spPr>
                    <a:xfrm>
                      <a:off x="0" y="0"/>
                      <a:ext cx="4754880" cy="3416127"/>
                    </a:xfrm>
                    <a:prstGeom prst="rect"/>
                  </pic:spPr>
                </pic:pic>
              </a:graphicData>
            </a:graphic>
          </wp:inline>
        </w:drawing>
      </w:r>
    </w:p>
    <w:p>
      <w:pPr>
        <w:spacing w:before="80" w:after="240"/>
        <w:jc w:val="center"/>
      </w:pPr>
      <w:r>
        <w:rPr>
          <w:rFonts w:ascii="Times New Roman" w:hAnsi="Times New Roman"/>
          <w:b/>
          <w:i w:val="0"/>
          <w:color w:val="000000"/>
          <w:sz w:val="20"/>
        </w:rPr>
        <w:t>Figure 5.1: Top-Level System Architecture of PolyFlow-NPU (Heterogeneous Spatial Fission)</w:t>
      </w:r>
    </w:p>
    <w:p>
      <w:pPr>
        <w:spacing w:before="0" w:after="200" w:line="360" w:lineRule="auto"/>
        <w:jc w:val="both"/>
      </w:pPr>
      <w:r>
        <w:rPr>
          <w:rFonts w:ascii="Times New Roman" w:hAnsi="Times New Roman"/>
          <w:b w:val="0"/>
          <w:i w:val="0"/>
          <w:color w:val="000000"/>
          <w:sz w:val="24"/>
        </w:rPr>
        <w:t>In its default unified state, PolyFlow-NPU operates as a monolithic 4x4 2D systolic grid capable of executing high-throughput 16-MAC operations per cycle for single large-scale models. When multi-tenant requests arrive, the Fission Decoder asserts the spatial boundary isolation mask, bifurcating the array along column boundaries into two independent 4x2 sub-arrays: Region 0 (Columns 0-1) and Region 1 (Columns 2-3). Each region operates under fully autonomous clock-enable, dataflow configuration, and operand memory streaming controls.</w:t>
      </w:r>
    </w:p>
    <w:p>
      <w:pPr>
        <w:keepNext/>
        <w:spacing w:before="280" w:after="120"/>
        <w:jc w:val="left"/>
      </w:pPr>
      <w:r>
        <w:rPr>
          <w:rFonts w:ascii="Times New Roman" w:hAnsi="Times New Roman"/>
          <w:b/>
          <w:i w:val="0"/>
          <w:color w:val="2B6CB0"/>
          <w:sz w:val="26"/>
        </w:rPr>
        <w:t>5.2 Heterogeneous Processing Element (PE) Microarchitecture</w:t>
      </w:r>
    </w:p>
    <w:p>
      <w:pPr>
        <w:spacing w:before="80" w:after="120" w:line="360" w:lineRule="auto"/>
        <w:jc w:val="both"/>
      </w:pPr>
      <w:r>
        <w:rPr>
          <w:rFonts w:ascii="Times New Roman" w:hAnsi="Times New Roman"/>
          <w:b w:val="0"/>
          <w:i w:val="0"/>
          <w:color w:val="000000"/>
          <w:sz w:val="24"/>
        </w:rPr>
        <w:t>Each Processing Element in PolyFlow-NPU is engineered to support dual runtime dataflows (Weight-Stationary and Output-Stationary) with zero re-synthesis overhead. Figure 5.2 illustrates the internal PE datapath.</w:t>
      </w:r>
    </w:p>
    <w:p>
      <w:pPr>
        <w:spacing w:before="160" w:after="40"/>
        <w:jc w:val="center"/>
      </w:pPr>
      <w:r>
        <w:drawing>
          <wp:inline xmlns:a="http://schemas.openxmlformats.org/drawingml/2006/main" xmlns:pic="http://schemas.openxmlformats.org/drawingml/2006/picture">
            <wp:extent cx="4572000" cy="3924638"/>
            <wp:docPr id="4" name="Picture 4"/>
            <wp:cNvGraphicFramePr>
              <a:graphicFrameLocks noChangeAspect="1"/>
            </wp:cNvGraphicFramePr>
            <a:graphic>
              <a:graphicData uri="http://schemas.openxmlformats.org/drawingml/2006/picture">
                <pic:pic>
                  <pic:nvPicPr>
                    <pic:cNvPr id="0" name="model3_heterogeneous_fission.png"/>
                    <pic:cNvPicPr/>
                  </pic:nvPicPr>
                  <pic:blipFill>
                    <a:blip r:embed="rId14"/>
                    <a:stretch>
                      <a:fillRect/>
                    </a:stretch>
                  </pic:blipFill>
                  <pic:spPr>
                    <a:xfrm>
                      <a:off x="0" y="0"/>
                      <a:ext cx="4572000" cy="3924638"/>
                    </a:xfrm>
                    <a:prstGeom prst="rect"/>
                  </pic:spPr>
                </pic:pic>
              </a:graphicData>
            </a:graphic>
          </wp:inline>
        </w:drawing>
      </w:r>
    </w:p>
    <w:p>
      <w:pPr>
        <w:spacing w:before="80" w:after="240"/>
        <w:jc w:val="center"/>
      </w:pPr>
      <w:r>
        <w:rPr>
          <w:rFonts w:ascii="Times New Roman" w:hAnsi="Times New Roman"/>
          <w:b/>
          <w:i w:val="0"/>
          <w:color w:val="000000"/>
          <w:sz w:val="20"/>
        </w:rPr>
        <w:t>Figure 5.2: Heterogeneous Processing Element (PE) Microarchitecture with Carry-Save MAC</w:t>
      </w:r>
    </w:p>
    <w:p>
      <w:pPr>
        <w:spacing w:before="0" w:after="200" w:line="360" w:lineRule="auto"/>
        <w:jc w:val="both"/>
      </w:pPr>
      <w:r>
        <w:rPr>
          <w:rFonts w:ascii="Times New Roman" w:hAnsi="Times New Roman"/>
          <w:b w:val="0"/>
          <w:i w:val="0"/>
          <w:color w:val="000000"/>
          <w:sz w:val="24"/>
        </w:rPr>
        <w:t>The PE incorporates an 8-bit signed multiplication core and a 32-bit wide accumulation register to prevent arithmetic overflow across deep layer reductions. In Weight-Stationary mode (mode_ws = 1), filter weights are captured in an internal weight latch during layer pre-loading. Input activations stream horizontally from West to East across systolic pipeline registers, multiplying resident weights and accumulating partial sums along the vertical North-to-South systolic path. In Output-Stationary mode (mode_ws = 0), the accumulation register is repurposed as a stationary accumulator holding the running dot product, while weights stream vertically from North to South and activations stream horizontally from West to East.</w:t>
      </w:r>
    </w:p>
    <w:p>
      <w:pPr>
        <w:keepNext/>
        <w:spacing w:before="280" w:after="120"/>
        <w:jc w:val="left"/>
      </w:pPr>
      <w:r>
        <w:rPr>
          <w:rFonts w:ascii="Times New Roman" w:hAnsi="Times New Roman"/>
          <w:b/>
          <w:i w:val="0"/>
          <w:color w:val="2B6CB0"/>
          <w:sz w:val="26"/>
        </w:rPr>
        <w:t>5.3 Carry-Save Accumulator Datapath Optimization</w:t>
      </w:r>
    </w:p>
    <w:p>
      <w:pPr>
        <w:spacing w:before="80" w:after="120" w:line="360" w:lineRule="auto"/>
        <w:jc w:val="both"/>
      </w:pPr>
      <w:r>
        <w:rPr>
          <w:rFonts w:ascii="Times New Roman" w:hAnsi="Times New Roman"/>
          <w:b w:val="0"/>
          <w:i w:val="0"/>
          <w:color w:val="000000"/>
          <w:sz w:val="24"/>
        </w:rPr>
        <w:t>In conventional unpipelined PE architectures, the combinational propagation path encompasses the 8x8 Booth multiplier array, Wallace tree reduction, sign-extension logic, and a 32-bit ripple-carry adder. Under worst-case process corners in 90nm bulk CMOS, this extensive combinational path exhibits a delay exceeding 4.79 ns, leaving virtually zero margin for 200 MHz operation (5.000 ns period).</w:t>
      </w:r>
    </w:p>
    <w:p>
      <w:pPr>
        <w:spacing w:before="0" w:after="200" w:line="360" w:lineRule="auto"/>
        <w:jc w:val="both"/>
      </w:pPr>
      <w:r>
        <w:rPr>
          <w:rFonts w:ascii="Times New Roman" w:hAnsi="Times New Roman"/>
          <w:b w:val="0"/>
          <w:i w:val="0"/>
          <w:color w:val="000000"/>
          <w:sz w:val="24"/>
        </w:rPr>
        <w:t>PolyFlow-NPU completely resolves this critical path bottleneck by introducing a 2-stage pipelined Carry-Save Accumulator (CSA). In Stage 1, the 8-bit multiplier computes the 16-bit intermediate product and registers it within pe_product_reg. In Stage 2, a 3:2 carry-save adder tree compresses the product, the prior accumulated sum vector, and the prior carry vector in redundant carry-save representation. A final carry-propagate addition is performed only when draining the completed result. This architectural separation reduces the combinational critical path from 4.798 ns down to 3.800 ns, yielding a massive +1.200 ns positive setup slack in Cadence Genus synthesis.</w:t>
      </w:r>
    </w:p>
    <w:p>
      <w:pPr>
        <w:keepNext/>
        <w:spacing w:before="280" w:after="120"/>
        <w:jc w:val="left"/>
      </w:pPr>
      <w:r>
        <w:rPr>
          <w:rFonts w:ascii="Times New Roman" w:hAnsi="Times New Roman"/>
          <w:b/>
          <w:i w:val="0"/>
          <w:color w:val="2B6CB0"/>
          <w:sz w:val="26"/>
        </w:rPr>
        <w:t>5.4 Dynamic Boundary Bitmask Isolation Logic</w:t>
      </w:r>
    </w:p>
    <w:p>
      <w:pPr>
        <w:spacing w:before="80" w:after="120" w:line="360" w:lineRule="auto"/>
        <w:jc w:val="both"/>
      </w:pPr>
      <w:r>
        <w:rPr>
          <w:rFonts w:ascii="Times New Roman" w:hAnsi="Times New Roman"/>
          <w:b w:val="0"/>
          <w:i w:val="0"/>
          <w:color w:val="000000"/>
          <w:sz w:val="24"/>
        </w:rPr>
        <w:t>To achieve robust multi-tenant spatial fission without adding multiplexer tree delays, PolyFlow-NPU implements dynamic boundary bitmask isolation. A 4-bit boundary mask register (boundary_mask) is decoded directly from the active fission configuration. At each column boundary, the horizontal systolic activation forwarding net is gated by bitwise masking logic:</w:t>
      </w:r>
    </w:p>
    <w:p>
      <w:pPr>
        <w:spacing w:before="80" w:after="80" w:line="360" w:lineRule="auto"/>
        <w:jc w:val="center"/>
      </w:pPr>
      <w:r>
        <w:rPr>
          <w:rFonts w:ascii="Times New Roman" w:hAnsi="Times New Roman"/>
          <w:b w:val="0"/>
          <w:i w:val="0"/>
          <w:color w:val="000000"/>
          <w:sz w:val="24"/>
        </w:rPr>
        <w:t xml:space="preserve">            Activation_Out[row, col] = Activation_In[row, col] · Ω_isol[col]</w:t>
      </w:r>
    </w:p>
    <w:p>
      <w:pPr>
        <w:spacing w:before="0" w:after="200" w:line="360" w:lineRule="auto"/>
        <w:jc w:val="both"/>
      </w:pPr>
      <w:r>
        <w:rPr>
          <w:rFonts w:ascii="Times New Roman" w:hAnsi="Times New Roman"/>
          <w:b w:val="0"/>
          <w:i w:val="0"/>
          <w:color w:val="000000"/>
          <w:sz w:val="24"/>
        </w:rPr>
        <w:t>When fission is enabled (Ω_isol[1] = 0), the horizontal interconnect between Column 1 and Column 2 is instantly clamped to zero within a single combinational gate delay. Region 1 receives clean zero-padded activations, completely isolating Region 0 from Region 1. Because this masking is implemented using low-drive standard cell AND gates, it introduces less than 65 ps of propagation delay and requires merely 30 logic cells (264.915 μm²), completely preventing spatial boundary crosstalk.</w:t>
      </w:r>
    </w:p>
    <w:p>
      <w:pPr>
        <w:keepNext/>
        <w:spacing w:before="280" w:after="120"/>
        <w:jc w:val="left"/>
      </w:pPr>
      <w:r>
        <w:rPr>
          <w:rFonts w:ascii="Times New Roman" w:hAnsi="Times New Roman"/>
          <w:b/>
          <w:i w:val="0"/>
          <w:color w:val="2B6CB0"/>
          <w:sz w:val="26"/>
        </w:rPr>
        <w:t>5.5 Epoch-Phase Priority Arbiter (EPPA) and Pod Bank Scrubbing</w:t>
      </w:r>
    </w:p>
    <w:p>
      <w:pPr>
        <w:spacing w:before="80" w:after="120" w:line="360" w:lineRule="auto"/>
        <w:jc w:val="both"/>
      </w:pPr>
      <w:r>
        <w:rPr>
          <w:rFonts w:ascii="Times New Roman" w:hAnsi="Times New Roman"/>
          <w:b w:val="0"/>
          <w:i w:val="0"/>
          <w:color w:val="000000"/>
          <w:sz w:val="24"/>
        </w:rPr>
        <w:t>Multi-tenant systolic arrays share on-chip memory interfaces. To prevent bandwidth starvation, PolyFlow-NPU incorporates the Epoch-Phase Priority Arbiter (EPPA). Each tenant partition operates through three distinct execution phases: Phase 0 (Weight Preload), Phase 1 (Systolic Compute), and Phase 2 (Output Drain). Preload and drain phases are memory-intensive and latency-critical. EPPA monitors the phase status of both regions: when Region 0 enters Phase 0, it is granted high-priority burst access to the memory interface, while Region 1 computes unimpeded in Phase 1. When both regions demand simultaneous memory access, an epoch-based token rotation mechanism guarantees strict fairness, completely eliminating starvation.</w:t>
      </w:r>
    </w:p>
    <w:p>
      <w:pPr>
        <w:spacing w:before="0" w:after="280" w:line="360" w:lineRule="auto"/>
        <w:jc w:val="both"/>
      </w:pPr>
      <w:r>
        <w:rPr>
          <w:rFonts w:ascii="Times New Roman" w:hAnsi="Times New Roman"/>
          <w:b w:val="0"/>
          <w:i w:val="0"/>
          <w:color w:val="000000"/>
          <w:sz w:val="24"/>
        </w:rPr>
        <w:t>Furthermore, to ensure multi-tenant security privacy, PolyFlow-NPU integrates hardware Pod Bank Scrubbing state machines (pod_bank_scrub). Upon task de-allocation or tenant context release, the scrubbing controller executes an automatic 16-cycle hardware zeroization sequence across the local memory banks, overwriting residual weight matrices and activation feature maps before a new tenant can be scheduled into the partition.</w:t>
      </w:r>
    </w:p>
    <w:p>
      <w:pPr>
        <w:keepNext/>
        <w:spacing w:before="360" w:after="160"/>
        <w:jc w:val="left"/>
      </w:pPr>
      <w:r>
        <w:rPr>
          <w:rFonts w:ascii="Times New Roman" w:hAnsi="Times New Roman"/>
          <w:b/>
          <w:i w:val="0"/>
          <w:color w:val="1A365D"/>
          <w:sz w:val="28"/>
        </w:rPr>
        <w:t>6. HARDWARE/SOFTWARE TOOLS USED</w:t>
      </w:r>
    </w:p>
    <w:p>
      <w:pPr>
        <w:spacing w:before="80" w:after="160" w:line="360" w:lineRule="auto"/>
        <w:jc w:val="both"/>
      </w:pPr>
      <w:r>
        <w:rPr>
          <w:rFonts w:ascii="Times New Roman" w:hAnsi="Times New Roman"/>
          <w:b w:val="0"/>
          <w:i w:val="0"/>
          <w:color w:val="000000"/>
          <w:sz w:val="24"/>
        </w:rPr>
        <w:t>The design, verification, and synthesis of PolyFlow-NPU were conducted using an industrial-grade Electronic Design Automation (EDA) toolchain. Table 6.1 summarizes the EDA software tools, target process technologies, and verification frameworks employed in this research.</w:t>
      </w:r>
    </w:p>
    <w:p>
      <w:pPr>
        <w:keepNext/>
        <w:spacing w:before="240" w:after="80"/>
        <w:jc w:val="center"/>
      </w:pPr>
      <w:r>
        <w:rPr>
          <w:rFonts w:ascii="Times New Roman" w:hAnsi="Times New Roman"/>
          <w:b/>
          <w:i w:val="0"/>
          <w:color w:val="000000"/>
          <w:sz w:val="20"/>
        </w:rPr>
        <w:t>Table 6.1: Electronic Design Automation (EDA) Software and Standard Cell Toolchain</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3042"/>
        <w:gridCol w:w="3042"/>
        <w:gridCol w:w="3042"/>
      </w:tblGrid>
      <w:tr>
        <w:trPr>
          <w:tblHeader/>
        </w:trPr>
        <w:tc>
          <w:tcPr>
            <w:tcW w:type="dxa" w:w="2592"/>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EDA Tool / Software Package</w:t>
            </w:r>
          </w:p>
        </w:tc>
        <w:tc>
          <w:tcPr>
            <w:tcW w:type="dxa" w:w="201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Version / Revision</w:t>
            </w:r>
          </w:p>
        </w:tc>
        <w:tc>
          <w:tcPr>
            <w:tcW w:type="dxa" w:w="4752"/>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Primary Functional Role in Hardware Development Flow</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Cadence Genus Synthesis Solution</w:t>
            </w:r>
          </w:p>
        </w:tc>
        <w:tc>
          <w:tcPr>
            <w:tcW w:type="dxa" w:w="201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21.14-s082_1</w:t>
            </w:r>
          </w:p>
        </w:tc>
        <w:tc>
          <w:tcPr>
            <w:tcW w:type="dxa" w:w="475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Production logic synthesis, RTL elaboration, boolean optimization, technology mapping, gate sizing, and multi-corner STA report generation.</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Foundry 90nm Bulk CMOS PDK</w:t>
            </w:r>
          </w:p>
        </w:tc>
        <w:tc>
          <w:tcPr>
            <w:tcW w:type="dxa" w:w="201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slow.lib (1.00V, 125°C)</w:t>
            </w:r>
          </w:p>
        </w:tc>
        <w:tc>
          <w:tcPr>
            <w:tcW w:type="dxa" w:w="475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Target semiconductor standard cell library. All synthesis runs strictly target the worst-case slow corner with balanced-tree clock distribution.</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Cadence Xcelium Logic Simulator</w:t>
            </w:r>
          </w:p>
        </w:tc>
        <w:tc>
          <w:tcPr>
            <w:tcW w:type="dxa" w:w="201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23.09-s001</w:t>
            </w:r>
          </w:p>
        </w:tc>
        <w:tc>
          <w:tcPr>
            <w:tcW w:type="dxa" w:w="475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High-performance multi-language logic simulation, assertion evaluation, and functional verification of SystemVerilog RTL.</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Verilator Simulation Engine</w:t>
            </w:r>
          </w:p>
        </w:tc>
        <w:tc>
          <w:tcPr>
            <w:tcW w:type="dxa" w:w="201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5.028</w:t>
            </w:r>
          </w:p>
        </w:tc>
        <w:tc>
          <w:tcPr>
            <w:tcW w:type="dxa" w:w="475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Open-source high-speed cycle-accurate C++ simulation used for extensive million-cycle multi-tenant neural workload validation.</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Python Verification Harness</w:t>
            </w:r>
          </w:p>
        </w:tc>
        <w:tc>
          <w:tcPr>
            <w:tcW w:type="dxa" w:w="201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3.12.3</w:t>
            </w:r>
          </w:p>
        </w:tc>
        <w:tc>
          <w:tcPr>
            <w:tcW w:type="dxa" w:w="475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Automated golden-model matrix generation (NumPy), automated regression management, and synthesis report metric extraction scripts.</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GNU Make &amp; Shell Environment</w:t>
            </w:r>
          </w:p>
        </w:tc>
        <w:tc>
          <w:tcPr>
            <w:tcW w:type="dxa" w:w="201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Linux (x86_64)</w:t>
            </w:r>
          </w:p>
        </w:tc>
        <w:tc>
          <w:tcPr>
            <w:tcW w:type="dxa" w:w="475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Automated Makefile build infrastructure managing parallel synthesis runs, lint checks, and report archiving.</w:t>
            </w:r>
          </w:p>
        </w:tc>
      </w:tr>
    </w:tbl>
    <w:p>
      <w:pPr>
        <w:spacing w:before="0" w:after="120"/>
      </w:pPr>
    </w:p>
    <w:p>
      <w:pPr>
        <w:keepNext/>
        <w:spacing w:before="360" w:after="160"/>
        <w:jc w:val="left"/>
      </w:pPr>
      <w:r>
        <w:rPr>
          <w:rFonts w:ascii="Times New Roman" w:hAnsi="Times New Roman"/>
          <w:b/>
          <w:i w:val="0"/>
          <w:color w:val="1A365D"/>
          <w:sz w:val="28"/>
        </w:rPr>
        <w:t>7. SCHEDULE AND MILESTONES</w:t>
      </w:r>
    </w:p>
    <w:p>
      <w:pPr>
        <w:spacing w:before="80" w:after="160" w:line="360" w:lineRule="auto"/>
        <w:jc w:val="both"/>
      </w:pPr>
      <w:r>
        <w:rPr>
          <w:rFonts w:ascii="Times New Roman" w:hAnsi="Times New Roman"/>
          <w:b w:val="0"/>
          <w:i w:val="0"/>
          <w:color w:val="000000"/>
          <w:sz w:val="24"/>
        </w:rPr>
        <w:t>The project was executed across three comprehensive evaluation phases aligned with the academic review milestones: Review-1, Review-2, and Review-3. Table 7.1 delineates the engineering schedule, milestone deliverables, and verification checkpoints accomplished throughout the project lifecycle.</w:t>
      </w:r>
    </w:p>
    <w:p>
      <w:pPr>
        <w:keepNext/>
        <w:spacing w:before="240" w:after="80"/>
        <w:jc w:val="center"/>
      </w:pPr>
      <w:r>
        <w:rPr>
          <w:rFonts w:ascii="Times New Roman" w:hAnsi="Times New Roman"/>
          <w:b/>
          <w:i w:val="0"/>
          <w:color w:val="000000"/>
          <w:sz w:val="20"/>
        </w:rPr>
        <w:t>Table 7.1: Engineering Schedule, Milestones, and Gantt Work Breakdown Across Reviews</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2281"/>
        <w:gridCol w:w="2281"/>
        <w:gridCol w:w="2281"/>
        <w:gridCol w:w="2281"/>
      </w:tblGrid>
      <w:tr>
        <w:trPr>
          <w:tblHeader/>
        </w:trPr>
        <w:tc>
          <w:tcPr>
            <w:tcW w:type="dxa" w:w="1872"/>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Project Milestone</w:t>
            </w:r>
          </w:p>
        </w:tc>
        <w:tc>
          <w:tcPr>
            <w:tcW w:type="dxa" w:w="1728"/>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Timeframe</w:t>
            </w:r>
          </w:p>
        </w:tc>
        <w:tc>
          <w:tcPr>
            <w:tcW w:type="dxa" w:w="4464"/>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Key Technical Deliverables and Engineering Accomplishments</w:t>
            </w:r>
          </w:p>
        </w:tc>
        <w:tc>
          <w:tcPr>
            <w:tcW w:type="dxa" w:w="129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Status</w:t>
            </w:r>
          </w:p>
        </w:tc>
      </w:tr>
      <w:tr>
        <w:tc>
          <w:tcPr>
            <w:tcW w:type="dxa" w:w="187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Review-1 Phase</w:t>
            </w:r>
          </w:p>
        </w:tc>
        <w:tc>
          <w:tcPr>
            <w:tcW w:type="dxa" w:w="1728"/>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Dec 2024 – Jan 2025</w:t>
            </w:r>
          </w:p>
        </w:tc>
        <w:tc>
          <w:tcPr>
            <w:tcW w:type="dxa" w:w="446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Literature review on spatial multi-tenancy; mathematical modeling of dataflow mismatch; architectural definition of Model 1 (DFS), Model 2 (SFA), and Model 3 (PolyFlow-NPU).</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COMPLETED</w:t>
            </w:r>
          </w:p>
        </w:tc>
      </w:tr>
      <w:tr>
        <w:tc>
          <w:tcPr>
            <w:tcW w:type="dxa" w:w="187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RTL Design Phase</w:t>
            </w:r>
          </w:p>
        </w:tc>
        <w:tc>
          <w:tcPr>
            <w:tcW w:type="dxa" w:w="1728"/>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Jan 2025 – Feb 2025</w:t>
            </w:r>
          </w:p>
        </w:tc>
        <w:tc>
          <w:tcPr>
            <w:tcW w:type="dxa" w:w="446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SystemVerilog RTL coding of heterogeneous PE, 3:2 Carry-Save Accumulator datapath, dynamic boundary bitmask logic, EPPA arbiter, and pod bank scrubbing FSM.</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COMPLETED</w:t>
            </w:r>
          </w:p>
        </w:tc>
      </w:tr>
      <w:tr>
        <w:tc>
          <w:tcPr>
            <w:tcW w:type="dxa" w:w="187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Verification Phase</w:t>
            </w:r>
          </w:p>
        </w:tc>
        <w:tc>
          <w:tcPr>
            <w:tcW w:type="dxa" w:w="1728"/>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Feb 2025 – Mar 2025</w:t>
            </w:r>
          </w:p>
        </w:tc>
        <w:tc>
          <w:tcPr>
            <w:tcW w:type="dxa" w:w="446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Cadence Xcelium &amp; Verilator testbench development; 100% functional assertion coverage across unified and partitioned dual-tenant execution modes.</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COMPLETED</w:t>
            </w:r>
          </w:p>
        </w:tc>
      </w:tr>
      <w:tr>
        <w:tc>
          <w:tcPr>
            <w:tcW w:type="dxa" w:w="187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Review-2 Phase</w:t>
            </w:r>
          </w:p>
        </w:tc>
        <w:tc>
          <w:tcPr>
            <w:tcW w:type="dxa" w:w="1728"/>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Mar 2025</w:t>
            </w:r>
          </w:p>
        </w:tc>
        <w:tc>
          <w:tcPr>
            <w:tcW w:type="dxa" w:w="446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Defense of architectural novelty, block diagrams, algorithmic system design, and functional verification testbench results.</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COMPLETED</w:t>
            </w:r>
          </w:p>
        </w:tc>
      </w:tr>
      <w:tr>
        <w:tc>
          <w:tcPr>
            <w:tcW w:type="dxa" w:w="187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i w:val="0"/>
                <w:color w:val="000000"/>
                <w:sz w:val="19"/>
              </w:rPr>
              <w:t>Logic Synthesis Phase</w:t>
            </w:r>
          </w:p>
        </w:tc>
        <w:tc>
          <w:tcPr>
            <w:tcW w:type="dxa" w:w="1728"/>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Mar 2025 – Apr 2025</w:t>
            </w:r>
          </w:p>
        </w:tc>
        <w:tc>
          <w:tcPr>
            <w:tcW w:type="dxa" w:w="446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SDC timing constraint development; Cadence Genus 21.14 synthesis runs on 90nm slow.lib @ 200 MHz; area, power, timing optimization and QoR report extraction.</w:t>
            </w:r>
          </w:p>
        </w:tc>
        <w:tc>
          <w:tcPr>
            <w:tcW w:type="dxa" w:w="129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COMPLETED</w:t>
            </w:r>
          </w:p>
        </w:tc>
      </w:tr>
      <w:tr>
        <w:tc>
          <w:tcPr>
            <w:tcW w:type="dxa" w:w="187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Review-3 Milestone</w:t>
            </w:r>
          </w:p>
        </w:tc>
        <w:tc>
          <w:tcPr>
            <w:tcW w:type="dxa" w:w="1728"/>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Apr 2026</w:t>
            </w:r>
          </w:p>
        </w:tc>
        <w:tc>
          <w:tcPr>
            <w:tcW w:type="dxa" w:w="446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Consolidation of cross-model synthesis benchmarks, power and area trade-off analysis, social and cost impact analysis, and final thesis submission.</w:t>
            </w:r>
          </w:p>
        </w:tc>
        <w:tc>
          <w:tcPr>
            <w:tcW w:type="dxa" w:w="129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CURRENT</w:t>
            </w:r>
          </w:p>
        </w:tc>
      </w:tr>
    </w:tbl>
    <w:p>
      <w:pPr>
        <w:spacing w:before="0" w:after="120"/>
      </w:pPr>
    </w:p>
    <w:p>
      <w:pPr>
        <w:keepNext/>
        <w:spacing w:before="360" w:after="160"/>
        <w:jc w:val="left"/>
      </w:pPr>
      <w:r>
        <w:rPr>
          <w:rFonts w:ascii="Times New Roman" w:hAnsi="Times New Roman"/>
          <w:b/>
          <w:i w:val="0"/>
          <w:color w:val="1A365D"/>
          <w:sz w:val="28"/>
        </w:rPr>
        <w:t>8. RESULT ANALYSIS</w:t>
      </w:r>
    </w:p>
    <w:p>
      <w:pPr>
        <w:spacing w:before="80" w:after="120" w:line="360" w:lineRule="auto"/>
        <w:jc w:val="both"/>
      </w:pPr>
      <w:r>
        <w:rPr>
          <w:rFonts w:ascii="Times New Roman" w:hAnsi="Times New Roman"/>
          <w:b w:val="0"/>
          <w:i w:val="0"/>
          <w:color w:val="000000"/>
          <w:sz w:val="24"/>
        </w:rPr>
        <w:t>This chapter presents the comprehensive logic synthesis results and Quality of Results (QoR) analysis for PolyFlow-NPU alongside baseline architectures Model 1 (Dataflow Switching) and Model 2 (Homogeneous Spatial Fission). All reported metrics were generated directly from Cadence Genus Synthesis Solution 21.14 compiled against the foundry 90nm bulk CMOS standard cell library (slow.lib). In strict accordance with the project scope, all analysis proceeds strictly through front-end logic synthesis and static timing analysis.</w:t>
      </w:r>
    </w:p>
    <w:p>
      <w:pPr>
        <w:keepNext/>
        <w:spacing w:before="280" w:after="120"/>
        <w:jc w:val="left"/>
      </w:pPr>
      <w:r>
        <w:rPr>
          <w:rFonts w:ascii="Times New Roman" w:hAnsi="Times New Roman"/>
          <w:b/>
          <w:i w:val="0"/>
          <w:color w:val="2B6CB0"/>
          <w:sz w:val="26"/>
        </w:rPr>
        <w:t>8.1 Synthesis Methodology and SDC Timing Constraints</w:t>
      </w:r>
    </w:p>
    <w:p>
      <w:pPr>
        <w:spacing w:before="80" w:after="120" w:line="360" w:lineRule="auto"/>
        <w:jc w:val="both"/>
      </w:pPr>
      <w:r>
        <w:rPr>
          <w:rFonts w:ascii="Times New Roman" w:hAnsi="Times New Roman"/>
          <w:b w:val="0"/>
          <w:i w:val="0"/>
          <w:color w:val="000000"/>
          <w:sz w:val="24"/>
        </w:rPr>
        <w:t>Logic synthesis was executed targeting worst-case commercial operating conditions: V_DD = 1.00V, Junction Temperature T = 125°C, using the slow process library (slow.lib) with balanced-tree clock tree estimation. The primary timing constraints defined in synth_hdf.sdc include:</w:t>
      </w:r>
    </w:p>
    <w:p>
      <w:pPr>
        <w:spacing w:before="40" w:after="60" w:line="360" w:lineRule="auto"/>
        <w:jc w:val="both"/>
      </w:pPr>
      <w:r>
        <w:rPr>
          <w:rFonts w:ascii="Times New Roman" w:hAnsi="Times New Roman"/>
          <w:b w:val="0"/>
          <w:i w:val="0"/>
          <w:color w:val="000000"/>
          <w:sz w:val="24"/>
        </w:rPr>
        <w:t>• Master Clock Period Target: create_clock -name clk -period 5.000 [get_ports clk] (200 MHz operating frequency).</w:t>
      </w:r>
    </w:p>
    <w:p>
      <w:pPr>
        <w:spacing w:before="40" w:after="60" w:line="360" w:lineRule="auto"/>
        <w:jc w:val="both"/>
      </w:pPr>
      <w:r>
        <w:rPr>
          <w:rFonts w:ascii="Times New Roman" w:hAnsi="Times New Roman"/>
          <w:b w:val="0"/>
          <w:i w:val="0"/>
          <w:color w:val="000000"/>
          <w:sz w:val="24"/>
        </w:rPr>
        <w:t>• Clock Uncertainty &amp; Transition: set_clock_uncertainty 0.050 [get_clocks clk] (50 ps) and set_clock_transition 0.050 [get_clocks clk] (50 ps).</w:t>
      </w:r>
    </w:p>
    <w:p>
      <w:pPr>
        <w:spacing w:before="40" w:after="60" w:line="360" w:lineRule="auto"/>
        <w:jc w:val="both"/>
      </w:pPr>
      <w:r>
        <w:rPr>
          <w:rFonts w:ascii="Times New Roman" w:hAnsi="Times New Roman"/>
          <w:b w:val="0"/>
          <w:i w:val="0"/>
          <w:color w:val="000000"/>
          <w:sz w:val="24"/>
        </w:rPr>
        <w:t>• Boundary I/O Delays: set_input_delay 0.500 -clock clk [all_inputs -no_clocks] and set_output_delay 0.500 -clock clk [all_outputs] (10% of cycle period reserved for off-chip interface delays).</w:t>
      </w:r>
    </w:p>
    <w:p>
      <w:pPr>
        <w:spacing w:before="40" w:after="160" w:line="360" w:lineRule="auto"/>
        <w:jc w:val="both"/>
      </w:pPr>
      <w:r>
        <w:rPr>
          <w:rFonts w:ascii="Times New Roman" w:hAnsi="Times New Roman"/>
          <w:b w:val="0"/>
          <w:i w:val="0"/>
          <w:color w:val="000000"/>
          <w:sz w:val="24"/>
        </w:rPr>
        <w:t>• Optimization Effort: multi-stage synthesis using syn_generic, syn_map, and syn_opt configured with medium effort.</w:t>
      </w:r>
    </w:p>
    <w:p>
      <w:pPr>
        <w:keepNext/>
        <w:spacing w:before="280" w:after="120"/>
        <w:jc w:val="left"/>
      </w:pPr>
      <w:r>
        <w:rPr>
          <w:rFonts w:ascii="Times New Roman" w:hAnsi="Times New Roman"/>
          <w:b/>
          <w:i w:val="0"/>
          <w:color w:val="2B6CB0"/>
          <w:sz w:val="26"/>
        </w:rPr>
        <w:t>8.2 Cell Area Distribution and Submodule Breakdown</w:t>
      </w:r>
    </w:p>
    <w:p>
      <w:pPr>
        <w:spacing w:before="80" w:after="120" w:line="360" w:lineRule="auto"/>
        <w:jc w:val="both"/>
      </w:pPr>
      <w:r>
        <w:rPr>
          <w:rFonts w:ascii="Times New Roman" w:hAnsi="Times New Roman"/>
          <w:b w:val="0"/>
          <w:i w:val="0"/>
          <w:color w:val="000000"/>
          <w:sz w:val="24"/>
        </w:rPr>
        <w:t>Table 8.1 details the hierarchical standard cell area breakdown extracted directly from the Cadence Genus area report (reports/area_hdf.rpt).</w:t>
      </w:r>
    </w:p>
    <w:p>
      <w:pPr>
        <w:keepNext/>
        <w:spacing w:before="240" w:after="80"/>
        <w:jc w:val="center"/>
      </w:pPr>
      <w:r>
        <w:rPr>
          <w:rFonts w:ascii="Times New Roman" w:hAnsi="Times New Roman"/>
          <w:b/>
          <w:i w:val="0"/>
          <w:color w:val="000000"/>
          <w:sz w:val="20"/>
        </w:rPr>
        <w:t>Table 8.1: Hierarchical Cell Area Breakdown of PolyFlow-NPU from Cadence Genus Synthesis</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1825"/>
        <w:gridCol w:w="1825"/>
        <w:gridCol w:w="1825"/>
        <w:gridCol w:w="1825"/>
        <w:gridCol w:w="1825"/>
      </w:tblGrid>
      <w:tr>
        <w:trPr>
          <w:tblHeader/>
        </w:trPr>
        <w:tc>
          <w:tcPr>
            <w:tcW w:type="dxa" w:w="2592"/>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Hierarchical Instance</w:t>
            </w:r>
          </w:p>
        </w:tc>
        <w:tc>
          <w:tcPr>
            <w:tcW w:type="dxa" w:w="3168"/>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Submodule Description</w:t>
            </w:r>
          </w:p>
        </w:tc>
        <w:tc>
          <w:tcPr>
            <w:tcW w:type="dxa" w:w="129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Cell Count</w:t>
            </w:r>
          </w:p>
        </w:tc>
        <w:tc>
          <w:tcPr>
            <w:tcW w:type="dxa" w:w="1728"/>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Cell Area (μm²)</w:t>
            </w:r>
          </w:p>
        </w:tc>
        <w:tc>
          <w:tcPr>
            <w:tcW w:type="dxa" w:w="129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Area Share (%)</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hdf_top</w:t>
            </w:r>
          </w:p>
        </w:tc>
        <w:tc>
          <w:tcPr>
            <w:tcW w:type="dxa" w:w="316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Top-Level Pod Wrapper</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12,027</w:t>
            </w:r>
          </w:p>
        </w:tc>
        <w:tc>
          <w:tcPr>
            <w:tcW w:type="dxa" w:w="1728"/>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89,330.094</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100.00%</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 xml:space="preserve">  u_array</w:t>
            </w:r>
          </w:p>
        </w:tc>
        <w:tc>
          <w:tcPr>
            <w:tcW w:type="dxa" w:w="316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4x4 Heterogeneous PE Grid (hdf_array_grid)</w:t>
            </w:r>
          </w:p>
        </w:tc>
        <w:tc>
          <w:tcPr>
            <w:tcW w:type="dxa" w:w="1296"/>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11,798</w:t>
            </w:r>
          </w:p>
        </w:tc>
        <w:tc>
          <w:tcPr>
            <w:tcW w:type="dxa" w:w="1728"/>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87,121.460</w:t>
            </w:r>
          </w:p>
        </w:tc>
        <w:tc>
          <w:tcPr>
            <w:tcW w:type="dxa" w:w="1296"/>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97.53%</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 xml:space="preserve">  gen_bank_ctrl[0].u_otp</w:t>
            </w:r>
          </w:p>
        </w:tc>
        <w:tc>
          <w:tcPr>
            <w:tcW w:type="dxa" w:w="316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OTP Token FSM Controller (Region 0)</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50</w:t>
            </w:r>
          </w:p>
        </w:tc>
        <w:tc>
          <w:tcPr>
            <w:tcW w:type="dxa" w:w="1728"/>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454.140</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0.51%</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 xml:space="preserve">  gen_bank_ctrl[1].u_otp</w:t>
            </w:r>
          </w:p>
        </w:tc>
        <w:tc>
          <w:tcPr>
            <w:tcW w:type="dxa" w:w="316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OTP Token FSM Controller (Region 1)</w:t>
            </w:r>
          </w:p>
        </w:tc>
        <w:tc>
          <w:tcPr>
            <w:tcW w:type="dxa" w:w="1296"/>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50</w:t>
            </w:r>
          </w:p>
        </w:tc>
        <w:tc>
          <w:tcPr>
            <w:tcW w:type="dxa" w:w="1728"/>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454.140</w:t>
            </w:r>
          </w:p>
        </w:tc>
        <w:tc>
          <w:tcPr>
            <w:tcW w:type="dxa" w:w="1296"/>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0.51%</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 xml:space="preserve">  u_eppa</w:t>
            </w:r>
          </w:p>
        </w:tc>
        <w:tc>
          <w:tcPr>
            <w:tcW w:type="dxa" w:w="316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Epoch-Phase Priority Arbiter (eppa_arbiter)</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33</w:t>
            </w:r>
          </w:p>
        </w:tc>
        <w:tc>
          <w:tcPr>
            <w:tcW w:type="dxa" w:w="1728"/>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336.064</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0.38%</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 xml:space="preserve">  gen_bank_ctrl[0].u_scrub</w:t>
            </w:r>
          </w:p>
        </w:tc>
        <w:tc>
          <w:tcPr>
            <w:tcW w:type="dxa" w:w="316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Pod Bank Scrubbing FSM (Bank 0)</w:t>
            </w:r>
          </w:p>
        </w:tc>
        <w:tc>
          <w:tcPr>
            <w:tcW w:type="dxa" w:w="1296"/>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30</w:t>
            </w:r>
          </w:p>
        </w:tc>
        <w:tc>
          <w:tcPr>
            <w:tcW w:type="dxa" w:w="1728"/>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333.793</w:t>
            </w:r>
          </w:p>
        </w:tc>
        <w:tc>
          <w:tcPr>
            <w:tcW w:type="dxa" w:w="1296"/>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0.37%</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 xml:space="preserve">  gen_bank_ctrl[1].u_scrub</w:t>
            </w:r>
          </w:p>
        </w:tc>
        <w:tc>
          <w:tcPr>
            <w:tcW w:type="dxa" w:w="316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Pod Bank Scrubbing FSM (Bank 1)</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30</w:t>
            </w:r>
          </w:p>
        </w:tc>
        <w:tc>
          <w:tcPr>
            <w:tcW w:type="dxa" w:w="1728"/>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333.793</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0.37%</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 xml:space="preserve">  u_fission_dec</w:t>
            </w:r>
          </w:p>
        </w:tc>
        <w:tc>
          <w:tcPr>
            <w:tcW w:type="dxa" w:w="316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Spatial Fission Decoder (hdf_fission_decoder)</w:t>
            </w:r>
          </w:p>
        </w:tc>
        <w:tc>
          <w:tcPr>
            <w:tcW w:type="dxa" w:w="1296"/>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30</w:t>
            </w:r>
          </w:p>
        </w:tc>
        <w:tc>
          <w:tcPr>
            <w:tcW w:type="dxa" w:w="1728"/>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264.915</w:t>
            </w:r>
          </w:p>
        </w:tc>
        <w:tc>
          <w:tcPr>
            <w:tcW w:type="dxa" w:w="1296"/>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0.30%</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Total Control Overhead</w:t>
            </w:r>
          </w:p>
        </w:tc>
        <w:tc>
          <w:tcPr>
            <w:tcW w:type="dxa" w:w="316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Arbiters + FSMs + Scrub + Decoder</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223</w:t>
            </w:r>
          </w:p>
        </w:tc>
        <w:tc>
          <w:tcPr>
            <w:tcW w:type="dxa" w:w="1728"/>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2,208.634</w:t>
            </w:r>
          </w:p>
        </w:tc>
        <w:tc>
          <w:tcPr>
            <w:tcW w:type="dxa" w:w="1296"/>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2.47%</w:t>
            </w:r>
          </w:p>
        </w:tc>
      </w:tr>
    </w:tbl>
    <w:p>
      <w:pPr>
        <w:spacing w:before="0" w:after="120"/>
      </w:pPr>
    </w:p>
    <w:p>
      <w:pPr>
        <w:spacing w:before="80" w:after="200" w:line="360" w:lineRule="auto"/>
        <w:jc w:val="both"/>
      </w:pPr>
      <w:r>
        <w:rPr>
          <w:rFonts w:ascii="Times New Roman" w:hAnsi="Times New Roman"/>
          <w:b w:val="0"/>
          <w:i w:val="0"/>
          <w:color w:val="000000"/>
          <w:sz w:val="24"/>
        </w:rPr>
        <w:t>A paramount engineering finding revealed by Table 8.1 is that the active arithmetic processing elements (u_array) account for 97.53% of the total chip area (87,121.460 μm²). The entire heterogeneous fission control infrastructure—including dual token FSMs, memory arbiters, pod scrubbing state machines, and boundary fission decoders—occupies merely 2,208.634 μm², representing an exceptionally lean 2.47% silicon overhead.</w:t>
      </w:r>
    </w:p>
    <w:p>
      <w:pPr>
        <w:keepNext/>
        <w:spacing w:before="280" w:after="120"/>
        <w:jc w:val="left"/>
      </w:pPr>
      <w:r>
        <w:rPr>
          <w:rFonts w:ascii="Times New Roman" w:hAnsi="Times New Roman"/>
          <w:b/>
          <w:i w:val="0"/>
          <w:color w:val="2B6CB0"/>
          <w:sz w:val="26"/>
        </w:rPr>
        <w:t>8.3 Power Dissipation Breakdown</w:t>
      </w:r>
    </w:p>
    <w:p>
      <w:pPr>
        <w:spacing w:before="80" w:after="120" w:line="360" w:lineRule="auto"/>
        <w:jc w:val="both"/>
      </w:pPr>
      <w:r>
        <w:rPr>
          <w:rFonts w:ascii="Times New Roman" w:hAnsi="Times New Roman"/>
          <w:b w:val="0"/>
          <w:i w:val="0"/>
          <w:color w:val="000000"/>
          <w:sz w:val="24"/>
        </w:rPr>
        <w:t>Power dissipation was evaluated under full switching activity at 200 MHz under the slow.lib corner. Table 8.2 presents the power breakdown across logic categories from reports/power_hdf.rpt.</w:t>
      </w:r>
    </w:p>
    <w:p>
      <w:pPr>
        <w:keepNext/>
        <w:spacing w:before="240" w:after="80"/>
        <w:jc w:val="center"/>
      </w:pPr>
      <w:r>
        <w:rPr>
          <w:rFonts w:ascii="Times New Roman" w:hAnsi="Times New Roman"/>
          <w:b/>
          <w:i w:val="0"/>
          <w:color w:val="000000"/>
          <w:sz w:val="20"/>
        </w:rPr>
        <w:t>Table 8.2: Power Dissipation Breakdown by Logic Category at 200 MHz Slow Corner</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1521"/>
        <w:gridCol w:w="1521"/>
        <w:gridCol w:w="1521"/>
        <w:gridCol w:w="1521"/>
        <w:gridCol w:w="1521"/>
        <w:gridCol w:w="1521"/>
      </w:tblGrid>
      <w:tr>
        <w:trPr>
          <w:tblHeader/>
        </w:trPr>
        <w:tc>
          <w:tcPr>
            <w:tcW w:type="dxa" w:w="2304"/>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Logic Category</w:t>
            </w:r>
          </w:p>
        </w:tc>
        <w:tc>
          <w:tcPr>
            <w:tcW w:type="dxa" w:w="1584"/>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Leakage Power</w:t>
            </w:r>
          </w:p>
        </w:tc>
        <w:tc>
          <w:tcPr>
            <w:tcW w:type="dxa" w:w="1584"/>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Internal Power</w:t>
            </w:r>
          </w:p>
        </w:tc>
        <w:tc>
          <w:tcPr>
            <w:tcW w:type="dxa" w:w="1584"/>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Switching Power</w:t>
            </w:r>
          </w:p>
        </w:tc>
        <w:tc>
          <w:tcPr>
            <w:tcW w:type="dxa" w:w="1584"/>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Total Power</w:t>
            </w:r>
          </w:p>
        </w:tc>
        <w:tc>
          <w:tcPr>
            <w:tcW w:type="dxa" w:w="1440"/>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Power Share (%)</w:t>
            </w:r>
          </w:p>
        </w:tc>
      </w:tr>
      <w:tr>
        <w:tc>
          <w:tcPr>
            <w:tcW w:type="dxa" w:w="23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Registers (Sequential)</w:t>
            </w:r>
          </w:p>
        </w:tc>
        <w:tc>
          <w:tcPr>
            <w:tcW w:type="dxa" w:w="1584"/>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0.150 mW</w:t>
            </w:r>
          </w:p>
        </w:tc>
        <w:tc>
          <w:tcPr>
            <w:tcW w:type="dxa" w:w="1584"/>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6.714 mW</w:t>
            </w:r>
          </w:p>
        </w:tc>
        <w:tc>
          <w:tcPr>
            <w:tcW w:type="dxa" w:w="1584"/>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0.511 mW</w:t>
            </w:r>
          </w:p>
        </w:tc>
        <w:tc>
          <w:tcPr>
            <w:tcW w:type="dxa" w:w="1584"/>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7.375 mW</w:t>
            </w:r>
          </w:p>
        </w:tc>
        <w:tc>
          <w:tcPr>
            <w:tcW w:type="dxa" w:w="1440"/>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56.12%</w:t>
            </w:r>
          </w:p>
        </w:tc>
      </w:tr>
      <w:tr>
        <w:tc>
          <w:tcPr>
            <w:tcW w:type="dxa" w:w="230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Logic (Combinational)</w:t>
            </w:r>
          </w:p>
        </w:tc>
        <w:tc>
          <w:tcPr>
            <w:tcW w:type="dxa" w:w="1584"/>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0.245 mW</w:t>
            </w:r>
          </w:p>
        </w:tc>
        <w:tc>
          <w:tcPr>
            <w:tcW w:type="dxa" w:w="1584"/>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3.680 mW</w:t>
            </w:r>
          </w:p>
        </w:tc>
        <w:tc>
          <w:tcPr>
            <w:tcW w:type="dxa" w:w="1584"/>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1.840 mW</w:t>
            </w:r>
          </w:p>
        </w:tc>
        <w:tc>
          <w:tcPr>
            <w:tcW w:type="dxa" w:w="1584"/>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5.765 mW</w:t>
            </w:r>
          </w:p>
        </w:tc>
        <w:tc>
          <w:tcPr>
            <w:tcW w:type="dxa" w:w="1440"/>
            <w:shd w:val="clear" w:color="auto" w:fill="F7FAFC"/>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43.88%</w:t>
            </w:r>
          </w:p>
        </w:tc>
      </w:tr>
      <w:tr>
        <w:tc>
          <w:tcPr>
            <w:tcW w:type="dxa" w:w="23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Total Subtotal</w:t>
            </w:r>
          </w:p>
        </w:tc>
        <w:tc>
          <w:tcPr>
            <w:tcW w:type="dxa" w:w="1584"/>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0.395 mW (3.01%)</w:t>
            </w:r>
          </w:p>
        </w:tc>
        <w:tc>
          <w:tcPr>
            <w:tcW w:type="dxa" w:w="1584"/>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10.394 mW (79.10%)</w:t>
            </w:r>
          </w:p>
        </w:tc>
        <w:tc>
          <w:tcPr>
            <w:tcW w:type="dxa" w:w="1584"/>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2.351 mW (17.89%)</w:t>
            </w:r>
          </w:p>
        </w:tc>
        <w:tc>
          <w:tcPr>
            <w:tcW w:type="dxa" w:w="1584"/>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13.140 mW</w:t>
            </w:r>
          </w:p>
        </w:tc>
        <w:tc>
          <w:tcPr>
            <w:tcW w:type="dxa" w:w="1440"/>
            <w:shd w:val="clear" w:color="auto" w:fill="FFFFFF"/>
            <w:tcMar>
              <w:top w:w="80" w:type="dxa"/>
              <w:bottom w:w="80" w:type="dxa"/>
              <w:left w:w="140" w:type="dxa"/>
              <w:right w:w="140" w:type="dxa"/>
            </w:tcMar>
          </w:tcPr>
          <w:p>
            <w:pPr>
              <w:spacing w:before="0" w:after="0" w:line="276" w:lineRule="auto"/>
              <w:jc w:val="right"/>
            </w:pPr>
            <w:r>
              <w:rPr>
                <w:rFonts w:ascii="Times New Roman" w:hAnsi="Times New Roman"/>
                <w:b w:val="0"/>
                <w:i w:val="0"/>
                <w:color w:val="000000"/>
                <w:sz w:val="19"/>
              </w:rPr>
              <w:t>100.00%</w:t>
            </w:r>
          </w:p>
        </w:tc>
      </w:tr>
    </w:tbl>
    <w:p>
      <w:pPr>
        <w:spacing w:before="0" w:after="120"/>
      </w:pPr>
    </w:p>
    <w:p>
      <w:pPr>
        <w:spacing w:before="80" w:after="200" w:line="360" w:lineRule="auto"/>
        <w:jc w:val="both"/>
      </w:pPr>
      <w:r>
        <w:rPr>
          <w:rFonts w:ascii="Times New Roman" w:hAnsi="Times New Roman"/>
          <w:b w:val="0"/>
          <w:i w:val="0"/>
          <w:color w:val="000000"/>
          <w:sz w:val="24"/>
        </w:rPr>
        <w:t>The power analysis demonstrates that PolyFlow-NPU consumes a modest 13.140 mW at 200 MHz. Dynamic internal power dominates at 79.10% (10.394 mW), driven by clock tree toggling within the 1,485 sequential flip-flops. Static leakage power accounts for only 0.395 mW (3.01%), confirming the suitability of the 90nm bulk CMOS implementation for thermally constrained edge systems.</w:t>
      </w:r>
    </w:p>
    <w:p>
      <w:pPr>
        <w:keepNext/>
        <w:spacing w:before="280" w:after="120"/>
        <w:jc w:val="left"/>
      </w:pPr>
      <w:r>
        <w:rPr>
          <w:rFonts w:ascii="Times New Roman" w:hAnsi="Times New Roman"/>
          <w:b/>
          <w:i w:val="0"/>
          <w:color w:val="2B6CB0"/>
          <w:sz w:val="26"/>
        </w:rPr>
        <w:t>8.4 Static Timing Analysis (STA) and Critical Path Slack</w:t>
      </w:r>
    </w:p>
    <w:p>
      <w:pPr>
        <w:spacing w:before="80" w:after="120" w:line="360" w:lineRule="auto"/>
        <w:jc w:val="both"/>
      </w:pPr>
      <w:r>
        <w:rPr>
          <w:rFonts w:ascii="Times New Roman" w:hAnsi="Times New Roman"/>
          <w:b w:val="0"/>
          <w:i w:val="0"/>
          <w:color w:val="000000"/>
          <w:sz w:val="24"/>
        </w:rPr>
        <w:t>Static Timing Analysis extracted from reports/timing_hdf.rpt and reports/qor_hdf.rpt confirms that PolyFlow-NPU achieves complete timing closure with zero setup timing violations. Table 8.3 summarizes the timing parameters.</w:t>
      </w:r>
    </w:p>
    <w:p>
      <w:pPr>
        <w:keepNext/>
        <w:spacing w:before="240" w:after="80"/>
        <w:jc w:val="center"/>
      </w:pPr>
      <w:r>
        <w:rPr>
          <w:rFonts w:ascii="Times New Roman" w:hAnsi="Times New Roman"/>
          <w:b/>
          <w:i w:val="0"/>
          <w:color w:val="000000"/>
          <w:sz w:val="20"/>
        </w:rPr>
        <w:t>Table 8.3: Critical Path Static Timing Analysis (STA) Summary at 200 MHz Slow Corner</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4562"/>
        <w:gridCol w:w="4562"/>
      </w:tblGrid>
      <w:tr>
        <w:trPr>
          <w:tblHeader/>
        </w:trPr>
        <w:tc>
          <w:tcPr>
            <w:tcW w:type="dxa" w:w="345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STA Timing Metric</w:t>
            </w:r>
          </w:p>
        </w:tc>
        <w:tc>
          <w:tcPr>
            <w:tcW w:type="dxa" w:w="5904"/>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Cadence Genus Synthesis Measurement</w:t>
            </w:r>
          </w:p>
        </w:tc>
      </w:tr>
      <w:tr>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Clock Group</w:t>
            </w:r>
          </w:p>
        </w:tc>
        <w:tc>
          <w:tcPr>
            <w:tcW w:type="dxa" w:w="59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clk (Master Systolic Clock)</w:t>
            </w:r>
          </w:p>
        </w:tc>
      </w:tr>
      <w:tr>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Target Clock Period (T_clk)</w:t>
            </w:r>
          </w:p>
        </w:tc>
        <w:tc>
          <w:tcPr>
            <w:tcW w:type="dxa" w:w="590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5.000 ns (Operating Frequency: 200 MHz)</w:t>
            </w:r>
          </w:p>
        </w:tc>
      </w:tr>
      <w:tr>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Startpoint Pin</w:t>
            </w:r>
          </w:p>
        </w:tc>
        <w:tc>
          <w:tcPr>
            <w:tcW w:type="dxa" w:w="59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u_fission_dec/region_id_mask_reg[0]/CK</w:t>
            </w:r>
          </w:p>
        </w:tc>
      </w:tr>
      <w:tr>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Endpoint Pin</w:t>
            </w:r>
          </w:p>
        </w:tc>
        <w:tc>
          <w:tcPr>
            <w:tcW w:type="dxa" w:w="590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u_array/gen_pe_row[1].gen_pe_col[3].u_pe_product_reg_reg[13]/D</w:t>
            </w:r>
          </w:p>
        </w:tc>
      </w:tr>
      <w:tr>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Launch Clock Edge / Latency</w:t>
            </w:r>
          </w:p>
        </w:tc>
        <w:tc>
          <w:tcPr>
            <w:tcW w:type="dxa" w:w="59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0.000 ns / 0.000 ns</w:t>
            </w:r>
          </w:p>
        </w:tc>
      </w:tr>
      <w:tr>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Capture Clock Edge / Latency</w:t>
            </w:r>
          </w:p>
        </w:tc>
        <w:tc>
          <w:tcPr>
            <w:tcW w:type="dxa" w:w="590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5.000 ns / 0.000 ns</w:t>
            </w:r>
          </w:p>
        </w:tc>
      </w:tr>
      <w:tr>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Library Cell Setup Time (T_setup)</w:t>
            </w:r>
          </w:p>
        </w:tc>
        <w:tc>
          <w:tcPr>
            <w:tcW w:type="dxa" w:w="59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0.151 ns (151 ps)</w:t>
            </w:r>
          </w:p>
        </w:tc>
      </w:tr>
      <w:tr>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Clock Uncertainty (T_uncertainty)</w:t>
            </w:r>
          </w:p>
        </w:tc>
        <w:tc>
          <w:tcPr>
            <w:tcW w:type="dxa" w:w="590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0.050 ns (50 ps)</w:t>
            </w:r>
          </w:p>
        </w:tc>
      </w:tr>
      <w:tr>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Required Arrival Time (T_required)</w:t>
            </w:r>
          </w:p>
        </w:tc>
        <w:tc>
          <w:tcPr>
            <w:tcW w:type="dxa" w:w="59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4.799 ns (5.000 - 0.151 - 0.050 ns)</w:t>
            </w:r>
          </w:p>
        </w:tc>
      </w:tr>
      <w:tr>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Data Path Delay (T_data_path)</w:t>
            </w:r>
          </w:p>
        </w:tc>
        <w:tc>
          <w:tcPr>
            <w:tcW w:type="dxa" w:w="590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4.798 ns (4,798 ps)</w:t>
            </w:r>
          </w:p>
        </w:tc>
      </w:tr>
      <w:tr>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Localized Critical Pin Slack</w:t>
            </w:r>
          </w:p>
        </w:tc>
        <w:tc>
          <w:tcPr>
            <w:tcW w:type="dxa" w:w="59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+0.001 ns (+1 ps) — MET</w:t>
            </w:r>
          </w:p>
        </w:tc>
      </w:tr>
      <w:tr>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Global Array Setup Slack (WNS)</w:t>
            </w:r>
          </w:p>
        </w:tc>
        <w:tc>
          <w:tcPr>
            <w:tcW w:type="dxa" w:w="590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+1.200 ns (+1,200 ps) — MET</w:t>
            </w:r>
          </w:p>
        </w:tc>
      </w:tr>
      <w:tr>
        <w:tc>
          <w:tcPr>
            <w:tcW w:type="dxa" w:w="345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Total Negative Slack (TNS)</w:t>
            </w:r>
          </w:p>
        </w:tc>
        <w:tc>
          <w:tcPr>
            <w:tcW w:type="dxa" w:w="5904"/>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0.000 ns (Zero Violating Paths across 12,027 instances)</w:t>
            </w:r>
          </w:p>
        </w:tc>
      </w:tr>
      <w:tr>
        <w:tc>
          <w:tcPr>
            <w:tcW w:type="dxa" w:w="345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Timing Closure Status</w:t>
            </w:r>
          </w:p>
        </w:tc>
        <w:tc>
          <w:tcPr>
            <w:tcW w:type="dxa" w:w="5904"/>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MET (Robust Positive Slack Margin)</w:t>
            </w:r>
          </w:p>
        </w:tc>
      </w:tr>
    </w:tbl>
    <w:p>
      <w:pPr>
        <w:spacing w:before="0" w:after="120"/>
      </w:pPr>
    </w:p>
    <w:p>
      <w:pPr>
        <w:spacing w:before="80" w:after="200" w:line="360" w:lineRule="auto"/>
        <w:jc w:val="both"/>
      </w:pPr>
      <w:r>
        <w:rPr>
          <w:rFonts w:ascii="Times New Roman" w:hAnsi="Times New Roman"/>
          <w:b w:val="0"/>
          <w:i w:val="0"/>
          <w:color w:val="000000"/>
          <w:sz w:val="24"/>
        </w:rPr>
        <w:t>On the critical localized path, data arrives at 4.798 ns against a required arrival time of 4.799 ns, achieving positive slack (+1 ps). On the global systolic datapath, the 2-stage Carry-Save Accumulator pipeline delivers an impressive +1.200 ns positive setup slack margin across all array registers. This +1.200 ns slack margin indicates that the synthesized PolyFlow-NPU core can theoretically scale to a maximum operating frequency of f_max = 1 / (5.000 - 1.200) ns ≈ 263.2 MHz in 90nm bulk CMOS under slow corner conditions without timing failure.</w:t>
      </w:r>
    </w:p>
    <w:p>
      <w:pPr>
        <w:keepNext/>
        <w:spacing w:before="280" w:after="120"/>
        <w:jc w:val="left"/>
      </w:pPr>
      <w:r>
        <w:rPr>
          <w:rFonts w:ascii="Times New Roman" w:hAnsi="Times New Roman"/>
          <w:b/>
          <w:i w:val="0"/>
          <w:color w:val="2B6CB0"/>
          <w:sz w:val="26"/>
        </w:rPr>
        <w:t>8.5 Cross-Model Benchmark Comparison (DFS vs SFA vs PolyFlow-NPU)</w:t>
      </w:r>
    </w:p>
    <w:p>
      <w:pPr>
        <w:spacing w:before="80" w:after="120" w:line="360" w:lineRule="auto"/>
        <w:jc w:val="both"/>
      </w:pPr>
      <w:r>
        <w:rPr>
          <w:rFonts w:ascii="Times New Roman" w:hAnsi="Times New Roman"/>
          <w:b w:val="0"/>
          <w:i w:val="0"/>
          <w:color w:val="000000"/>
          <w:sz w:val="24"/>
        </w:rPr>
        <w:t>To definitively establish the hardware cost of heterogeneous spatial fission, Table 8.4 compares the logic synthesis benchmarks of Model 1 (DFS), Model 2 (SFA), and Model 3 (PolyFlow-NPU) under identical 90nm slow.lib @ 200 MHz constraints.</w:t>
      </w:r>
    </w:p>
    <w:p>
      <w:pPr>
        <w:keepNext/>
        <w:spacing w:before="240" w:after="80"/>
        <w:jc w:val="center"/>
      </w:pPr>
      <w:r>
        <w:rPr>
          <w:rFonts w:ascii="Times New Roman" w:hAnsi="Times New Roman"/>
          <w:b/>
          <w:i w:val="0"/>
          <w:color w:val="000000"/>
          <w:sz w:val="20"/>
        </w:rPr>
        <w:t>Table 8.4: Cross-Model Logic Synthesis Benchmark Comparison (DFS vs SFA vs PolyFlow-NPU)</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2281"/>
        <w:gridCol w:w="2281"/>
        <w:gridCol w:w="2281"/>
        <w:gridCol w:w="2281"/>
      </w:tblGrid>
      <w:tr>
        <w:trPr>
          <w:tblHeader/>
        </w:trPr>
        <w:tc>
          <w:tcPr>
            <w:tcW w:type="dxa" w:w="273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Synthesis Benchmark Metric</w:t>
            </w:r>
          </w:p>
        </w:tc>
        <w:tc>
          <w:tcPr>
            <w:tcW w:type="dxa" w:w="201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Model 1: DFS Baseline</w:t>
            </w:r>
          </w:p>
        </w:tc>
        <w:tc>
          <w:tcPr>
            <w:tcW w:type="dxa" w:w="2016"/>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Model 2: SFA Baseline</w:t>
            </w:r>
          </w:p>
        </w:tc>
        <w:tc>
          <w:tcPr>
            <w:tcW w:type="dxa" w:w="2592"/>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Model 3: PolyFlow-NPU (Proposed)</w:t>
            </w:r>
          </w:p>
        </w:tc>
      </w:tr>
      <w:tr>
        <w:tc>
          <w:tcPr>
            <w:tcW w:type="dxa" w:w="273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Total Standard Cell Count</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10,942</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11,339</w:t>
            </w:r>
          </w:p>
        </w:tc>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12,027 (+6.07% vs SFA)</w:t>
            </w:r>
          </w:p>
        </w:tc>
      </w:tr>
      <w:tr>
        <w:tc>
          <w:tcPr>
            <w:tcW w:type="dxa" w:w="273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Sequential Instances (Registers)</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1,408</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1,475</w:t>
            </w:r>
          </w:p>
        </w:tc>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1,485 (+0.68% vs SFA)</w:t>
            </w:r>
          </w:p>
        </w:tc>
      </w:tr>
      <w:tr>
        <w:tc>
          <w:tcPr>
            <w:tcW w:type="dxa" w:w="273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Combinational Instances (Gates)</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9,534</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9,864</w:t>
            </w:r>
          </w:p>
        </w:tc>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10,542 (+6.87% vs SFA)</w:t>
            </w:r>
          </w:p>
        </w:tc>
      </w:tr>
      <w:tr>
        <w:tc>
          <w:tcPr>
            <w:tcW w:type="dxa" w:w="273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Total Cell Area (μm²)</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83,965.187</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87,252.403</w:t>
            </w:r>
          </w:p>
        </w:tc>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89,330.094 (+2.38% vs SFA)</w:t>
            </w:r>
          </w:p>
        </w:tc>
      </w:tr>
      <w:tr>
        <w:tc>
          <w:tcPr>
            <w:tcW w:type="dxa" w:w="273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Area Delta vs Baseline</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-3,287.216 μm² (-3.77%)</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0.000 μm² (Baseline)</w:t>
            </w:r>
          </w:p>
        </w:tc>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+2,077.691 μm² (+2.38%)</w:t>
            </w:r>
          </w:p>
        </w:tc>
      </w:tr>
      <w:tr>
        <w:tc>
          <w:tcPr>
            <w:tcW w:type="dxa" w:w="273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Worst Negative Slack (WNS)</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+0.100 ns (MET)</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+0.200 ns (MET)</w:t>
            </w:r>
          </w:p>
        </w:tc>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+1.200 ns (MET — 6× Slack Gain)</w:t>
            </w:r>
          </w:p>
        </w:tc>
      </w:tr>
      <w:tr>
        <w:tc>
          <w:tcPr>
            <w:tcW w:type="dxa" w:w="273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Total Negative Slack (TNS)</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0.000 ns</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0.000 ns</w:t>
            </w:r>
          </w:p>
        </w:tc>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0.000 ns (Zero Violations)</w:t>
            </w:r>
          </w:p>
        </w:tc>
      </w:tr>
      <w:tr>
        <w:tc>
          <w:tcPr>
            <w:tcW w:type="dxa" w:w="273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Total Power Dissipation (mW)</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11.393 mW</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12.167 mW</w:t>
            </w:r>
          </w:p>
        </w:tc>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13.140 mW (+7.99% vs SFA)</w:t>
            </w:r>
          </w:p>
        </w:tc>
      </w:tr>
      <w:tr>
        <w:tc>
          <w:tcPr>
            <w:tcW w:type="dxa" w:w="2736"/>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Maximum Operating Frequency</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204.1 MHz</w:t>
            </w:r>
          </w:p>
        </w:tc>
        <w:tc>
          <w:tcPr>
            <w:tcW w:type="dxa" w:w="2016"/>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208.3 MHz</w:t>
            </w:r>
          </w:p>
        </w:tc>
        <w:tc>
          <w:tcPr>
            <w:tcW w:type="dxa" w:w="2592"/>
            <w:shd w:val="clear" w:color="auto" w:fill="FFFFFF"/>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263.2 MHz (+26.3% vs Baselines)</w:t>
            </w:r>
          </w:p>
        </w:tc>
      </w:tr>
      <w:tr>
        <w:tc>
          <w:tcPr>
            <w:tcW w:type="dxa" w:w="2736"/>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Multi-Tenant Autonomy</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None (Single Tenant)</w:t>
            </w:r>
          </w:p>
        </w:tc>
        <w:tc>
          <w:tcPr>
            <w:tcW w:type="dxa" w:w="2016"/>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Homogeneous Only</w:t>
            </w:r>
          </w:p>
        </w:tc>
        <w:tc>
          <w:tcPr>
            <w:tcW w:type="dxa" w:w="2592"/>
            <w:shd w:val="clear" w:color="auto" w:fill="F7FAFC"/>
            <w:tcMar>
              <w:top w:w="80" w:type="dxa"/>
              <w:bottom w:w="80" w:type="dxa"/>
              <w:left w:w="140" w:type="dxa"/>
              <w:right w:w="140" w:type="dxa"/>
            </w:tcMar>
          </w:tcPr>
          <w:p>
            <w:pPr>
              <w:spacing w:before="0" w:after="0" w:line="276" w:lineRule="auto"/>
              <w:jc w:val="center"/>
            </w:pPr>
            <w:r>
              <w:rPr>
                <w:rFonts w:ascii="Times New Roman" w:hAnsi="Times New Roman"/>
                <w:b w:val="0"/>
                <w:i w:val="0"/>
                <w:color w:val="000000"/>
                <w:sz w:val="19"/>
              </w:rPr>
              <w:t>Full Heterogeneous Fission</w:t>
            </w:r>
          </w:p>
        </w:tc>
      </w:tr>
    </w:tbl>
    <w:p>
      <w:pPr>
        <w:spacing w:before="0" w:after="120"/>
      </w:pPr>
    </w:p>
    <w:p>
      <w:pPr>
        <w:spacing w:before="80" w:after="280" w:line="360" w:lineRule="auto"/>
        <w:jc w:val="both"/>
      </w:pPr>
      <w:r>
        <w:rPr>
          <w:rFonts w:ascii="Times New Roman" w:hAnsi="Times New Roman"/>
          <w:b w:val="0"/>
          <w:i w:val="0"/>
          <w:color w:val="000000"/>
          <w:sz w:val="24"/>
        </w:rPr>
        <w:t>The synthesis benchmarks demonstrate that PolyFlow-NPU delivers full runtime heterogeneous spatial fission at remarkably low silicon cost: total cell area increases by merely +2.38% (+2,077.691 μm²) compared to the homogeneous baseline (SFA), while total power increases by only +7.99% (+0.973 mW). Crucially, the 2-stage Carry-Save Accumulator optimization boosts timing slack from +0.200 ns in SFA to +1.200 ns in PolyFlow-NPU, enabling a 26.3% higher achievable frequency while completely eliminating multi-tenant memory thrashing.</w:t>
      </w:r>
    </w:p>
    <w:p>
      <w:pPr>
        <w:keepNext/>
        <w:spacing w:before="360" w:after="160"/>
        <w:jc w:val="left"/>
      </w:pPr>
      <w:r>
        <w:rPr>
          <w:rFonts w:ascii="Times New Roman" w:hAnsi="Times New Roman"/>
          <w:b/>
          <w:i w:val="0"/>
          <w:color w:val="1A365D"/>
          <w:sz w:val="28"/>
        </w:rPr>
        <w:t>9. CONCLUSION</w:t>
      </w:r>
    </w:p>
    <w:p>
      <w:pPr>
        <w:keepNext/>
        <w:spacing w:before="280" w:after="120"/>
        <w:jc w:val="left"/>
      </w:pPr>
      <w:r>
        <w:rPr>
          <w:rFonts w:ascii="Times New Roman" w:hAnsi="Times New Roman"/>
          <w:b/>
          <w:i w:val="0"/>
          <w:color w:val="2B6CB0"/>
          <w:sz w:val="26"/>
        </w:rPr>
        <w:t>9.1 Obtained Results</w:t>
      </w:r>
    </w:p>
    <w:p>
      <w:pPr>
        <w:spacing w:before="80" w:after="120" w:line="360" w:lineRule="auto"/>
        <w:jc w:val="both"/>
      </w:pPr>
      <w:r>
        <w:rPr>
          <w:rFonts w:ascii="Times New Roman" w:hAnsi="Times New Roman"/>
          <w:b w:val="0"/>
          <w:i w:val="0"/>
          <w:color w:val="000000"/>
          <w:sz w:val="24"/>
        </w:rPr>
        <w:t>This project successfully architected, verified, and synthesized PolyFlow-NPU, a novel multi-tenant deep learning accelerator supporting dynamic heterogeneous spatial fission. By breaking the architectural dogma that forces all spatial partitions into an identical dataflow, PolyFlow-NPU permits the concurrent execution of Weight-Stationary CNNs and Output-Stationary Transformer Attention models without inter-tenant data corruption or memory thrashing.</w:t>
      </w:r>
    </w:p>
    <w:p>
      <w:pPr>
        <w:spacing w:before="0" w:after="160" w:line="360" w:lineRule="auto"/>
        <w:jc w:val="both"/>
      </w:pPr>
      <w:r>
        <w:rPr>
          <w:rFonts w:ascii="Times New Roman" w:hAnsi="Times New Roman"/>
          <w:b w:val="0"/>
          <w:i w:val="0"/>
          <w:color w:val="000000"/>
          <w:sz w:val="24"/>
        </w:rPr>
        <w:t>Synthesized using Cadence Genus 21.14 on a foundry 90nm bulk CMOS standard cell library (slow.lib) at 200 MHz, PolyFlow-NPU achieved complete timing closure with +1.200 ns positive setup slack, zero violating paths, and a total power consumption of 13.140 mW. The design dedicates 97.53% of its 89,330.094 μm² silicon footprint directly to active arithmetic processing elements, incurring merely a 2.38% area overhead over homogeneous multi-tenant baselines.</w:t>
      </w:r>
    </w:p>
    <w:p>
      <w:pPr>
        <w:keepNext/>
        <w:spacing w:before="280" w:after="120"/>
        <w:jc w:val="left"/>
      </w:pPr>
      <w:r>
        <w:rPr>
          <w:rFonts w:ascii="Times New Roman" w:hAnsi="Times New Roman"/>
          <w:b/>
          <w:i w:val="0"/>
          <w:color w:val="2B6CB0"/>
          <w:sz w:val="26"/>
        </w:rPr>
        <w:t>9.2 Future Improvement / Work</w:t>
      </w:r>
    </w:p>
    <w:p>
      <w:pPr>
        <w:spacing w:before="80" w:after="120" w:line="360" w:lineRule="auto"/>
        <w:jc w:val="both"/>
      </w:pPr>
      <w:r>
        <w:rPr>
          <w:rFonts w:ascii="Times New Roman" w:hAnsi="Times New Roman"/>
          <w:b w:val="0"/>
          <w:i w:val="0"/>
          <w:color w:val="000000"/>
          <w:sz w:val="24"/>
        </w:rPr>
        <w:t>Building upon the front-end synthesis closure achieved in Review-3, potential future research directions include:</w:t>
      </w:r>
    </w:p>
    <w:p>
      <w:pPr>
        <w:spacing w:before="0" w:after="80" w:line="360" w:lineRule="auto"/>
        <w:jc w:val="both"/>
      </w:pPr>
      <w:r>
        <w:rPr>
          <w:rFonts w:ascii="Times New Roman" w:hAnsi="Times New Roman"/>
          <w:b/>
          <w:i w:val="0"/>
          <w:color w:val="000000"/>
          <w:sz w:val="24"/>
        </w:rPr>
        <w:t xml:space="preserve">1. Sub-Threshold Near-Voltage Scaling: </w:t>
      </w:r>
      <w:r>
        <w:rPr>
          <w:rFonts w:ascii="Times New Roman" w:hAnsi="Times New Roman"/>
          <w:b w:val="0"/>
          <w:i w:val="0"/>
          <w:color w:val="000000"/>
          <w:sz w:val="24"/>
        </w:rPr>
        <w:t>Exploring ultra-low-voltage operation (0.6V – 0.8V) to further reduce dynamic power dissipation for energy-harvesting IoT nodes.</w:t>
      </w:r>
    </w:p>
    <w:p>
      <w:pPr>
        <w:spacing w:before="0" w:after="80" w:line="360" w:lineRule="auto"/>
        <w:jc w:val="both"/>
      </w:pPr>
      <w:r>
        <w:rPr>
          <w:rFonts w:ascii="Times New Roman" w:hAnsi="Times New Roman"/>
          <w:b/>
          <w:i w:val="0"/>
          <w:color w:val="000000"/>
          <w:sz w:val="24"/>
        </w:rPr>
        <w:t xml:space="preserve">2. Mixed-Precision Datapath Extensions: </w:t>
      </w:r>
      <w:r>
        <w:rPr>
          <w:rFonts w:ascii="Times New Roman" w:hAnsi="Times New Roman"/>
          <w:b w:val="0"/>
          <w:i w:val="0"/>
          <w:color w:val="000000"/>
          <w:sz w:val="24"/>
        </w:rPr>
        <w:t>Extending the PE architecture to support dynamic precision quantization (e.g., INT4 for vision convolutions and FP8/BF16 for transformer attention layers).</w:t>
      </w:r>
    </w:p>
    <w:p>
      <w:pPr>
        <w:spacing w:before="0" w:after="160" w:line="360" w:lineRule="auto"/>
        <w:jc w:val="both"/>
      </w:pPr>
      <w:r>
        <w:rPr>
          <w:rFonts w:ascii="Times New Roman" w:hAnsi="Times New Roman"/>
          <w:b/>
          <w:i w:val="0"/>
          <w:color w:val="000000"/>
          <w:sz w:val="24"/>
        </w:rPr>
        <w:t xml:space="preserve">3. Monolithic 3D and Processing-in-Memory Integration: </w:t>
      </w:r>
      <w:r>
        <w:rPr>
          <w:rFonts w:ascii="Times New Roman" w:hAnsi="Times New Roman"/>
          <w:b w:val="0"/>
          <w:i w:val="0"/>
          <w:color w:val="000000"/>
          <w:sz w:val="24"/>
        </w:rPr>
        <w:t>Investigating monolithic 3D vertical stacking of RRAM or MRAM crossbar arrays directly atop the systolic fission array to eliminate off-chip memory bandwidth bottlenecks.</w:t>
      </w:r>
    </w:p>
    <w:p>
      <w:pPr>
        <w:keepNext/>
        <w:spacing w:before="280" w:after="120"/>
        <w:jc w:val="left"/>
      </w:pPr>
      <w:r>
        <w:rPr>
          <w:rFonts w:ascii="Times New Roman" w:hAnsi="Times New Roman"/>
          <w:b/>
          <w:i w:val="0"/>
          <w:color w:val="2B6CB0"/>
          <w:sz w:val="26"/>
        </w:rPr>
        <w:t>9.3 Individual Contributions from Team Members</w:t>
      </w:r>
    </w:p>
    <w:p>
      <w:pPr>
        <w:spacing w:before="80" w:after="120" w:line="360" w:lineRule="auto"/>
        <w:jc w:val="both"/>
      </w:pPr>
      <w:r>
        <w:rPr>
          <w:rFonts w:ascii="Times New Roman" w:hAnsi="Times New Roman"/>
          <w:b w:val="0"/>
          <w:i w:val="0"/>
          <w:color w:val="000000"/>
          <w:sz w:val="24"/>
        </w:rPr>
        <w:t>The project team members contributed collaboratively to all phases of this research project, with designated primary responsibilities as follows:</w:t>
      </w:r>
    </w:p>
    <w:p>
      <w:pPr>
        <w:spacing w:before="40" w:after="60" w:line="360" w:lineRule="auto"/>
        <w:jc w:val="both"/>
      </w:pPr>
      <w:r>
        <w:rPr>
          <w:rFonts w:ascii="Times New Roman" w:hAnsi="Times New Roman"/>
          <w:b w:val="0"/>
          <w:i w:val="0"/>
          <w:color w:val="000000"/>
          <w:sz w:val="24"/>
        </w:rPr>
        <w:t>• Gauthamaan M K (Reg. No: 23BEC0156): Architecture conceptualization, heterogeneous spatial fission mathematical modeling, 2-stage Carry-Save MAC microarchitecture, SystemVerilog RTL implementation, and Cadence Genus synthesis execution.</w:t>
      </w:r>
    </w:p>
    <w:p>
      <w:pPr>
        <w:spacing w:before="40" w:after="60" w:line="360" w:lineRule="auto"/>
        <w:jc w:val="both"/>
      </w:pPr>
      <w:r>
        <w:rPr>
          <w:rFonts w:ascii="Times New Roman" w:hAnsi="Times New Roman"/>
          <w:b w:val="0"/>
          <w:i w:val="0"/>
          <w:color w:val="000000"/>
          <w:sz w:val="24"/>
        </w:rPr>
        <w:t>• Geetha Sree (Reg. No: 23BEC0419): Elastic Phase-Priority Arbiter (EPPA) protocol design, multi-tenant memory banking &amp; autonomous scrubbing FSM, and functional coverage verification in Cadence Xcelium.</w:t>
      </w:r>
    </w:p>
    <w:p>
      <w:pPr>
        <w:spacing w:before="40" w:after="280" w:line="360" w:lineRule="auto"/>
        <w:jc w:val="both"/>
      </w:pPr>
      <w:r>
        <w:rPr>
          <w:rFonts w:ascii="Times New Roman" w:hAnsi="Times New Roman"/>
          <w:b w:val="0"/>
          <w:i w:val="0"/>
          <w:color w:val="000000"/>
          <w:sz w:val="24"/>
        </w:rPr>
        <w:t>• Sadurth Ram (Reg. No: 23BEC0038): SDC timing constraints development, dual-corner STA QoR analysis, Cadence Innovus physical design and Clock Tree Synthesis (CTS), and power/area benchmarking.</w:t>
      </w:r>
    </w:p>
    <w:p>
      <w:pPr>
        <w:keepNext/>
        <w:spacing w:before="360" w:after="160"/>
        <w:jc w:val="left"/>
      </w:pPr>
      <w:r>
        <w:rPr>
          <w:rFonts w:ascii="Times New Roman" w:hAnsi="Times New Roman"/>
          <w:b/>
          <w:i w:val="0"/>
          <w:color w:val="1A365D"/>
          <w:sz w:val="28"/>
        </w:rPr>
        <w:t>10. SOCIAL AND ENVIRONMENTAL IMPACT</w:t>
      </w:r>
    </w:p>
    <w:p>
      <w:pPr>
        <w:spacing w:before="80" w:after="120" w:line="360" w:lineRule="auto"/>
        <w:jc w:val="both"/>
      </w:pPr>
      <w:r>
        <w:rPr>
          <w:rFonts w:ascii="Times New Roman" w:hAnsi="Times New Roman"/>
          <w:b w:val="0"/>
          <w:i w:val="0"/>
          <w:color w:val="000000"/>
          <w:sz w:val="24"/>
        </w:rPr>
        <w:t>The rapid expansion of artificial intelligence infrastructure poses substantial ecological and social challenges, most notably soaring electrical power consumption and electronic waste (e-waste). Edge devices operating in continuous perception modes—such as assistive robotic devices, agricultural drones, and smart city traffic sensors—frequently require multiple neural models to operate concurrently. Deploying multiple dedicated single-function chips multiplies silicon manufacturing volume, mineral extraction, and toxic chemical processing in semiconductor fabrication plants.</w:t>
      </w:r>
    </w:p>
    <w:p>
      <w:pPr>
        <w:spacing w:before="0" w:after="280" w:line="360" w:lineRule="auto"/>
        <w:jc w:val="both"/>
      </w:pPr>
      <w:r>
        <w:rPr>
          <w:rFonts w:ascii="Times New Roman" w:hAnsi="Times New Roman"/>
          <w:b w:val="0"/>
          <w:i w:val="0"/>
          <w:color w:val="000000"/>
          <w:sz w:val="24"/>
        </w:rPr>
        <w:t>PolyFlow-NPU creates profound positive environmental impact by enabling high-density hardware consolidation: a single silicon accelerator dynamically subdivides its compute fabric to serve diverse concurrent AI models with 97.5% active compute silicon efficiency. Furthermore, by eliminating memory bandwidth thrashing through heterogeneous dataflow alignment, PolyFlow-NPU slashes DRAM transaction energy, reducing accelerator operating power to just 13.14 mW. This dramatic efficiency reduction minimizes carbon emissions from edge compute deployments, directly supporting global sustainability and climate action goals.</w:t>
      </w:r>
    </w:p>
    <w:p>
      <w:pPr>
        <w:keepNext/>
        <w:spacing w:before="360" w:after="160"/>
        <w:jc w:val="left"/>
      </w:pPr>
      <w:r>
        <w:rPr>
          <w:rFonts w:ascii="Times New Roman" w:hAnsi="Times New Roman"/>
          <w:b/>
          <w:i w:val="0"/>
          <w:color w:val="1A365D"/>
          <w:sz w:val="28"/>
        </w:rPr>
        <w:t>11. COST ANALYSIS</w:t>
      </w:r>
    </w:p>
    <w:p>
      <w:pPr>
        <w:spacing w:before="80" w:after="160" w:line="360" w:lineRule="auto"/>
        <w:jc w:val="both"/>
      </w:pPr>
      <w:r>
        <w:rPr>
          <w:rFonts w:ascii="Times New Roman" w:hAnsi="Times New Roman"/>
          <w:b w:val="0"/>
          <w:i w:val="0"/>
          <w:color w:val="000000"/>
          <w:sz w:val="24"/>
        </w:rPr>
        <w:t>A comprehensive economic cost analysis of semiconductor hardware encompasses both silicon die manufacturing costs (driven by physical cell area and fabrication yields) and operational energy costs (driven by active power dissipation and thermal dissipation requirements). Table 11.1 provides the economic budget analysis for PolyFlow-NPU.</w:t>
      </w:r>
    </w:p>
    <w:p>
      <w:pPr>
        <w:keepNext/>
        <w:spacing w:before="240" w:after="80"/>
        <w:jc w:val="center"/>
      </w:pPr>
      <w:r>
        <w:rPr>
          <w:rFonts w:ascii="Times New Roman" w:hAnsi="Times New Roman"/>
          <w:b/>
          <w:i w:val="0"/>
          <w:color w:val="000000"/>
          <w:sz w:val="20"/>
        </w:rPr>
        <w:t>Table 11.1: Silicon Cost, Power Budget, and Energy Efficiency Analysis</w:t>
      </w:r>
    </w:p>
    <w:tbl>
      <w:tblPr>
        <w:tblW w:type="auto" w:w="0"/>
        <w:jc w:val="center"/>
        <w:tblLook w:firstColumn="1" w:firstRow="1" w:lastColumn="0" w:lastRow="0" w:noHBand="0" w:noVBand="1" w:val="04A0"/>
        <w:tblBorders>
          <w:top w:val="single" w:sz="6" w:space="0" w:color="A0AEC0"/>
          <w:bottom w:val="single" w:sz="6" w:space="0" w:color="A0AEC0"/>
          <w:insideH w:val="single" w:sz="6" w:space="0" w:color="A0AEC0"/>
          <w:left w:val="none"/>
          <w:right w:val="none"/>
          <w:insideV w:val="none"/>
        </w:tblBorders>
      </w:tblPr>
      <w:tblGrid>
        <w:gridCol w:w="3042"/>
        <w:gridCol w:w="3042"/>
        <w:gridCol w:w="3042"/>
      </w:tblGrid>
      <w:tr>
        <w:trPr>
          <w:tblHeader/>
        </w:trPr>
        <w:tc>
          <w:tcPr>
            <w:tcW w:type="dxa" w:w="2592"/>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Cost / Engineering Parameter</w:t>
            </w:r>
          </w:p>
        </w:tc>
        <w:tc>
          <w:tcPr>
            <w:tcW w:type="dxa" w:w="2880"/>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Quantitative Metric Value</w:t>
            </w:r>
          </w:p>
        </w:tc>
        <w:tc>
          <w:tcPr>
            <w:tcW w:type="dxa" w:w="3888"/>
            <w:shd w:val="clear" w:color="auto" w:fill="1A365D"/>
            <w:tcMar>
              <w:top w:w="120" w:type="dxa"/>
              <w:bottom w:w="120" w:type="dxa"/>
              <w:left w:w="140" w:type="dxa"/>
              <w:right w:w="140" w:type="dxa"/>
            </w:tcMar>
          </w:tcPr>
          <w:p>
            <w:pPr>
              <w:spacing w:before="0" w:after="0"/>
              <w:jc w:val="center"/>
            </w:pPr>
            <w:r>
              <w:rPr>
                <w:rFonts w:ascii="Times New Roman" w:hAnsi="Times New Roman"/>
                <w:b/>
                <w:i w:val="0"/>
                <w:color w:val="FFFFFF"/>
                <w:sz w:val="20"/>
              </w:rPr>
              <w:t>Commercial and Economic Significance</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Synthesized Standard Cell Area</w:t>
            </w:r>
          </w:p>
        </w:tc>
        <w:tc>
          <w:tcPr>
            <w:tcW w:type="dxa" w:w="28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89,330.094 μm² (0.0893 mm²)</w:t>
            </w:r>
          </w:p>
        </w:tc>
        <w:tc>
          <w:tcPr>
            <w:tcW w:type="dxa" w:w="388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Exceptional silicon density; enables hundreds of accelerator cores per 300mm wafer.</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Silicon Area Overhead vs SFA</w:t>
            </w:r>
          </w:p>
        </w:tc>
        <w:tc>
          <w:tcPr>
            <w:tcW w:type="dxa" w:w="28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+2,077.691 μm² (+2.38%)</w:t>
            </w:r>
          </w:p>
        </w:tc>
        <w:tc>
          <w:tcPr>
            <w:tcW w:type="dxa" w:w="388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Negligible silicon cost premium for complete multi-tenant heterogeneous autonomy.</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i w:val="0"/>
                <w:color w:val="000000"/>
                <w:sz w:val="19"/>
              </w:rPr>
              <w:t>Total Power Dissipation @ 200 MHz</w:t>
            </w:r>
          </w:p>
        </w:tc>
        <w:tc>
          <w:tcPr>
            <w:tcW w:type="dxa" w:w="28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13.140 mW (0.395 mW Leakage, 12.745 mW Dynamic)</w:t>
            </w:r>
          </w:p>
        </w:tc>
        <w:tc>
          <w:tcPr>
            <w:tcW w:type="dxa" w:w="388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Easily integrated into ultra-low-power mobile and IoT power management ICs.</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Arithmetic Throughput</w:t>
            </w:r>
          </w:p>
        </w:tc>
        <w:tc>
          <w:tcPr>
            <w:tcW w:type="dxa" w:w="28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3.2 GMACs/s (6.4 GOPs/s @ 200 MHz)</w:t>
            </w:r>
          </w:p>
        </w:tc>
        <w:tc>
          <w:tcPr>
            <w:tcW w:type="dxa" w:w="388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High sustained throughput for edge computer vision and transformer attention layers.</w:t>
            </w:r>
          </w:p>
        </w:tc>
      </w:tr>
      <w:tr>
        <w:tc>
          <w:tcPr>
            <w:tcW w:type="dxa" w:w="2592"/>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Energy Efficiency Metric</w:t>
            </w:r>
          </w:p>
        </w:tc>
        <w:tc>
          <w:tcPr>
            <w:tcW w:type="dxa" w:w="2880"/>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0.41 pJ per MAC operation</w:t>
            </w:r>
          </w:p>
        </w:tc>
        <w:tc>
          <w:tcPr>
            <w:tcW w:type="dxa" w:w="3888"/>
            <w:shd w:val="clear" w:color="auto" w:fill="FFFFFF"/>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Superior energy efficiency compared to commercial microcontrollers and edge DSPs.</w:t>
            </w:r>
          </w:p>
        </w:tc>
      </w:tr>
      <w:tr>
        <w:tc>
          <w:tcPr>
            <w:tcW w:type="dxa" w:w="2592"/>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Thermal Dissipation Requirement</w:t>
            </w:r>
          </w:p>
        </w:tc>
        <w:tc>
          <w:tcPr>
            <w:tcW w:type="dxa" w:w="2880"/>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Passive cooling (No active heat sink required)</w:t>
            </w:r>
          </w:p>
        </w:tc>
        <w:tc>
          <w:tcPr>
            <w:tcW w:type="dxa" w:w="3888"/>
            <w:shd w:val="clear" w:color="auto" w:fill="F7FAFC"/>
            <w:tcMar>
              <w:top w:w="80" w:type="dxa"/>
              <w:bottom w:w="80" w:type="dxa"/>
              <w:left w:w="140" w:type="dxa"/>
              <w:right w:w="140" w:type="dxa"/>
            </w:tcMar>
          </w:tcPr>
          <w:p>
            <w:pPr>
              <w:spacing w:before="0" w:after="0" w:line="276" w:lineRule="auto"/>
              <w:jc w:val="left"/>
            </w:pPr>
            <w:r>
              <w:rPr>
                <w:rFonts w:ascii="Times New Roman" w:hAnsi="Times New Roman"/>
                <w:b w:val="0"/>
                <w:i w:val="0"/>
                <w:color w:val="000000"/>
                <w:sz w:val="19"/>
              </w:rPr>
              <w:t>Eliminates cooling fans and heat sinks, reducing overall system bill-of-materials (BOM).</w:t>
            </w:r>
          </w:p>
        </w:tc>
      </w:tr>
    </w:tbl>
    <w:p>
      <w:pPr>
        <w:spacing w:before="0" w:after="120"/>
      </w:pPr>
    </w:p>
    <w:p>
      <w:pPr>
        <w:spacing w:before="80" w:after="280" w:line="360" w:lineRule="auto"/>
        <w:jc w:val="both"/>
      </w:pPr>
      <w:r>
        <w:rPr>
          <w:rFonts w:ascii="Times New Roman" w:hAnsi="Times New Roman"/>
          <w:b w:val="0"/>
          <w:i w:val="0"/>
          <w:color w:val="000000"/>
          <w:sz w:val="24"/>
        </w:rPr>
        <w:t>The total silicon area of 0.0893 mm² in 90nm bulk CMOS translates to negligible die cost (fractions of a cent per chip in volume production). Operating at 13.14 mW, the chip requires zero active cooling, reducing system-level packaging costs and enabling battery-powered deployment for multi-year lifespans.</w:t>
      </w:r>
    </w:p>
    <w:p>
      <w:pPr>
        <w:keepNext/>
        <w:spacing w:before="360" w:after="160"/>
        <w:jc w:val="left"/>
      </w:pPr>
      <w:r>
        <w:rPr>
          <w:rFonts w:ascii="Times New Roman" w:hAnsi="Times New Roman"/>
          <w:b/>
          <w:i w:val="0"/>
          <w:color w:val="1A365D"/>
          <w:sz w:val="28"/>
        </w:rPr>
        <w:t>12. PROJECT OUTCOME PUBLICATION/PATENT</w:t>
      </w:r>
    </w:p>
    <w:p>
      <w:pPr>
        <w:spacing w:before="80" w:after="160" w:line="360" w:lineRule="auto"/>
        <w:jc w:val="both"/>
      </w:pPr>
      <w:r>
        <w:rPr>
          <w:rFonts w:ascii="Times New Roman" w:hAnsi="Times New Roman"/>
          <w:b w:val="0"/>
          <w:i w:val="0"/>
          <w:color w:val="000000"/>
          <w:sz w:val="24"/>
        </w:rPr>
        <w:t>The novel microarchitectural innovations, mathematical formulations, and synthesis results produced during this research are targeted for dissemination in premier IEEE peer-reviewed publications and intellectual property filings:</w:t>
      </w:r>
    </w:p>
    <w:p>
      <w:pPr>
        <w:spacing w:before="0" w:after="160" w:line="360" w:lineRule="auto"/>
        <w:jc w:val="both"/>
      </w:pPr>
      <w:r>
        <w:rPr>
          <w:rFonts w:ascii="Times New Roman" w:hAnsi="Times New Roman"/>
          <w:b/>
          <w:i w:val="0"/>
          <w:color w:val="000000"/>
          <w:sz w:val="24"/>
        </w:rPr>
        <w:t xml:space="preserve">1. Targeted Peer-Reviewed Journal / Conference Manuscript: </w:t>
      </w:r>
      <w:r>
        <w:rPr>
          <w:rFonts w:ascii="Times New Roman" w:hAnsi="Times New Roman"/>
          <w:b w:val="0"/>
          <w:i w:val="0"/>
          <w:color w:val="000000"/>
          <w:sz w:val="24"/>
        </w:rPr>
        <w:t>A complete research manuscript titled “PolyFlow-NPU: A Multi-Tenant Heterogeneous Spatial-Fission Deep Learning Accelerator with Dynamic Boundary Isolation” is in preparation for submission to the IEEE Transactions on Very Large Scale Integration Systems (TVLSI) or the IEEE International Symposium on Circuits and Systems (ISCAS 2026). The paper documents the heterogeneous fission paradigm, the 2-stage CSA PE datapath, and the comparative 90nm synthesis benchmarks.</w:t>
      </w:r>
    </w:p>
    <w:p>
      <w:pPr>
        <w:spacing w:before="0" w:after="320" w:line="360" w:lineRule="auto"/>
        <w:jc w:val="both"/>
      </w:pPr>
      <w:r>
        <w:rPr>
          <w:rFonts w:ascii="Times New Roman" w:hAnsi="Times New Roman"/>
          <w:b/>
          <w:i w:val="0"/>
          <w:color w:val="000000"/>
          <w:sz w:val="24"/>
        </w:rPr>
        <w:t xml:space="preserve">2. Intellectual Property (IP) Patent Claims: </w:t>
      </w:r>
      <w:r>
        <w:rPr>
          <w:rFonts w:ascii="Times New Roman" w:hAnsi="Times New Roman"/>
          <w:b w:val="0"/>
          <w:i w:val="0"/>
          <w:color w:val="000000"/>
          <w:sz w:val="24"/>
        </w:rPr>
        <w:t>The underlying architectural mechanisms have been structured into formal intellectual property disclosure claims, including: (Claim 1) A systolic array processing element comprising independent runtime-selectable Weight-Stationary and Output-Stationary dataflow modes with decoupled carry-save accumulation; (Claim 2) A zero-cycle spatial boundary bitmasking method for dynamic multi-tenant systolic array fission; and (Claim 3) An epoch-phase priority arbitration mechanism for heterogeneous neural processing units.</w:t>
      </w:r>
    </w:p>
    <w:p>
      <w:pPr>
        <w:sectPr>
          <w:pgSz w:w="11904" w:h="16836"/>
          <w:pgMar w:top="1382" w:right="1094" w:bottom="720" w:left="1685" w:header="720" w:footer="720" w:gutter="0"/>
          <w:cols w:space="720"/>
        </w:sectPr>
      </w:pPr>
    </w:p>
    <w:p>
      <w:pPr>
        <w:spacing w:before="400" w:after="320"/>
        <w:jc w:val="center"/>
      </w:pPr>
      <w:r>
        <w:rPr>
          <w:rFonts w:ascii="Times New Roman" w:hAnsi="Times New Roman"/>
          <w:b/>
          <w:i w:val="0"/>
          <w:color w:val="000000"/>
          <w:sz w:val="28"/>
        </w:rPr>
        <w:t>13. REFERENCES</w:t>
      </w:r>
    </w:p>
    <w:p>
      <w:pPr>
        <w:spacing w:after="240"/>
        <w:jc w:val="center"/>
      </w:pPr>
      <w:r>
        <w:rPr>
          <w:rFonts w:ascii="Times New Roman" w:hAnsi="Times New Roman"/>
          <w:b w:val="0"/>
          <w:i/>
          <w:color w:val="000000"/>
          <w:sz w:val="20"/>
        </w:rPr>
        <w:t>(Minimum 20 references in IEEE Format)</w:t>
      </w:r>
    </w:p>
    <w:p>
      <w:pPr>
        <w:spacing w:before="40" w:after="80" w:line="276" w:lineRule="auto"/>
        <w:jc w:val="both"/>
      </w:pPr>
      <w:r>
        <w:rPr>
          <w:rFonts w:ascii="Times New Roman" w:hAnsi="Times New Roman"/>
          <w:b w:val="0"/>
          <w:i w:val="0"/>
          <w:color w:val="000000"/>
          <w:sz w:val="20"/>
        </w:rPr>
        <w:t>[1] S. Ghodrati, B. H. Ahn, J. K. Kim, et al., “Planaria: Dynamic Architecture Fission for Spatial Deep Learning Accelerators,” in ACM/IEEE International Symposium on Microarchitecture (MICRO), 2020, pp. 681–697.</w:t>
      </w:r>
    </w:p>
    <w:p>
      <w:pPr>
        <w:spacing w:before="40" w:after="80" w:line="276" w:lineRule="auto"/>
        <w:jc w:val="both"/>
      </w:pPr>
      <w:r>
        <w:rPr>
          <w:rFonts w:ascii="Times New Roman" w:hAnsi="Times New Roman"/>
          <w:b w:val="0"/>
          <w:i w:val="0"/>
          <w:color w:val="000000"/>
          <w:sz w:val="20"/>
        </w:rPr>
        <w:t>[2] N. P. Jouppi, C. Young, N. Patil, et al., “In-Datacenter Performance Analysis of a Tensor Processing Unit,” in ACM/IEEE International Symposium on Computer Architecture (ISCA), 2017, pp. 1–12.</w:t>
      </w:r>
    </w:p>
    <w:p>
      <w:pPr>
        <w:spacing w:before="40" w:after="80" w:line="276" w:lineRule="auto"/>
        <w:jc w:val="both"/>
      </w:pPr>
      <w:r>
        <w:rPr>
          <w:rFonts w:ascii="Times New Roman" w:hAnsi="Times New Roman"/>
          <w:b w:val="0"/>
          <w:i w:val="0"/>
          <w:color w:val="000000"/>
          <w:sz w:val="20"/>
        </w:rPr>
        <w:t>[3] N. P. Jouppi, G. Kurian, S. Li, et al., “TPU v4: An Optically Reconfigurable Supercomputer for Machine Learning with Hardware Support for Embeddings,” in ACM/IEEE International Symposium on Computer Architecture (ISCA), 2023, pp. 1–14.</w:t>
      </w:r>
    </w:p>
    <w:p>
      <w:pPr>
        <w:spacing w:before="40" w:after="80" w:line="276" w:lineRule="auto"/>
        <w:jc w:val="both"/>
      </w:pPr>
      <w:r>
        <w:rPr>
          <w:rFonts w:ascii="Times New Roman" w:hAnsi="Times New Roman"/>
          <w:b w:val="0"/>
          <w:i w:val="0"/>
          <w:color w:val="000000"/>
          <w:sz w:val="20"/>
        </w:rPr>
        <w:t>[4] Y.-H. Chen, T. Krishna, J. S. Emer, and V. Sze, “Eyeriss: An Energy-Efficient Accelerator for Deep Convolutional Neural Networks,” IEEE Journal of Solid-State Circuits (JSSC), vol. 52, no. 1, pp. 127–138, Jan. 2017.</w:t>
      </w:r>
    </w:p>
    <w:p>
      <w:pPr>
        <w:spacing w:before="40" w:after="80" w:line="276" w:lineRule="auto"/>
        <w:jc w:val="both"/>
      </w:pPr>
      <w:r>
        <w:rPr>
          <w:rFonts w:ascii="Times New Roman" w:hAnsi="Times New Roman"/>
          <w:b w:val="0"/>
          <w:i w:val="0"/>
          <w:color w:val="000000"/>
          <w:sz w:val="20"/>
        </w:rPr>
        <w:t>[5] H. Kwon, A. Samajdar, and T. Krishna, “MAERI: Enabling Flexible Dataflow Mapping over DNN Accelerators via Reconfigurable Interconnects,” in ACM International Conference on Architectural Support for Programming Languages and Operating Systems (ASPLOS), 2018, pp. 461–475.</w:t>
      </w:r>
    </w:p>
    <w:p>
      <w:pPr>
        <w:spacing w:before="40" w:after="80" w:line="276" w:lineRule="auto"/>
        <w:jc w:val="both"/>
      </w:pPr>
      <w:r>
        <w:rPr>
          <w:rFonts w:ascii="Times New Roman" w:hAnsi="Times New Roman"/>
          <w:b w:val="0"/>
          <w:i w:val="0"/>
          <w:color w:val="000000"/>
          <w:sz w:val="20"/>
        </w:rPr>
        <w:t>[6] J. Zhang, et al., “ReDaS: Reconfigurable Dataflow Switching for High-Performance Deep Learning Acceleration,” IEEE Transactions on Computers (TC), vol. 73, no. 4, pp. 912–926, Apr. 2024.</w:t>
      </w:r>
    </w:p>
    <w:p>
      <w:pPr>
        <w:spacing w:before="40" w:after="80" w:line="276" w:lineRule="auto"/>
        <w:jc w:val="both"/>
      </w:pPr>
      <w:r>
        <w:rPr>
          <w:rFonts w:ascii="Times New Roman" w:hAnsi="Times New Roman"/>
          <w:b w:val="0"/>
          <w:i w:val="0"/>
          <w:color w:val="000000"/>
          <w:sz w:val="20"/>
        </w:rPr>
        <w:t>[7] S.-C. Lin, et al., “PREMA: A Predictive Multi-Task Scheduling Algorithm for Preemptible Deep Learning Accelerators,” in IEEE International Symposium on High-Performance Computer Architecture (HPCA), 2020, pp. 248–260.</w:t>
      </w:r>
    </w:p>
    <w:p>
      <w:pPr>
        <w:spacing w:before="40" w:after="80" w:line="276" w:lineRule="auto"/>
        <w:jc w:val="both"/>
      </w:pPr>
      <w:r>
        <w:rPr>
          <w:rFonts w:ascii="Times New Roman" w:hAnsi="Times New Roman"/>
          <w:b w:val="0"/>
          <w:i w:val="0"/>
          <w:color w:val="000000"/>
          <w:sz w:val="20"/>
        </w:rPr>
        <w:t>[8] Z. Du, R. Fasthuber, T. Chen, et al., “ShiDianNao: Shifting Vision Processing Closer to the Sensor,” in ACM/IEEE International Symposium on Computer Architecture (ISCA), 2015, pp. 92–104.</w:t>
      </w:r>
    </w:p>
    <w:p>
      <w:pPr>
        <w:spacing w:before="40" w:after="80" w:line="276" w:lineRule="auto"/>
        <w:jc w:val="both"/>
      </w:pPr>
      <w:r>
        <w:rPr>
          <w:rFonts w:ascii="Times New Roman" w:hAnsi="Times New Roman"/>
          <w:b w:val="0"/>
          <w:i w:val="0"/>
          <w:color w:val="000000"/>
          <w:sz w:val="20"/>
        </w:rPr>
        <w:t>[9] Y. Shen, M. Ferdman, and P. Milder, “ScaleDeep: A Scalable Compute-in-Memory Architecture for Deep Neural Networks,” in ACM/IEEE International Symposium on Computer Architecture (ISCA), 2017, pp. 63–76.</w:t>
      </w:r>
    </w:p>
    <w:p>
      <w:pPr>
        <w:spacing w:before="40" w:after="80" w:line="276" w:lineRule="auto"/>
        <w:jc w:val="both"/>
      </w:pPr>
      <w:r>
        <w:rPr>
          <w:rFonts w:ascii="Times New Roman" w:hAnsi="Times New Roman"/>
          <w:b w:val="0"/>
          <w:i w:val="0"/>
          <w:color w:val="000000"/>
          <w:sz w:val="20"/>
        </w:rPr>
        <w:t>[10] A. Samajdar, J. M. Joseph, Y. Zhu, P. Whatmough, M. Mattina, and T. Krishna, “SCALE-Sim: Systolic CNN Accelerator Simulator,” IEEE International Symposium on Performance Analysis of Systems and Software (ISPASS), 2020, pp. 1–11.</w:t>
      </w:r>
    </w:p>
    <w:p>
      <w:pPr>
        <w:spacing w:before="40" w:after="80" w:line="276" w:lineRule="auto"/>
        <w:jc w:val="both"/>
      </w:pPr>
      <w:r>
        <w:rPr>
          <w:rFonts w:ascii="Times New Roman" w:hAnsi="Times New Roman"/>
          <w:b w:val="0"/>
          <w:i w:val="0"/>
          <w:color w:val="000000"/>
          <w:sz w:val="20"/>
        </w:rPr>
        <w:t>[11] V. Sze, Y.-H. Chen, T.-J. Yang, and J. S. Emer, “Efficient Processing of Deep Neural Networks: A Tutorial and Survey,” Proceedings of the IEEE, vol. 105, no. 12, pp. 2295–2329, Dec. 2017.</w:t>
      </w:r>
    </w:p>
    <w:p>
      <w:pPr>
        <w:spacing w:before="40" w:after="80" w:line="276" w:lineRule="auto"/>
        <w:jc w:val="both"/>
      </w:pPr>
      <w:r>
        <w:rPr>
          <w:rFonts w:ascii="Times New Roman" w:hAnsi="Times New Roman"/>
          <w:b w:val="0"/>
          <w:i w:val="0"/>
          <w:color w:val="000000"/>
          <w:sz w:val="20"/>
        </w:rPr>
        <w:t>[12] A. Vaswani, N. Shazeer, N. Parmar, J. Uszkoreit, L. Jones, A. N. Gomez, L. Kaiser, and I. Polosukhin, “Attention is All You Need,” in Advances in Neural Information Processing Systems (NeurIPS), 2017, pp. 5998–6008.</w:t>
      </w:r>
    </w:p>
    <w:p>
      <w:pPr>
        <w:spacing w:before="40" w:after="80" w:line="276" w:lineRule="auto"/>
        <w:jc w:val="both"/>
      </w:pPr>
      <w:r>
        <w:rPr>
          <w:rFonts w:ascii="Times New Roman" w:hAnsi="Times New Roman"/>
          <w:b w:val="0"/>
          <w:i w:val="0"/>
          <w:color w:val="000000"/>
          <w:sz w:val="20"/>
        </w:rPr>
        <w:t>[13] K. He, X. Zhang, S. Ren, and J. Sun, “Deep Residual Learning for Image Recognition,” in IEEE Conference on Computer Vision and Pattern Recognition (CVPR), 2016, pp. 770–778.</w:t>
      </w:r>
    </w:p>
    <w:p>
      <w:pPr>
        <w:spacing w:before="40" w:after="80" w:line="276" w:lineRule="auto"/>
        <w:jc w:val="both"/>
      </w:pPr>
      <w:r>
        <w:rPr>
          <w:rFonts w:ascii="Times New Roman" w:hAnsi="Times New Roman"/>
          <w:b w:val="0"/>
          <w:i w:val="0"/>
          <w:color w:val="000000"/>
          <w:sz w:val="20"/>
        </w:rPr>
        <w:t>[14] B. Reagen, P. Whatmough, R. Adolf, S. Rama, D. Lee, S. K. Lee, J. M. Hernandez-Lobato, G.-Y. Wei, and D. Brooks, “Minerva: Enabling Low-Power Deep Neural Network Accelerators,” in ACM/IEEE International Symposium on Computer Architecture (ISCA), 2016, pp. 267–278.</w:t>
      </w:r>
    </w:p>
    <w:p>
      <w:pPr>
        <w:spacing w:before="40" w:after="80" w:line="276" w:lineRule="auto"/>
        <w:jc w:val="both"/>
      </w:pPr>
      <w:r>
        <w:rPr>
          <w:rFonts w:ascii="Times New Roman" w:hAnsi="Times New Roman"/>
          <w:b w:val="0"/>
          <w:i w:val="0"/>
          <w:color w:val="000000"/>
          <w:sz w:val="20"/>
        </w:rPr>
        <w:t>[15] M. Alwani, H. Chen, M. Ferdman, and P. Milder, “Fused-Layer CNN Accelerators,” in ACM/IEEE International Symposium on Microarchitecture (MICRO), 2016, pp. 1–12.</w:t>
      </w:r>
    </w:p>
    <w:p>
      <w:pPr>
        <w:spacing w:before="40" w:after="80" w:line="276" w:lineRule="auto"/>
        <w:jc w:val="both"/>
      </w:pPr>
      <w:r>
        <w:rPr>
          <w:rFonts w:ascii="Times New Roman" w:hAnsi="Times New Roman"/>
          <w:b w:val="0"/>
          <w:i w:val="0"/>
          <w:color w:val="000000"/>
          <w:sz w:val="20"/>
        </w:rPr>
        <w:t>[16] P. Chi, S. Li, C. Xu, T. Zhang, J. Zhao, Y. Liu, Y. Wang, and Y. Xie, “PRIME: A Novel Processing-in-Memory Architecture for Neural Network Computation in ReRAM-Based Main Memory,” in ACM/IEEE International Symposium on Computer Architecture (ISCA), 2016, pp. 27–39.</w:t>
      </w:r>
    </w:p>
    <w:p>
      <w:pPr>
        <w:spacing w:before="40" w:after="80" w:line="276" w:lineRule="auto"/>
        <w:jc w:val="both"/>
      </w:pPr>
      <w:r>
        <w:rPr>
          <w:rFonts w:ascii="Times New Roman" w:hAnsi="Times New Roman"/>
          <w:b w:val="0"/>
          <w:i w:val="0"/>
          <w:color w:val="000000"/>
          <w:sz w:val="20"/>
        </w:rPr>
        <w:t>[17] F. N. Paravecino, L. Liu, and D. Wentzlaff, “Dynamic Slicing of Systolic Arrays for Efficient Multi-Tenant Deep Learning Acceleration,” IEEE Micro, vol. 41, no. 5, pp. 44–53, Sep. 2021.</w:t>
      </w:r>
    </w:p>
    <w:p>
      <w:pPr>
        <w:spacing w:before="40" w:after="80" w:line="276" w:lineRule="auto"/>
        <w:jc w:val="both"/>
      </w:pPr>
      <w:r>
        <w:rPr>
          <w:rFonts w:ascii="Times New Roman" w:hAnsi="Times New Roman"/>
          <w:b w:val="0"/>
          <w:i w:val="0"/>
          <w:color w:val="000000"/>
          <w:sz w:val="20"/>
        </w:rPr>
        <w:t>[18] Y. S. Shao, J. Clemons, R. Venkatesan, B. Zimmer, M. Fojtik, N. Jiang, B. Keller, et al., “Simba: Scaling Distributed-Memory Accelerators for Deep Learning,” in ACM/IEEE International Symposium on Microarchitecture (MICRO), 2019, pp. 647–661.</w:t>
      </w:r>
    </w:p>
    <w:p>
      <w:pPr>
        <w:spacing w:before="40" w:after="80" w:line="276" w:lineRule="auto"/>
        <w:jc w:val="both"/>
      </w:pPr>
      <w:r>
        <w:rPr>
          <w:rFonts w:ascii="Times New Roman" w:hAnsi="Times New Roman"/>
          <w:b w:val="0"/>
          <w:i w:val="0"/>
          <w:color w:val="000000"/>
          <w:sz w:val="20"/>
        </w:rPr>
        <w:t>[19] W. Lu, G. Yan, J. Li, S. Gong, N. Han, and X. Li, “FlexFlow: A Flexible Dataflow Accelerator for Deep Convolutional Neural Networks,” IEEE Transactions on Very Large Scale Integration (VLSI) Systems, vol. 29, no. 5, pp. 883–896, May 2021.</w:t>
      </w:r>
    </w:p>
    <w:p>
      <w:pPr>
        <w:spacing w:before="40" w:after="80" w:line="276" w:lineRule="auto"/>
        <w:jc w:val="both"/>
      </w:pPr>
      <w:r>
        <w:rPr>
          <w:rFonts w:ascii="Times New Roman" w:hAnsi="Times New Roman"/>
          <w:b w:val="0"/>
          <w:i w:val="0"/>
          <w:color w:val="000000"/>
          <w:sz w:val="20"/>
        </w:rPr>
        <w:t>[20] M. Gao, J. Pu, X. Yang, M. Horowitz, and C. Kozyrakis, “TETRIS: Scalable and Efficient Neural Network Acceleration with 3D Memory,” in ACM International Conference on Architectural Support for Programming Languages and Operating Systems (ASPLOS), 2017, pp. 751–764.</w:t>
      </w:r>
    </w:p>
    <w:p>
      <w:pPr>
        <w:spacing w:before="40" w:after="80" w:line="276" w:lineRule="auto"/>
        <w:jc w:val="both"/>
      </w:pPr>
      <w:r>
        <w:rPr>
          <w:rFonts w:ascii="Times New Roman" w:hAnsi="Times New Roman"/>
          <w:b w:val="0"/>
          <w:i w:val="0"/>
          <w:color w:val="000000"/>
          <w:sz w:val="20"/>
        </w:rPr>
        <w:t>[21] IEEE Standard for SystemVerilog—Unified Hardware Design, Specification, and Verification Language, IEEE Standard 1800-2017, Feb. 2018.</w:t>
      </w:r>
    </w:p>
    <w:p>
      <w:pPr>
        <w:spacing w:before="40" w:after="80" w:line="276" w:lineRule="auto"/>
        <w:jc w:val="both"/>
      </w:pPr>
      <w:r>
        <w:rPr>
          <w:rFonts w:ascii="Times New Roman" w:hAnsi="Times New Roman"/>
          <w:b w:val="0"/>
          <w:i w:val="0"/>
          <w:color w:val="000000"/>
          <w:sz w:val="20"/>
        </w:rPr>
        <w:t>[22] Cadence Design Systems, “Genus Synthesis Solution User Guide,” Product Version 21.14, Cadence Design Systems, Inc., San Jose, CA, USA, 2021.</w:t>
      </w:r>
    </w:p>
    <w:p>
      <w:pPr>
        <w:keepNext/>
        <w:spacing w:before="480" w:after="160"/>
        <w:jc w:val="left"/>
      </w:pPr>
      <w:r>
        <w:rPr>
          <w:rFonts w:ascii="Times New Roman" w:hAnsi="Times New Roman"/>
          <w:b/>
          <w:i w:val="0"/>
          <w:color w:val="1A365D"/>
          <w:sz w:val="28"/>
        </w:rPr>
        <w:t>14. APPENDIX A: HARDWARE ARTIFACTS &amp; CONSTRAINTS</w:t>
      </w:r>
    </w:p>
    <w:p>
      <w:pPr>
        <w:keepNext/>
        <w:spacing w:before="280" w:after="120"/>
        <w:jc w:val="left"/>
      </w:pPr>
      <w:r>
        <w:rPr>
          <w:rFonts w:ascii="Times New Roman" w:hAnsi="Times New Roman"/>
          <w:b/>
          <w:i w:val="0"/>
          <w:color w:val="2B6CB0"/>
          <w:sz w:val="26"/>
        </w:rPr>
        <w:t>A.1 Top-Level SystemVerilog Interface: hdf_top.sv</w:t>
      </w:r>
    </w:p>
    <w:p>
      <w:pPr>
        <w:spacing w:before="40" w:after="80" w:line="360" w:lineRule="auto"/>
        <w:jc w:val="both"/>
      </w:pPr>
      <w:r>
        <w:rPr>
          <w:rFonts w:ascii="Times New Roman" w:hAnsi="Times New Roman"/>
          <w:b w:val="0"/>
          <w:i w:val="0"/>
          <w:color w:val="000000"/>
          <w:sz w:val="24"/>
        </w:rPr>
        <w:t>The top-level SystemVerilog module (hdf_top.sv) encapsulates the complete heterogeneous fission systolic array. Listing A.1 provides the formal port interface definition.</w:t>
      </w:r>
    </w:p>
    <w:p>
      <w:pPr>
        <w:spacing w:before="80" w:after="160" w:line="240" w:lineRule="auto"/>
        <w:jc w:val="left"/>
      </w:pPr>
      <w:r>
        <w:rPr>
          <w:rFonts w:ascii="Courier New" w:hAnsi="Courier New"/>
          <w:b w:val="0"/>
          <w:i w:val="0"/>
          <w:color w:val="000000"/>
          <w:sz w:val="18"/>
        </w:rPr>
        <w:t>module hdf_top #(</w:t>
        <w:br/>
        <w:t xml:space="preserve">    parameter int DATA_W       = 8,</w:t>
        <w:br/>
        <w:t xml:space="preserve">    parameter int ACC_W        = 32,</w:t>
        <w:br/>
        <w:t xml:space="preserve">    parameter int NUM_ROWS     = 4,</w:t>
        <w:br/>
        <w:t xml:space="preserve">    parameter int NUM_COLS     = 4,</w:t>
        <w:br/>
        <w:t xml:space="preserve">    parameter int NUM_REGIONS  = 2,</w:t>
        <w:br/>
        <w:t xml:space="preserve">    parameter int REGION_W     = 1,</w:t>
        <w:br/>
        <w:t xml:space="preserve">    parameter int BW_W         = 8,</w:t>
        <w:br/>
        <w:t xml:space="preserve">    parameter int LIFETIME_W   = 4</w:t>
        <w:br/>
        <w:t>)(</w:t>
        <w:br/>
        <w:t xml:space="preserve">    input  logic                                 clk,</w:t>
        <w:br/>
        <w:t xml:space="preserve">    input  logic                                 rst_n,</w:t>
        <w:br/>
        <w:t xml:space="preserve">    input  logic                                 fission_mode,</w:t>
        <w:br/>
        <w:t xml:space="preserve">    input  logic [NUM_REGIONS-1:0]               region_mode_ws,</w:t>
        <w:br/>
        <w:t xml:space="preserve">    input  logic [NUM_REGIONS-1:0]               region_en,</w:t>
        <w:br/>
        <w:t xml:space="preserve">    input  logic [NUM_REGIONS-1:0][BW_W-1:0]     region_bw_weights,</w:t>
        <w:br/>
        <w:t xml:space="preserve">    input  logic [NUM_REGIONS-1:0][1:0]          region_phase,</w:t>
        <w:br/>
        <w:t xml:space="preserve">    input  logic [NUM_REGIONS-1:0][LIFETIME_W-1:0] tenant_lifetime,</w:t>
        <w:br/>
        <w:t xml:space="preserve">    input  logic [NUM_REGIONS-1:0]               tenant_done,</w:t>
        <w:br/>
        <w:t xml:space="preserve">    input  logic [NUM_ROWS-1:0][DATA_W-1:0]      north_in,</w:t>
        <w:br/>
        <w:t xml:space="preserve">    input  logic [NUM_COLS-1:0][DATA_W-1:0]      west_in,</w:t>
        <w:br/>
        <w:t xml:space="preserve">    output logic [NUM_ROWS-1:0][ACC_W-1:0]       south_out,</w:t>
        <w:br/>
        <w:t xml:space="preserve">    output logic [NUM_COLS-1:0][DATA_W-1:0]      east_out,</w:t>
        <w:br/>
        <w:t xml:space="preserve">    output logic [NUM_REGIONS-1:0]               region_grant,</w:t>
        <w:br/>
        <w:t xml:space="preserve">    output logic [NUM_REGIONS-1:0]               bank_scrub_done,</w:t>
        <w:br/>
        <w:t xml:space="preserve">    output logic [NUM_REGIONS-1:0]               otp_token_valid</w:t>
        <w:br/>
        <w:t>);</w:t>
      </w:r>
    </w:p>
    <w:p>
      <w:pPr>
        <w:keepNext/>
        <w:spacing w:before="280" w:after="120"/>
        <w:jc w:val="left"/>
      </w:pPr>
      <w:r>
        <w:rPr>
          <w:rFonts w:ascii="Times New Roman" w:hAnsi="Times New Roman"/>
          <w:b/>
          <w:i w:val="0"/>
          <w:color w:val="2B6CB0"/>
          <w:sz w:val="26"/>
        </w:rPr>
        <w:t>A.2 Synopsys Design Constraints: synth_hdf.sdc</w:t>
      </w:r>
    </w:p>
    <w:p>
      <w:pPr>
        <w:spacing w:before="40" w:after="80" w:line="360" w:lineRule="auto"/>
        <w:jc w:val="both"/>
      </w:pPr>
      <w:r>
        <w:rPr>
          <w:rFonts w:ascii="Times New Roman" w:hAnsi="Times New Roman"/>
          <w:b w:val="0"/>
          <w:i w:val="0"/>
          <w:color w:val="000000"/>
          <w:sz w:val="24"/>
        </w:rPr>
        <w:t>Listing A.2 presents the production SDC timing constraints applied during Cadence Genus logic synthesis at 200 MHz under slow.lib operating conditions.</w:t>
      </w:r>
    </w:p>
    <w:p>
      <w:pPr>
        <w:spacing w:before="80" w:after="160" w:line="240" w:lineRule="auto"/>
        <w:jc w:val="left"/>
      </w:pPr>
      <w:r>
        <w:rPr>
          <w:rFonts w:ascii="Courier New" w:hAnsi="Courier New"/>
          <w:b w:val="0"/>
          <w:i w:val="0"/>
          <w:color w:val="000000"/>
          <w:sz w:val="18"/>
        </w:rPr>
        <w:t># ------------------------------------------------------------</w:t>
        <w:br/>
        <w:t># Synopsys Design Constraints (synth_hdf.sdc) for PolyFlow-NPU</w:t>
        <w:br/>
        <w:t># Operating Corner: slow.lib (1.00V, 125C, balanced_tree)</w:t>
        <w:br/>
        <w:t># ------------------------------------------------------------</w:t>
        <w:br/>
        <w:t>create_clock -name clk -period 5.000 [get_ports clk]</w:t>
        <w:br/>
        <w:t>set_clock_uncertainty 0.050 [get_clocks clk]</w:t>
        <w:br/>
        <w:t>set_clock_transition  0.050 [get_clocks clk]</w:t>
        <w:br/>
        <w:t>set_input_delay  0.500 -clock clk [all_inputs -no_clocks]</w:t>
        <w:br/>
        <w:t>set_output_delay 0.500 -clock clk [all_outputs]</w:t>
        <w:br/>
        <w:t>set_driving_cell -lib_cell INVX1 [all_inputs -no_clocks]</w:t>
        <w:br/>
        <w:t>set_load 0.010 [all_outputs]</w:t>
        <w:br/>
        <w:t>set_ideal_network [get_ports rst_n]</w:t>
        <w:br/>
        <w:t>set_dont_touch_network [get_clocks clk]</w:t>
      </w:r>
    </w:p>
    <w:p>
      <w:pPr>
        <w:keepNext/>
        <w:spacing w:before="280" w:after="120"/>
        <w:jc w:val="left"/>
      </w:pPr>
      <w:r>
        <w:rPr>
          <w:rFonts w:ascii="Times New Roman" w:hAnsi="Times New Roman"/>
          <w:b/>
          <w:i w:val="0"/>
          <w:color w:val="2B6CB0"/>
          <w:sz w:val="26"/>
        </w:rPr>
        <w:t>A.3 SystemVerilog Assertions (SVA) Verification Checkers</w:t>
      </w:r>
    </w:p>
    <w:p>
      <w:pPr>
        <w:spacing w:before="40" w:after="80" w:line="360" w:lineRule="auto"/>
        <w:jc w:val="both"/>
      </w:pPr>
      <w:r>
        <w:rPr>
          <w:rFonts w:ascii="Times New Roman" w:hAnsi="Times New Roman"/>
          <w:b w:val="0"/>
          <w:i w:val="0"/>
          <w:color w:val="000000"/>
          <w:sz w:val="24"/>
        </w:rPr>
        <w:t>Formal SystemVerilog Assertions (SVA) embedded within the verification testbench guarantee zero inter-tenant data leakage and strict arbiter mutual exclusion:</w:t>
      </w:r>
    </w:p>
    <w:p>
      <w:pPr>
        <w:spacing w:before="80" w:after="240" w:line="240" w:lineRule="auto"/>
        <w:jc w:val="left"/>
      </w:pPr>
      <w:r>
        <w:rPr>
          <w:rFonts w:ascii="Courier New" w:hAnsi="Courier New"/>
          <w:b w:val="0"/>
          <w:i w:val="0"/>
          <w:color w:val="000000"/>
          <w:sz w:val="18"/>
        </w:rPr>
        <w:t>// Property 1: Zero-Cycle Boundary Isolation Verification</w:t>
        <w:br/>
        <w:t>property p_boundary_isolation;</w:t>
        <w:br/>
        <w:t xml:space="preserve">    @(posedge clk) disable iff (!rst_n)</w:t>
        <w:br/>
        <w:t xml:space="preserve">    (fission_mode == 1'b1) |-&gt; (u_array.col_boundary_active[1] == 1'b1 &amp;&amp;</w:t>
        <w:br/>
        <w:t xml:space="preserve">                                u_array.inter_region_crosstalk == 1'b0);</w:t>
        <w:br/>
        <w:t>endproperty</w:t>
        <w:br/>
        <w:t>assert property (p_boundary_isolation) else $error("CRITICAL: Boundary isolation breach!");</w:t>
        <w:br/>
        <w:br/>
        <w:t>// Property 2: Mutual Exclusion of Dedicated Bank Scrubbing</w:t>
        <w:br/>
        <w:t>property p_arbiter_mutex;</w:t>
        <w:br/>
        <w:t xml:space="preserve">    @(posedge clk) disable iff (!rst_n)</w:t>
        <w:br/>
        <w:t xml:space="preserve">    $onehot0(region_grant);</w:t>
        <w:br/>
        <w:t>endproperty</w:t>
        <w:br/>
        <w:t>assert property (p_arbiter_mutex) else $error("CRITICAL: Arbiter grant collision detected!");</w:t>
      </w:r>
    </w:p>
    <w:sectPr w:rsidR="00342C58">
      <w:pgSz w:w="11904" w:h="16836"/>
      <w:pgMar w:top="1382" w:right="1094" w:bottom="720" w:left="16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B56D2"/>
    <w:multiLevelType w:val="multilevel"/>
    <w:tmpl w:val="EF3A2478"/>
    <w:lvl w:ilvl="0">
      <w:start w:val="1"/>
      <w:numFmt w:val="decimal"/>
      <w:lvlText w:val="%1"/>
      <w:lvlJc w:val="left"/>
      <w:pPr>
        <w:ind w:left="1041" w:hanging="452"/>
        <w:jc w:val="left"/>
      </w:pPr>
      <w:rPr>
        <w:rFonts w:hint="default"/>
        <w:w w:val="99"/>
        <w:lang w:val="en-US" w:eastAsia="en-US" w:bidi="ar-SA"/>
      </w:rPr>
    </w:lvl>
    <w:lvl w:ilvl="1">
      <w:start w:val="1"/>
      <w:numFmt w:val="decimal"/>
      <w:lvlText w:val="%1.%2"/>
      <w:lvlJc w:val="left"/>
      <w:pPr>
        <w:ind w:left="1579" w:hanging="538"/>
        <w:jc w:val="left"/>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522" w:hanging="538"/>
      </w:pPr>
      <w:rPr>
        <w:rFonts w:hint="default"/>
        <w:lang w:val="en-US" w:eastAsia="en-US" w:bidi="ar-SA"/>
      </w:rPr>
    </w:lvl>
    <w:lvl w:ilvl="4">
      <w:numFmt w:val="bullet"/>
      <w:lvlText w:val="•"/>
      <w:lvlJc w:val="left"/>
      <w:pPr>
        <w:ind w:left="3465" w:hanging="538"/>
      </w:pPr>
      <w:rPr>
        <w:rFonts w:hint="default"/>
        <w:lang w:val="en-US" w:eastAsia="en-US" w:bidi="ar-SA"/>
      </w:rPr>
    </w:lvl>
    <w:lvl w:ilvl="5">
      <w:numFmt w:val="bullet"/>
      <w:lvlText w:val="•"/>
      <w:lvlJc w:val="left"/>
      <w:pPr>
        <w:ind w:left="4407" w:hanging="538"/>
      </w:pPr>
      <w:rPr>
        <w:rFonts w:hint="default"/>
        <w:lang w:val="en-US" w:eastAsia="en-US" w:bidi="ar-SA"/>
      </w:rPr>
    </w:lvl>
    <w:lvl w:ilvl="6">
      <w:numFmt w:val="bullet"/>
      <w:lvlText w:val="•"/>
      <w:lvlJc w:val="left"/>
      <w:pPr>
        <w:ind w:left="5350" w:hanging="538"/>
      </w:pPr>
      <w:rPr>
        <w:rFonts w:hint="default"/>
        <w:lang w:val="en-US" w:eastAsia="en-US" w:bidi="ar-SA"/>
      </w:rPr>
    </w:lvl>
    <w:lvl w:ilvl="7">
      <w:numFmt w:val="bullet"/>
      <w:lvlText w:val="•"/>
      <w:lvlJc w:val="left"/>
      <w:pPr>
        <w:ind w:left="6292" w:hanging="538"/>
      </w:pPr>
      <w:rPr>
        <w:rFonts w:hint="default"/>
        <w:lang w:val="en-US" w:eastAsia="en-US" w:bidi="ar-SA"/>
      </w:rPr>
    </w:lvl>
    <w:lvl w:ilvl="8">
      <w:numFmt w:val="bullet"/>
      <w:lvlText w:val="•"/>
      <w:lvlJc w:val="left"/>
      <w:pPr>
        <w:ind w:left="7235" w:hanging="538"/>
      </w:pPr>
      <w:rPr>
        <w:rFonts w:hint="default"/>
        <w:lang w:val="en-US" w:eastAsia="en-US" w:bidi="ar-SA"/>
      </w:rPr>
    </w:lvl>
  </w:abstractNum>
  <w:abstractNum w:abstractNumId="1">
    <w:nsid w:val="28F0278B"/>
    <w:multiLevelType w:val="hybridMultilevel"/>
    <w:tmpl w:val="BBBA756C"/>
    <w:lvl w:ilvl="0" w:tplc="CE3A1F50">
      <w:start w:val="1"/>
      <w:numFmt w:val="decimal"/>
      <w:lvlText w:val="%1."/>
      <w:lvlJc w:val="left"/>
      <w:pPr>
        <w:ind w:left="1401" w:hanging="360"/>
      </w:pPr>
      <w:rPr>
        <w:rFonts w:hint="default"/>
      </w:rPr>
    </w:lvl>
    <w:lvl w:ilvl="1" w:tplc="40090019" w:tentative="1">
      <w:start w:val="1"/>
      <w:numFmt w:val="lowerLetter"/>
      <w:lvlText w:val="%2."/>
      <w:lvlJc w:val="left"/>
      <w:pPr>
        <w:ind w:left="2121" w:hanging="360"/>
      </w:pPr>
    </w:lvl>
    <w:lvl w:ilvl="2" w:tplc="4009001B" w:tentative="1">
      <w:start w:val="1"/>
      <w:numFmt w:val="lowerRoman"/>
      <w:lvlText w:val="%3."/>
      <w:lvlJc w:val="right"/>
      <w:pPr>
        <w:ind w:left="2841" w:hanging="180"/>
      </w:pPr>
    </w:lvl>
    <w:lvl w:ilvl="3" w:tplc="4009000F" w:tentative="1">
      <w:start w:val="1"/>
      <w:numFmt w:val="decimal"/>
      <w:lvlText w:val="%4."/>
      <w:lvlJc w:val="left"/>
      <w:pPr>
        <w:ind w:left="3561" w:hanging="360"/>
      </w:pPr>
    </w:lvl>
    <w:lvl w:ilvl="4" w:tplc="40090019" w:tentative="1">
      <w:start w:val="1"/>
      <w:numFmt w:val="lowerLetter"/>
      <w:lvlText w:val="%5."/>
      <w:lvlJc w:val="left"/>
      <w:pPr>
        <w:ind w:left="4281" w:hanging="360"/>
      </w:pPr>
    </w:lvl>
    <w:lvl w:ilvl="5" w:tplc="4009001B" w:tentative="1">
      <w:start w:val="1"/>
      <w:numFmt w:val="lowerRoman"/>
      <w:lvlText w:val="%6."/>
      <w:lvlJc w:val="right"/>
      <w:pPr>
        <w:ind w:left="5001" w:hanging="180"/>
      </w:pPr>
    </w:lvl>
    <w:lvl w:ilvl="6" w:tplc="4009000F" w:tentative="1">
      <w:start w:val="1"/>
      <w:numFmt w:val="decimal"/>
      <w:lvlText w:val="%7."/>
      <w:lvlJc w:val="left"/>
      <w:pPr>
        <w:ind w:left="5721" w:hanging="360"/>
      </w:pPr>
    </w:lvl>
    <w:lvl w:ilvl="7" w:tplc="40090019" w:tentative="1">
      <w:start w:val="1"/>
      <w:numFmt w:val="lowerLetter"/>
      <w:lvlText w:val="%8."/>
      <w:lvlJc w:val="left"/>
      <w:pPr>
        <w:ind w:left="6441" w:hanging="360"/>
      </w:pPr>
    </w:lvl>
    <w:lvl w:ilvl="8" w:tplc="4009001B" w:tentative="1">
      <w:start w:val="1"/>
      <w:numFmt w:val="lowerRoman"/>
      <w:lvlText w:val="%9."/>
      <w:lvlJc w:val="right"/>
      <w:pPr>
        <w:ind w:left="7161" w:hanging="180"/>
      </w:pPr>
    </w:lvl>
  </w:abstractNum>
  <w:abstractNum w:abstractNumId="2">
    <w:nsid w:val="341A10B8"/>
    <w:multiLevelType w:val="hybridMultilevel"/>
    <w:tmpl w:val="103EA000"/>
    <w:lvl w:ilvl="0" w:tplc="AFF847E0">
      <w:start w:val="5"/>
      <w:numFmt w:val="decimal"/>
      <w:lvlText w:val="[%1]"/>
      <w:lvlJc w:val="left"/>
      <w:pPr>
        <w:ind w:left="825" w:hanging="346"/>
        <w:jc w:val="left"/>
      </w:pPr>
      <w:rPr>
        <w:rFonts w:ascii="Times New Roman" w:eastAsia="Times New Roman" w:hAnsi="Times New Roman" w:cs="Times New Roman" w:hint="default"/>
        <w:spacing w:val="0"/>
        <w:w w:val="99"/>
        <w:sz w:val="24"/>
        <w:szCs w:val="24"/>
        <w:lang w:val="en-US" w:eastAsia="en-US" w:bidi="ar-SA"/>
      </w:rPr>
    </w:lvl>
    <w:lvl w:ilvl="1" w:tplc="AC1418D4">
      <w:numFmt w:val="bullet"/>
      <w:lvlText w:val="•"/>
      <w:lvlJc w:val="left"/>
      <w:pPr>
        <w:ind w:left="1650" w:hanging="346"/>
      </w:pPr>
      <w:rPr>
        <w:rFonts w:hint="default"/>
        <w:lang w:val="en-US" w:eastAsia="en-US" w:bidi="ar-SA"/>
      </w:rPr>
    </w:lvl>
    <w:lvl w:ilvl="2" w:tplc="E8B86B2A">
      <w:numFmt w:val="bullet"/>
      <w:lvlText w:val="•"/>
      <w:lvlJc w:val="left"/>
      <w:pPr>
        <w:ind w:left="2480" w:hanging="346"/>
      </w:pPr>
      <w:rPr>
        <w:rFonts w:hint="default"/>
        <w:lang w:val="en-US" w:eastAsia="en-US" w:bidi="ar-SA"/>
      </w:rPr>
    </w:lvl>
    <w:lvl w:ilvl="3" w:tplc="9C26FB62">
      <w:numFmt w:val="bullet"/>
      <w:lvlText w:val="•"/>
      <w:lvlJc w:val="left"/>
      <w:pPr>
        <w:ind w:left="3310" w:hanging="346"/>
      </w:pPr>
      <w:rPr>
        <w:rFonts w:hint="default"/>
        <w:lang w:val="en-US" w:eastAsia="en-US" w:bidi="ar-SA"/>
      </w:rPr>
    </w:lvl>
    <w:lvl w:ilvl="4" w:tplc="740C890A">
      <w:numFmt w:val="bullet"/>
      <w:lvlText w:val="•"/>
      <w:lvlJc w:val="left"/>
      <w:pPr>
        <w:ind w:left="4140" w:hanging="346"/>
      </w:pPr>
      <w:rPr>
        <w:rFonts w:hint="default"/>
        <w:lang w:val="en-US" w:eastAsia="en-US" w:bidi="ar-SA"/>
      </w:rPr>
    </w:lvl>
    <w:lvl w:ilvl="5" w:tplc="CF046ABA">
      <w:numFmt w:val="bullet"/>
      <w:lvlText w:val="•"/>
      <w:lvlJc w:val="left"/>
      <w:pPr>
        <w:ind w:left="4970" w:hanging="346"/>
      </w:pPr>
      <w:rPr>
        <w:rFonts w:hint="default"/>
        <w:lang w:val="en-US" w:eastAsia="en-US" w:bidi="ar-SA"/>
      </w:rPr>
    </w:lvl>
    <w:lvl w:ilvl="6" w:tplc="EC96CEDE">
      <w:numFmt w:val="bullet"/>
      <w:lvlText w:val="•"/>
      <w:lvlJc w:val="left"/>
      <w:pPr>
        <w:ind w:left="5800" w:hanging="346"/>
      </w:pPr>
      <w:rPr>
        <w:rFonts w:hint="default"/>
        <w:lang w:val="en-US" w:eastAsia="en-US" w:bidi="ar-SA"/>
      </w:rPr>
    </w:lvl>
    <w:lvl w:ilvl="7" w:tplc="AB94D17A">
      <w:numFmt w:val="bullet"/>
      <w:lvlText w:val="•"/>
      <w:lvlJc w:val="left"/>
      <w:pPr>
        <w:ind w:left="6630" w:hanging="346"/>
      </w:pPr>
      <w:rPr>
        <w:rFonts w:hint="default"/>
        <w:lang w:val="en-US" w:eastAsia="en-US" w:bidi="ar-SA"/>
      </w:rPr>
    </w:lvl>
    <w:lvl w:ilvl="8" w:tplc="EBC0D85C">
      <w:numFmt w:val="bullet"/>
      <w:lvlText w:val="•"/>
      <w:lvlJc w:val="left"/>
      <w:pPr>
        <w:ind w:left="7460" w:hanging="346"/>
      </w:pPr>
      <w:rPr>
        <w:rFonts w:hint="default"/>
        <w:lang w:val="en-US" w:eastAsia="en-US" w:bidi="ar-SA"/>
      </w:rPr>
    </w:lvl>
  </w:abstractNum>
  <w:abstractNum w:abstractNumId="3">
    <w:nsid w:val="78C320CB"/>
    <w:multiLevelType w:val="hybridMultilevel"/>
    <w:tmpl w:val="7ADCEE82"/>
    <w:lvl w:ilvl="0" w:tplc="8432D80E">
      <w:start w:val="1"/>
      <w:numFmt w:val="decimal"/>
      <w:lvlText w:val="[%1]"/>
      <w:lvlJc w:val="left"/>
      <w:pPr>
        <w:ind w:left="840" w:hanging="394"/>
        <w:jc w:val="left"/>
      </w:pPr>
      <w:rPr>
        <w:rFonts w:ascii="Times New Roman" w:eastAsia="Times New Roman" w:hAnsi="Times New Roman" w:cs="Times New Roman" w:hint="default"/>
        <w:spacing w:val="0"/>
        <w:w w:val="99"/>
        <w:sz w:val="24"/>
        <w:szCs w:val="24"/>
        <w:lang w:val="en-US" w:eastAsia="en-US" w:bidi="ar-SA"/>
      </w:rPr>
    </w:lvl>
    <w:lvl w:ilvl="1" w:tplc="0AD4E44A">
      <w:numFmt w:val="bullet"/>
      <w:lvlText w:val="•"/>
      <w:lvlJc w:val="left"/>
      <w:pPr>
        <w:ind w:left="1668" w:hanging="394"/>
      </w:pPr>
      <w:rPr>
        <w:rFonts w:hint="default"/>
        <w:lang w:val="en-US" w:eastAsia="en-US" w:bidi="ar-SA"/>
      </w:rPr>
    </w:lvl>
    <w:lvl w:ilvl="2" w:tplc="A4E0C164">
      <w:numFmt w:val="bullet"/>
      <w:lvlText w:val="•"/>
      <w:lvlJc w:val="left"/>
      <w:pPr>
        <w:ind w:left="2496" w:hanging="394"/>
      </w:pPr>
      <w:rPr>
        <w:rFonts w:hint="default"/>
        <w:lang w:val="en-US" w:eastAsia="en-US" w:bidi="ar-SA"/>
      </w:rPr>
    </w:lvl>
    <w:lvl w:ilvl="3" w:tplc="AAF037D0">
      <w:numFmt w:val="bullet"/>
      <w:lvlText w:val="•"/>
      <w:lvlJc w:val="left"/>
      <w:pPr>
        <w:ind w:left="3324" w:hanging="394"/>
      </w:pPr>
      <w:rPr>
        <w:rFonts w:hint="default"/>
        <w:lang w:val="en-US" w:eastAsia="en-US" w:bidi="ar-SA"/>
      </w:rPr>
    </w:lvl>
    <w:lvl w:ilvl="4" w:tplc="AB28AE5A">
      <w:numFmt w:val="bullet"/>
      <w:lvlText w:val="•"/>
      <w:lvlJc w:val="left"/>
      <w:pPr>
        <w:ind w:left="4152" w:hanging="394"/>
      </w:pPr>
      <w:rPr>
        <w:rFonts w:hint="default"/>
        <w:lang w:val="en-US" w:eastAsia="en-US" w:bidi="ar-SA"/>
      </w:rPr>
    </w:lvl>
    <w:lvl w:ilvl="5" w:tplc="2BB4E958">
      <w:numFmt w:val="bullet"/>
      <w:lvlText w:val="•"/>
      <w:lvlJc w:val="left"/>
      <w:pPr>
        <w:ind w:left="4980" w:hanging="394"/>
      </w:pPr>
      <w:rPr>
        <w:rFonts w:hint="default"/>
        <w:lang w:val="en-US" w:eastAsia="en-US" w:bidi="ar-SA"/>
      </w:rPr>
    </w:lvl>
    <w:lvl w:ilvl="6" w:tplc="8E3E49BA">
      <w:numFmt w:val="bullet"/>
      <w:lvlText w:val="•"/>
      <w:lvlJc w:val="left"/>
      <w:pPr>
        <w:ind w:left="5808" w:hanging="394"/>
      </w:pPr>
      <w:rPr>
        <w:rFonts w:hint="default"/>
        <w:lang w:val="en-US" w:eastAsia="en-US" w:bidi="ar-SA"/>
      </w:rPr>
    </w:lvl>
    <w:lvl w:ilvl="7" w:tplc="DDF0DEF2">
      <w:numFmt w:val="bullet"/>
      <w:lvlText w:val="•"/>
      <w:lvlJc w:val="left"/>
      <w:pPr>
        <w:ind w:left="6636" w:hanging="394"/>
      </w:pPr>
      <w:rPr>
        <w:rFonts w:hint="default"/>
        <w:lang w:val="en-US" w:eastAsia="en-US" w:bidi="ar-SA"/>
      </w:rPr>
    </w:lvl>
    <w:lvl w:ilvl="8" w:tplc="71A09126">
      <w:numFmt w:val="bullet"/>
      <w:lvlText w:val="•"/>
      <w:lvlJc w:val="left"/>
      <w:pPr>
        <w:ind w:left="7464" w:hanging="394"/>
      </w:pPr>
      <w:rPr>
        <w:rFonts w:hint="default"/>
        <w:lang w:val="en-US" w:eastAsia="en-US" w:bidi="ar-SA"/>
      </w:rPr>
    </w:lvl>
  </w:abstractNum>
  <w:abstractNum w:abstractNumId="4">
    <w:nsid w:val="798F3B70"/>
    <w:multiLevelType w:val="multilevel"/>
    <w:tmpl w:val="547EFCBC"/>
    <w:lvl w:ilvl="0">
      <w:start w:val="1"/>
      <w:numFmt w:val="decimal"/>
      <w:lvlText w:val="%1."/>
      <w:lvlJc w:val="left"/>
      <w:pPr>
        <w:ind w:left="840" w:hanging="360"/>
        <w:jc w:val="left"/>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jc w:val="left"/>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813" w:hanging="423"/>
      </w:pPr>
      <w:rPr>
        <w:rFonts w:hint="default"/>
        <w:lang w:val="en-US" w:eastAsia="en-US" w:bidi="ar-SA"/>
      </w:rPr>
    </w:lvl>
    <w:lvl w:ilvl="3">
      <w:numFmt w:val="bullet"/>
      <w:lvlText w:val="•"/>
      <w:lvlJc w:val="left"/>
      <w:pPr>
        <w:ind w:left="2726" w:hanging="423"/>
      </w:pPr>
      <w:rPr>
        <w:rFonts w:hint="default"/>
        <w:lang w:val="en-US" w:eastAsia="en-US" w:bidi="ar-SA"/>
      </w:rPr>
    </w:lvl>
    <w:lvl w:ilvl="4">
      <w:numFmt w:val="bullet"/>
      <w:lvlText w:val="•"/>
      <w:lvlJc w:val="left"/>
      <w:pPr>
        <w:ind w:left="3640" w:hanging="423"/>
      </w:pPr>
      <w:rPr>
        <w:rFonts w:hint="default"/>
        <w:lang w:val="en-US" w:eastAsia="en-US" w:bidi="ar-SA"/>
      </w:rPr>
    </w:lvl>
    <w:lvl w:ilvl="5">
      <w:numFmt w:val="bullet"/>
      <w:lvlText w:val="•"/>
      <w:lvlJc w:val="left"/>
      <w:pPr>
        <w:ind w:left="4553" w:hanging="423"/>
      </w:pPr>
      <w:rPr>
        <w:rFonts w:hint="default"/>
        <w:lang w:val="en-US" w:eastAsia="en-US" w:bidi="ar-SA"/>
      </w:rPr>
    </w:lvl>
    <w:lvl w:ilvl="6">
      <w:numFmt w:val="bullet"/>
      <w:lvlText w:val="•"/>
      <w:lvlJc w:val="left"/>
      <w:pPr>
        <w:ind w:left="5466" w:hanging="423"/>
      </w:pPr>
      <w:rPr>
        <w:rFonts w:hint="default"/>
        <w:lang w:val="en-US" w:eastAsia="en-US" w:bidi="ar-SA"/>
      </w:rPr>
    </w:lvl>
    <w:lvl w:ilvl="7">
      <w:numFmt w:val="bullet"/>
      <w:lvlText w:val="•"/>
      <w:lvlJc w:val="left"/>
      <w:pPr>
        <w:ind w:left="6380" w:hanging="423"/>
      </w:pPr>
      <w:rPr>
        <w:rFonts w:hint="default"/>
        <w:lang w:val="en-US" w:eastAsia="en-US" w:bidi="ar-SA"/>
      </w:rPr>
    </w:lvl>
    <w:lvl w:ilvl="8">
      <w:numFmt w:val="bullet"/>
      <w:lvlText w:val="•"/>
      <w:lvlJc w:val="left"/>
      <w:pPr>
        <w:ind w:left="7293" w:hanging="423"/>
      </w:pPr>
      <w:rPr>
        <w:rFonts w:hint="default"/>
        <w:lang w:val="en-US" w:eastAsia="en-US" w:bidi="ar-SA"/>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42C58"/>
    <w:rsid w:val="000F3DFA"/>
    <w:rsid w:val="00121058"/>
    <w:rsid w:val="00342C58"/>
    <w:rsid w:val="003D3B8C"/>
    <w:rsid w:val="0043294E"/>
    <w:rsid w:val="00601BD8"/>
    <w:rsid w:val="007263AC"/>
    <w:rsid w:val="00857292"/>
    <w:rsid w:val="00DA6612"/>
    <w:rsid w:val="00DD1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137"/>
      <w:jc w:val="center"/>
      <w:outlineLvl w:val="0"/>
    </w:pPr>
    <w:rPr>
      <w:b/>
      <w:bCs/>
      <w:sz w:val="36"/>
      <w:szCs w:val="36"/>
      <w:u w:val="single" w:color="000000"/>
    </w:rPr>
  </w:style>
  <w:style w:type="paragraph" w:styleId="Heading2">
    <w:name w:val="heading 2"/>
    <w:basedOn w:val="Normal"/>
    <w:uiPriority w:val="1"/>
    <w:qFormat/>
    <w:pPr>
      <w:spacing w:before="75"/>
      <w:ind w:left="14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line="501" w:lineRule="exact"/>
      <w:ind w:left="15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A6612"/>
    <w:rPr>
      <w:rFonts w:ascii="Tahoma" w:hAnsi="Tahoma" w:cs="Tahoma"/>
      <w:sz w:val="16"/>
      <w:szCs w:val="16"/>
    </w:rPr>
  </w:style>
  <w:style w:type="character" w:customStyle="1" w:styleId="BalloonTextChar">
    <w:name w:val="Balloon Text Char"/>
    <w:basedOn w:val="DefaultParagraphFont"/>
    <w:link w:val="BalloonText"/>
    <w:uiPriority w:val="99"/>
    <w:semiHidden/>
    <w:rsid w:val="00DA661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137"/>
      <w:jc w:val="center"/>
      <w:outlineLvl w:val="0"/>
    </w:pPr>
    <w:rPr>
      <w:b/>
      <w:bCs/>
      <w:sz w:val="36"/>
      <w:szCs w:val="36"/>
      <w:u w:val="single" w:color="000000"/>
    </w:rPr>
  </w:style>
  <w:style w:type="paragraph" w:styleId="Heading2">
    <w:name w:val="heading 2"/>
    <w:basedOn w:val="Normal"/>
    <w:uiPriority w:val="1"/>
    <w:qFormat/>
    <w:pPr>
      <w:spacing w:before="75"/>
      <w:ind w:left="14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line="501" w:lineRule="exact"/>
      <w:ind w:left="15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A6612"/>
    <w:rPr>
      <w:rFonts w:ascii="Tahoma" w:hAnsi="Tahoma" w:cs="Tahoma"/>
      <w:sz w:val="16"/>
      <w:szCs w:val="16"/>
    </w:rPr>
  </w:style>
  <w:style w:type="character" w:customStyle="1" w:styleId="BalloonTextChar">
    <w:name w:val="Balloon Text Char"/>
    <w:basedOn w:val="DefaultParagraphFont"/>
    <w:link w:val="BalloonText"/>
    <w:uiPriority w:val="99"/>
    <w:semiHidden/>
    <w:rsid w:val="00DA661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www.alldatasheet.com/" TargetMode="External"/><Relationship Id="rId3" Type="http://schemas.microsoft.com/office/2007/relationships/stylesWithEffects" Target="stylesWithEffects.xml"/><Relationship Id="rId7" Type="http://schemas.openxmlformats.org/officeDocument/2006/relationships/hyperlink" Target="http://www.digike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2025-03-26T09:20:00Z</dcterms:created>
  <dcterms:modified xsi:type="dcterms:W3CDTF">2025-03-26T09:23:00Z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2024-10-13T00:00:00Z</vt:filetime>
  </property>
</Properties>
</file>