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B57"/>
        </w:rPr>
        <w:t>OIC Integration Privacy Review Report</w:t>
      </w:r>
    </w:p>
    <w:p>
      <w:r>
        <w:rPr>
          <w:i/>
        </w:rPr>
        <w:t>Generated 2026-09-23 — for Privacy team review</w:t>
      </w:r>
    </w:p>
    <w:p>
      <w:r>
        <w:t>This report is generated directly from Oracle Integration Cloud project exports. It lists, per integration: what data is sent, to which system, and whether that system is external to the company. Items flagged in red need privacy sign-off before activation.</w:t>
      </w:r>
    </w:p>
    <w:p>
      <w:pPr>
        <w:pStyle w:val="Heading1"/>
      </w:pPr>
      <w:r>
        <w:rPr>
          <w:color w:val="1F3B57"/>
        </w:rPr>
        <w:t>DocuSignTesting</w:t>
      </w:r>
    </w:p>
    <w:p>
      <w:r>
        <w:rPr>
          <w:i/>
        </w:rPr>
        <w:t>Project: DLR_TST_PRJ   |   Version: 01.00.0000   |   Status: ACTIVATED</w:t>
      </w:r>
    </w:p>
    <w:p>
      <w:pPr>
        <w:pStyle w:val="Heading2"/>
      </w:pPr>
      <w:r>
        <w:rPr>
          <w:color w:val="1F3B57"/>
        </w:rPr>
        <w:t>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Integration code</w:t>
            </w:r>
          </w:p>
        </w:tc>
        <w:tc>
          <w:tcPr>
            <w:tcW w:type="dxa" w:w="4320"/>
          </w:tcPr>
          <w:p>
            <w:r>
              <w:t>DOCUSIGNTESTING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4320"/>
          </w:tcPr>
          <w:p>
            <w:r>
              <w:t>Private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Trigger type</w:t>
            </w:r>
          </w:p>
        </w:tc>
        <w:tc>
          <w:tcPr>
            <w:tcW w:type="dxa" w:w="4320"/>
          </w:tcPr>
          <w:p>
            <w:r>
              <w:t>Scheduled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Uses connections</w:t>
            </w:r>
          </w:p>
        </w:tc>
        <w:tc>
          <w:tcPr>
            <w:tcW w:type="dxa" w:w="4320"/>
          </w:tcPr>
          <w:p>
            <w:r>
              <w:t>DOCUSIGN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Last updated by</w:t>
            </w:r>
          </w:p>
        </w:tc>
        <w:tc>
          <w:tcPr>
            <w:tcW w:type="dxa" w:w="4320"/>
          </w:tcPr>
          <w:p>
            <w:r>
              <w:t>grathina@digitalrealty.com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Last updated date</w:t>
            </w:r>
          </w:p>
        </w:tc>
        <w:tc>
          <w:tcPr>
            <w:tcW w:type="dxa" w:w="4320"/>
          </w:tcPr>
          <w:p>
            <w:r>
              <w:t>2026-09-22T14:31:07.513+0000</w:t>
            </w:r>
          </w:p>
        </w:tc>
      </w:tr>
    </w:tbl>
    <w:p>
      <w:pPr>
        <w:pStyle w:val="Heading2"/>
      </w:pPr>
      <w:r>
        <w:rPr>
          <w:color w:val="1F3B57"/>
        </w:rPr>
        <w:t>Connections &amp; external data flow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Connection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Adapter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External vendor?</w:t>
            </w:r>
          </w:p>
        </w:tc>
      </w:tr>
      <w:tr>
        <w:tc>
          <w:tcPr>
            <w:tcW w:type="dxa" w:w="2160"/>
            <w:shd w:fill="FDEAEA"/>
          </w:tcPr>
          <w:p>
            <w:r>
              <w:t>DOCUSIGN</w:t>
            </w:r>
          </w:p>
        </w:tc>
        <w:tc>
          <w:tcPr>
            <w:tcW w:type="dxa" w:w="2160"/>
            <w:shd w:fill="FDEAEA"/>
          </w:tcPr>
          <w:p>
            <w:r>
              <w:t>docusign</w:t>
            </w:r>
          </w:p>
        </w:tc>
        <w:tc>
          <w:tcPr>
            <w:tcW w:type="dxa" w:w="2160"/>
            <w:shd w:fill="FDEAEA"/>
          </w:tcPr>
          <w:p>
            <w:r>
              <w:t>TARGET (data sent out)</w:t>
            </w:r>
          </w:p>
        </w:tc>
        <w:tc>
          <w:tcPr>
            <w:tcW w:type="dxa" w:w="2160"/>
            <w:shd w:fill="FDEAEA"/>
          </w:tcPr>
          <w:p>
            <w:r>
              <w:t>Yes</w:t>
            </w:r>
          </w:p>
        </w:tc>
      </w:tr>
    </w:tbl>
    <w:p>
      <w:r>
        <w:rPr>
          <w:b/>
        </w:rPr>
        <w:t xml:space="preserve">Endpoint called: </w:t>
      </w:r>
      <w:r>
        <w:t>POST &lt;baseUrl&gt;/restapi/v2.1/accounts/{accountId}/envelopes (operation: sendEvnelopeFromTemplate_POST)</w:t>
      </w:r>
    </w:p>
    <w:p>
      <w:pPr>
        <w:pStyle w:val="Heading2"/>
      </w:pPr>
      <w:r>
        <w:rPr>
          <w:color w:val="1F3B57"/>
        </w:rPr>
        <w:t>Data elements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sent to vendor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 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Contains PII?</w:t>
            </w:r>
          </w:p>
        </w:tc>
      </w:tr>
      <w:tr>
        <w:tc>
          <w:tcPr>
            <w:tcW w:type="dxa" w:w="2160"/>
          </w:tcPr>
          <w:p>
            <w:r>
              <w:t>accountId</w:t>
            </w:r>
          </w:p>
        </w:tc>
        <w:tc>
          <w:tcPr>
            <w:tcW w:type="dxa" w:w="2160"/>
          </w:tcPr>
          <w:p>
            <w:r>
              <w:t>Hardcoded / fixed value</w:t>
            </w:r>
          </w:p>
        </w:tc>
        <w:tc>
          <w:tcPr>
            <w:tcW w:type="dxa" w:w="2160"/>
          </w:tcPr>
          <w:p>
            <w:r>
              <w:t>Configuration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Hardcoded / fixed value</w:t>
            </w:r>
          </w:p>
        </w:tc>
        <w:tc>
          <w:tcPr>
            <w:tcW w:type="dxa" w:w="2160"/>
          </w:tcPr>
          <w:p>
            <w:r>
              <w:t>Configuration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templateId</w:t>
            </w:r>
          </w:p>
        </w:tc>
        <w:tc>
          <w:tcPr>
            <w:tcW w:type="dxa" w:w="2160"/>
          </w:tcPr>
          <w:p>
            <w:r>
              <w:t>Hardcoded / fixed value</w:t>
            </w:r>
          </w:p>
        </w:tc>
        <w:tc>
          <w:tcPr>
            <w:tcW w:type="dxa" w:w="2160"/>
          </w:tcPr>
          <w:p>
            <w:r>
              <w:t>Configuration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  <w:shd w:fill="FDEAEA"/>
          </w:tcPr>
          <w:p>
            <w:r>
              <w:t>email</w:t>
            </w:r>
          </w:p>
        </w:tc>
        <w:tc>
          <w:tcPr>
            <w:tcW w:type="dxa" w:w="2160"/>
            <w:shd w:fill="FDEAEA"/>
          </w:tcPr>
          <w:p>
            <w:r>
              <w:t>Hardcoded / fixed value</w:t>
            </w:r>
          </w:p>
        </w:tc>
        <w:tc>
          <w:tcPr>
            <w:tcW w:type="dxa" w:w="2160"/>
            <w:shd w:fill="FDEAEA"/>
          </w:tcPr>
          <w:p>
            <w:r>
              <w:t>Configuration</w:t>
            </w:r>
          </w:p>
        </w:tc>
        <w:tc>
          <w:tcPr>
            <w:tcW w:type="dxa" w:w="2160"/>
            <w:shd w:fill="FDEAEA"/>
          </w:tcPr>
          <w:p>
            <w:r>
              <w:t>Yes</w:t>
            </w:r>
          </w:p>
        </w:tc>
      </w:tr>
      <w:tr>
        <w:tc>
          <w:tcPr>
            <w:tcW w:type="dxa" w:w="2160"/>
            <w:shd w:fill="FDEAEA"/>
          </w:tcPr>
          <w:p>
            <w:r>
              <w:t>name</w:t>
            </w:r>
          </w:p>
        </w:tc>
        <w:tc>
          <w:tcPr>
            <w:tcW w:type="dxa" w:w="2160"/>
            <w:shd w:fill="FDEAEA"/>
          </w:tcPr>
          <w:p>
            <w:r>
              <w:t>Hardcoded / fixed value</w:t>
            </w:r>
          </w:p>
        </w:tc>
        <w:tc>
          <w:tcPr>
            <w:tcW w:type="dxa" w:w="2160"/>
            <w:shd w:fill="FDEAEA"/>
          </w:tcPr>
          <w:p>
            <w:r>
              <w:t>Configuration</w:t>
            </w:r>
          </w:p>
        </w:tc>
        <w:tc>
          <w:tcPr>
            <w:tcW w:type="dxa" w:w="2160"/>
            <w:shd w:fill="FDEAEA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roleName</w:t>
            </w:r>
          </w:p>
        </w:tc>
        <w:tc>
          <w:tcPr>
            <w:tcW w:type="dxa" w:w="2160"/>
          </w:tcPr>
          <w:p>
            <w:r>
              <w:t>Hardcoded / fixed value</w:t>
            </w:r>
          </w:p>
        </w:tc>
        <w:tc>
          <w:tcPr>
            <w:tcW w:type="dxa" w:w="2160"/>
          </w:tcPr>
          <w:p>
            <w:r>
              <w:t>Configuration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rPr>
          <w:color w:val="1F3B57"/>
        </w:rPr>
        <w:t>Privacy flag</w:t>
      </w:r>
    </w:p>
    <w:p>
      <w:r>
        <w:rPr>
          <w:b/>
          <w:color w:val="B02A2A"/>
        </w:rPr>
        <w:t>REVIEW RECOMMENDED — this integration sends fields that look like personal data to a connection flagged as an external vendor. Confirm data processing agreement coverage and data minimization before this integration (or any change to it) goes live.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