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00"/>
      </w:pPr>
      <w:r>
        <w:t xml:space="preserve"/>
      </w:r>
    </w:p>
    <w:p>
      <w:pPr>
        <w:jc w:val="center"/>
      </w:pPr>
      <w:r>
        <w:rPr>
          <w:rFonts w:ascii="Arial" w:cs="Arial" w:eastAsia="Arial" w:hAnsi="Arial"/>
          <w:b/>
          <w:bCs/>
          <w:color w:val="5D6D7E"/>
          <w:spacing w:val="300"/>
          <w:sz w:val="20"/>
          <w:szCs w:val="20"/>
        </w:rPr>
        <w:t xml:space="preserve">ANTHROPIC</w:t>
      </w:r>
    </w:p>
    <w:p>
      <w:pPr>
        <w:jc w:val="center"/>
      </w:pPr>
      <w:r>
        <w:rPr>
          <w:rFonts w:ascii="Arial" w:cs="Arial" w:eastAsia="Arial" w:hAnsi="Arial"/>
          <w:color w:val="5D6D7E"/>
          <w:spacing w:val="200"/>
          <w:sz w:val="18"/>
          <w:szCs w:val="18"/>
        </w:rPr>
        <w:t xml:space="preserve">CLAUDE SONNET 4.6 &amp; OPUS 4.6</w:t>
      </w:r>
    </w:p>
    <w:p>
      <w:pPr>
        <w:spacing w:before="200" w:after="200"/>
      </w:pPr>
      <w:r>
        <w:t xml:space="preserve"/>
      </w:r>
    </w:p>
    <w:p>
      <w:pPr>
        <w:pBdr>
          <w:top w:val="single" w:color="2E86C1" w:sz="8"/>
          <w:bottom w:val="single" w:color="2E86C1" w:sz="8"/>
        </w:pBdr>
        <w:spacing w:before="200" w:after="200"/>
        <w:jc w:val="center"/>
      </w:pPr>
      <w:r>
        <w:rPr>
          <w:rFonts w:ascii="Arial" w:cs="Arial" w:eastAsia="Arial" w:hAnsi="Arial"/>
          <w:b/>
          <w:bCs/>
          <w:color w:val="0D1B2A"/>
          <w:sz w:val="64"/>
          <w:szCs w:val="64"/>
        </w:rPr>
        <w:t xml:space="preserve">Multi-Device Abuse &amp;</w:t>
      </w:r>
    </w:p>
    <w:p>
      <w:pPr>
        <w:jc w:val="center"/>
      </w:pPr>
      <w:r>
        <w:rPr>
          <w:rFonts w:ascii="Arial" w:cs="Arial" w:eastAsia="Arial" w:hAnsi="Arial"/>
          <w:b/>
          <w:bCs/>
          <w:color w:val="0D1B2A"/>
          <w:sz w:val="64"/>
          <w:szCs w:val="64"/>
        </w:rPr>
        <w:t xml:space="preserve">Relay Fraud Prevention</w:t>
      </w:r>
    </w:p>
    <w:p>
      <w:pPr>
        <w:jc w:val="center"/>
      </w:pPr>
      <w:r>
        <w:rPr>
          <w:rFonts w:ascii="Arial" w:cs="Arial" w:eastAsia="Arial" w:hAnsi="Arial"/>
          <w:b/>
          <w:bCs/>
          <w:color w:val="1B4F8A"/>
          <w:sz w:val="64"/>
          <w:szCs w:val="64"/>
        </w:rPr>
        <w:t xml:space="preserve">Framework</w:t>
      </w:r>
    </w:p>
    <w:p>
      <w:pPr>
        <w:spacing w:before="200" w:after="100"/>
      </w:pPr>
      <w:r>
        <w:t xml:space="preserve"/>
      </w:r>
    </w:p>
    <w:p>
      <w:pPr>
        <w:jc w:val="center"/>
      </w:pPr>
      <w:r>
        <w:rPr>
          <w:rFonts w:ascii="Arial" w:cs="Arial" w:eastAsia="Arial" w:hAnsi="Arial"/>
          <w:i/>
          <w:iCs/>
          <w:color w:val="2E86C1"/>
          <w:sz w:val="26"/>
          <w:szCs w:val="26"/>
        </w:rPr>
        <w:t xml:space="preserve">Production-Ready Design &amp; Implementation Blueprint</w:t>
      </w:r>
    </w:p>
    <w:p>
      <w:pPr>
        <w:spacing w:before="600" w:after="100"/>
      </w:pPr>
      <w:r>
        <w:t xml:space="preserve"/>
      </w:r>
    </w:p>
    <w:tbl>
      <w:tblPr>
        <w:tblW w:type="dxa" w:w="6000"/>
        <w:tblBorders>
          <w:top w:val="none"/>
          <w:left w:val="none"/>
          <w:bottom w:val="none"/>
          <w:right w:val="none"/>
          <w:insideH w:val="single" w:color="auto" w:sz="4"/>
          <w:insideV w:val="single" w:color="auto" w:sz="4"/>
        </w:tblBorders>
      </w:tblPr>
      <w:tblGrid>
        <w:gridCol w:w="3000"/>
        <w:gridCol w:w="3000"/>
      </w:tblGrid>
      <w:tr>
        <w:tc>
          <w:tcPr>
            <w:tcBorders>
              <w:top w:val="none"/>
              <w:left w:val="none"/>
              <w:bottom w:val="none"/>
              <w:right w:val="none"/>
            </w:tcBorders>
            <w:shd w:fill="F2F4F7" w:val="clear"/>
            <w:tcMar>
              <w:top w:type="dxa" w:w="100"/>
              <w:left w:type="dxa" w:w="160"/>
              <w:bottom w:type="dxa" w:w="100"/>
              <w:right w:type="dxa" w:w="160"/>
            </w:tcMar>
          </w:tcPr>
          <w:p>
            <w:r>
              <w:rPr>
                <w:rFonts w:ascii="Arial" w:cs="Arial" w:eastAsia="Arial" w:hAnsi="Arial"/>
                <w:b/>
                <w:bCs/>
                <w:color w:val="5D6D7E"/>
                <w:sz w:val="20"/>
                <w:szCs w:val="20"/>
              </w:rPr>
              <w:t xml:space="preserve">Version</w:t>
            </w:r>
          </w:p>
          <w:p>
            <w:r>
              <w:rPr>
                <w:rFonts w:ascii="Arial" w:cs="Arial" w:eastAsia="Arial" w:hAnsi="Arial"/>
                <w:color w:val="0D1B2A"/>
                <w:sz w:val="22"/>
                <w:szCs w:val="22"/>
              </w:rPr>
              <w:t xml:space="preserve">1.0 — Production Draft</w:t>
            </w:r>
          </w:p>
        </w:tc>
        <w:tc>
          <w:tcPr>
            <w:tcBorders>
              <w:top w:val="none"/>
              <w:left w:val="none"/>
              <w:bottom w:val="none"/>
              <w:right w:val="none"/>
            </w:tcBorders>
            <w:shd w:fill="F2F4F7" w:val="clear"/>
            <w:tcMar>
              <w:top w:type="dxa" w:w="100"/>
              <w:left w:type="dxa" w:w="160"/>
              <w:bottom w:type="dxa" w:w="100"/>
              <w:right w:type="dxa" w:w="160"/>
            </w:tcMar>
          </w:tcPr>
          <w:p>
            <w:r>
              <w:rPr>
                <w:rFonts w:ascii="Arial" w:cs="Arial" w:eastAsia="Arial" w:hAnsi="Arial"/>
                <w:b/>
                <w:bCs/>
                <w:color w:val="5D6D7E"/>
                <w:sz w:val="20"/>
                <w:szCs w:val="20"/>
              </w:rPr>
              <w:t xml:space="preserve">Date</w:t>
            </w:r>
          </w:p>
          <w:p>
            <w:r>
              <w:rPr>
                <w:rFonts w:ascii="Arial" w:cs="Arial" w:eastAsia="Arial" w:hAnsi="Arial"/>
                <w:color w:val="0D1B2A"/>
                <w:sz w:val="22"/>
                <w:szCs w:val="22"/>
              </w:rPr>
              <w:t xml:space="preserve">March 2026</w:t>
            </w:r>
          </w:p>
        </w:tc>
      </w:tr>
      <w:tr>
        <w:tc>
          <w:tcPr>
            <w:tcBorders>
              <w:top w:val="none"/>
              <w:left w:val="none"/>
              <w:bottom w:val="none"/>
              <w:right w:val="none"/>
            </w:tcBorders>
            <w:shd w:fill="F2F4F7" w:val="clear"/>
            <w:tcMar>
              <w:top w:type="dxa" w:w="100"/>
              <w:left w:type="dxa" w:w="160"/>
              <w:bottom w:type="dxa" w:w="100"/>
              <w:right w:type="dxa" w:w="160"/>
            </w:tcMar>
          </w:tcPr>
          <w:p>
            <w:r>
              <w:rPr>
                <w:rFonts w:ascii="Arial" w:cs="Arial" w:eastAsia="Arial" w:hAnsi="Arial"/>
                <w:b/>
                <w:bCs/>
                <w:color w:val="5D6D7E"/>
                <w:sz w:val="20"/>
                <w:szCs w:val="20"/>
              </w:rPr>
              <w:t xml:space="preserve">Classification</w:t>
            </w:r>
          </w:p>
          <w:p>
            <w:r>
              <w:rPr>
                <w:rFonts w:ascii="Arial" w:cs="Arial" w:eastAsia="Arial" w:hAnsi="Arial"/>
                <w:b/>
                <w:bCs/>
                <w:color w:val="E74C3C"/>
                <w:sz w:val="22"/>
                <w:szCs w:val="22"/>
              </w:rPr>
              <w:t xml:space="preserve">CONFIDENTIAL</w:t>
            </w:r>
          </w:p>
        </w:tc>
        <w:tc>
          <w:tcPr>
            <w:tcBorders>
              <w:top w:val="none"/>
              <w:left w:val="none"/>
              <w:bottom w:val="none"/>
              <w:right w:val="none"/>
            </w:tcBorders>
            <w:shd w:fill="F2F4F7" w:val="clear"/>
            <w:tcMar>
              <w:top w:type="dxa" w:w="100"/>
              <w:left w:type="dxa" w:w="160"/>
              <w:bottom w:type="dxa" w:w="100"/>
              <w:right w:type="dxa" w:w="160"/>
            </w:tcMar>
          </w:tcPr>
          <w:p>
            <w:r>
              <w:rPr>
                <w:rFonts w:ascii="Arial" w:cs="Arial" w:eastAsia="Arial" w:hAnsi="Arial"/>
                <w:b/>
                <w:bCs/>
                <w:color w:val="5D6D7E"/>
                <w:sz w:val="20"/>
                <w:szCs w:val="20"/>
              </w:rPr>
              <w:t xml:space="preserve">AI Models</w:t>
            </w:r>
          </w:p>
          <w:p>
            <w:r>
              <w:rPr>
                <w:rFonts w:ascii="Arial" w:cs="Arial" w:eastAsia="Arial" w:hAnsi="Arial"/>
                <w:color w:val="0D1B2A"/>
                <w:sz w:val="22"/>
                <w:szCs w:val="22"/>
              </w:rPr>
              <w:t xml:space="preserve">Claude Sonnet 4.6 + Opus 4.6</w:t>
            </w:r>
          </w:p>
        </w:tc>
      </w:tr>
    </w:tbl>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00</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Executive Summary</w:t>
            </w:r>
          </w:p>
          <w:p>
            <w:pPr>
              <w:spacing w:before="40"/>
            </w:pPr>
            <w:r>
              <w:rPr>
                <w:rFonts w:ascii="Arial" w:cs="Arial" w:eastAsia="Arial" w:hAnsi="Arial"/>
                <w:color w:val="D0E8FF"/>
                <w:sz w:val="20"/>
                <w:szCs w:val="20"/>
              </w:rPr>
              <w:t xml:space="preserve">Strategic overview and critical evaluation</w:t>
            </w:r>
          </w:p>
        </w:tc>
      </w:tr>
    </w:tbl>
    <w:p>
      <w:pPr>
        <w:spacing w:before="160" w:after="100"/>
      </w:pPr>
      <w:r>
        <w:t xml:space="preserve"/>
      </w:r>
    </w:p>
    <w:p>
      <w:pPr>
        <w:spacing w:before="80" w:after="80"/>
        <w:jc w:val="both"/>
      </w:pPr>
      <w:r>
        <w:rPr>
          <w:rFonts w:ascii="Arial" w:cs="Arial" w:eastAsia="Arial" w:hAnsi="Arial"/>
          <w:color w:val="1A1A2E"/>
          <w:sz w:val="22"/>
          <w:szCs w:val="22"/>
        </w:rPr>
        <w:t xml:space="preserve">This document provides a critically evaluated, production-ready blueprint for the Multi-Device Abuse and Relay Fraud Prevention Framework, purpose-built for deployment on Anthropic's Claude Sonnet 4.6 and Opus 4.6 models. Every claim in the source material has been verified against current industry standards, ISO/IEC 30107-3, GDPR Article 9, CCPA/CPRA, and real-world deployment patterns.</w:t>
      </w:r>
    </w:p>
    <w:p>
      <w:pPr>
        <w:spacing w:before="80" w:after="100"/>
      </w:pPr>
      <w:r>
        <w:t xml:space="preserve"/>
      </w:r>
    </w:p>
    <w:p>
      <w:pPr>
        <w:spacing w:before="80" w:after="80"/>
        <w:jc w:val="both"/>
      </w:pPr>
      <w:r>
        <w:rPr>
          <w:rFonts w:ascii="Arial" w:cs="Arial" w:eastAsia="Arial" w:hAnsi="Arial"/>
          <w:color w:val="1A1A2E"/>
          <w:sz w:val="22"/>
          <w:szCs w:val="22"/>
        </w:rPr>
        <w:t xml:space="preserve">The framework addresses six threat classes that traditional rule-based systems cannot detect in real time: multi-device abuse and account farming, account takeover (ATO) via credential stuffing, real-time relay and NFC proxy attacks, synthetic identity fraud, sophisticated biometric spoofing (deepfakes and 3D masks), and injection attacks via virtual cameras and emulators.</w:t>
      </w:r>
    </w:p>
    <w:p>
      <w:pPr>
        <w:spacing w:before="80" w:after="100"/>
      </w:pPr>
      <w:r>
        <w:t xml:space="preserve"/>
      </w:r>
    </w:p>
    <w:p>
      <w:pPr>
        <w:spacing w:before="80" w:after="80"/>
        <w:jc w:val="both"/>
      </w:pPr>
      <w:r>
        <w:rPr>
          <w:rFonts w:ascii="Arial" w:cs="Arial" w:eastAsia="Arial" w:hAnsi="Arial"/>
          <w:color w:val="1A1A2E"/>
          <w:sz w:val="22"/>
          <w:szCs w:val="22"/>
        </w:rPr>
        <w:t xml:space="preserve">The architecture combines five AI-powered analytical layers — advanced device fingerprinting, behavioral biometrics, graph-based entity link analysis, a real-time ML risk-scoring engine, and passive biometric liveness verification — unified by a microservices backbone ingesting events via Apache Kafka and processed by Apache Flink. All biometric data is treated as GDPR special-category data, processed under explicit opt-in consent with a full consent management platform (CMP), privacy mediation layer, and machine-unlearning capability for Right to Erasure compliance.</w:t>
      </w:r>
    </w:p>
    <w:p>
      <w:pPr>
        <w:spacing w:before="80" w:after="100"/>
      </w:pPr>
      <w:r>
        <w:t xml:space="preserve"/>
      </w:r>
    </w:p>
    <w:tbl>
      <w:tblPr>
        <w:tblW w:type="dxa" w:w="9360"/>
        <w:tblBorders>
          <w:top w:val="single" w:color="F39C12" w:sz="8"/>
          <w:left w:val="single" w:color="F39C12" w:sz="20"/>
          <w:bottom w:val="single" w:color="F39C12"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F39C12"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F39C12"/>
                <w:sz w:val="21"/>
                <w:szCs w:val="21"/>
              </w:rPr>
              <w:t xml:space="preserve">Critical Evaluation Note</w:t>
            </w:r>
          </w:p>
          <w:p>
            <w:pPr>
              <w:spacing w:before="0" w:after="0"/>
              <w:jc w:val="both"/>
            </w:pPr>
            <w:r>
              <w:rPr>
                <w:rFonts w:ascii="Arial" w:cs="Arial" w:eastAsia="Arial" w:hAnsi="Arial"/>
                <w:color w:val="1A1A2E"/>
                <w:sz w:val="21"/>
                <w:szCs w:val="21"/>
              </w:rPr>
              <w:t xml:space="preserve">The source documents correctly identify ISO/IEC 30107 as the relevant standard but fail to specify Part 3 (PAD — Presentation Attack Detection), which is the operative conformance target. This document corrects that. Additionally, the source's claim that LSTM achieves '97.9% accuracy' references a single controlled study; production systems should target 94–96% AUC with ensemble methods and continuous retraining, validated against live fraud data.</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Key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Metric</w:t>
            </w:r>
          </w:p>
        </w:tc>
        <w:tc>
          <w:tcPr>
            <w:tcW w:type="dxa" w:w="28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Target</w:t>
            </w:r>
          </w:p>
        </w:tc>
        <w:tc>
          <w:tcPr>
            <w:tcW w:type="dxa" w:w="28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Measurement Method</w:t>
            </w:r>
          </w:p>
        </w:tc>
      </w:tr>
      <w:tr>
        <w:trPr>
          <w:tblHeader w:val="false"/>
        </w:trP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End-to-end decisioning latency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200 ms (P99)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Server-side telemetry, Prometheus</w:t>
            </w:r>
          </w:p>
        </w:tc>
      </w:tr>
      <w:tr>
        <w:trPr>
          <w:tblHeader w:val="false"/>
        </w:trP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Liveness check completion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4 seconds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Client SDK timing events</w:t>
            </w:r>
          </w:p>
        </w:tc>
      </w:tr>
      <w:tr>
        <w:trPr>
          <w:tblHeader w:val="false"/>
        </w:trP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False Acceptance Rate (FAR)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0.1%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ISO/IEC 30107-3 PAD evaluation</w:t>
            </w:r>
          </w:p>
        </w:tc>
      </w:tr>
      <w:tr>
        <w:trPr>
          <w:tblHeader w:val="false"/>
        </w:trP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False Rejection Rate (FRR)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Legitimate user session sampling</w:t>
            </w:r>
          </w:p>
        </w:tc>
      </w:tr>
      <w:tr>
        <w:trPr>
          <w:tblHeader w:val="false"/>
        </w:trP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Fraudulent transaction reduction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&gt; 40% Year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Baseline A/B comparison</w:t>
            </w:r>
          </w:p>
        </w:tc>
      </w:tr>
      <w:tr>
        <w:trPr>
          <w:tblHeader w:val="false"/>
        </w:trP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ATO rate reduction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&gt; 50% Year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Post-deploy fraud ops analysis</w:t>
            </w:r>
          </w:p>
        </w:tc>
      </w:tr>
      <w:tr>
        <w:trPr>
          <w:tblHeader w:val="false"/>
        </w:trP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System uptime SLA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99.99%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Multi-zone active-active deployment</w:t>
            </w:r>
          </w:p>
        </w:tc>
      </w:tr>
      <w:tr>
        <w:trPr>
          <w:tblHeader w:val="false"/>
        </w:trP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Analyst investigation efficiency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+30%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Case resolution time tracking</w:t>
            </w:r>
          </w:p>
        </w:tc>
      </w:tr>
    </w:tbl>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01</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System Architecture</w:t>
            </w:r>
          </w:p>
          <w:p>
            <w:pPr>
              <w:spacing w:before="40"/>
            </w:pPr>
            <w:r>
              <w:rPr>
                <w:rFonts w:ascii="Arial" w:cs="Arial" w:eastAsia="Arial" w:hAnsi="Arial"/>
                <w:color w:val="D0E8FF"/>
                <w:sz w:val="20"/>
                <w:szCs w:val="20"/>
              </w:rPr>
              <w:t xml:space="preserve">End-to-end layered microservices design</w:t>
            </w:r>
          </w:p>
        </w:tc>
      </w:tr>
    </w:tbl>
    <w:p>
      <w:pPr>
        <w:spacing w:before="160" w:after="100"/>
      </w:pPr>
      <w:r>
        <w:t xml:space="preserve"/>
      </w:r>
    </w:p>
    <w:p>
      <w:pPr>
        <w:spacing w:before="80" w:after="80"/>
        <w:jc w:val="both"/>
      </w:pPr>
      <w:r>
        <w:rPr>
          <w:rFonts w:ascii="Arial" w:cs="Arial" w:eastAsia="Arial" w:hAnsi="Arial"/>
          <w:color w:val="1A1A2E"/>
          <w:sz w:val="22"/>
          <w:szCs w:val="22"/>
        </w:rPr>
        <w:t xml:space="preserve">The framework is built on a five-layer microservices architecture following Zero-Trust principles (ZTA). No component implicitly trusts another; every inter-service call is mutually authenticated via mTLS, scoped with short-lived JWTs, and logged to an immutable audit store.</w:t>
      </w:r>
    </w:p>
    <w:p>
      <w:pPr>
        <w:spacing w:before="120" w:after="100"/>
      </w:pPr>
      <w:r>
        <w:t xml:space="preserve"/>
      </w:r>
    </w:p>
    <w:p>
      <w:pPr>
        <w:pStyle w:val="Heading2"/>
        <w:spacing w:before="280" w:after="160"/>
      </w:pPr>
      <w:r>
        <w:rPr>
          <w:rFonts w:ascii="Arial" w:cs="Arial" w:eastAsia="Arial" w:hAnsi="Arial"/>
          <w:b/>
          <w:bCs/>
          <w:color w:val="1B4F8A"/>
          <w:sz w:val="28"/>
          <w:szCs w:val="28"/>
        </w:rPr>
        <w:t xml:space="preserve">1.1  Architecture Layers</w:t>
      </w:r>
    </w:p>
    <w:p>
      <w:pPr>
        <w:pStyle w:val="Heading3"/>
        <w:spacing w:before="220" w:after="120"/>
      </w:pPr>
      <w:r>
        <w:rPr>
          <w:rFonts w:ascii="Arial" w:cs="Arial" w:eastAsia="Arial" w:hAnsi="Arial"/>
          <w:b/>
          <w:bCs/>
          <w:color w:val="2E86C1"/>
          <w:sz w:val="24"/>
          <w:szCs w:val="24"/>
        </w:rPr>
        <w:t xml:space="preserve">Layer 1 — Data Ingestion</w:t>
      </w:r>
    </w:p>
    <w:p>
      <w:pPr>
        <w:pStyle w:val="ListParagraph"/>
        <w:numPr>
          <w:ilvl w:val="0"/>
          <w:numId w:val="2"/>
        </w:numPr>
        <w:spacing w:before="60" w:after="60"/>
        <w:ind w:left="720" w:hanging="360"/>
      </w:pPr>
      <w:r>
        <w:rPr>
          <w:rFonts w:ascii="Arial" w:cs="Arial" w:eastAsia="Arial" w:hAnsi="Arial"/>
          <w:color w:val="1A1A2E"/>
          <w:sz w:val="22"/>
          <w:szCs w:val="22"/>
        </w:rPr>
        <w:t xml:space="preserve">Web/Mobile SDKs collect device telemetry, behavioral streams, and video for liveness, then post to an API Gateway.</w:t>
      </w:r>
    </w:p>
    <w:p>
      <w:pPr>
        <w:pStyle w:val="ListParagraph"/>
        <w:numPr>
          <w:ilvl w:val="0"/>
          <w:numId w:val="2"/>
        </w:numPr>
        <w:spacing w:before="60" w:after="60"/>
        <w:ind w:left="720" w:hanging="360"/>
      </w:pPr>
      <w:r>
        <w:rPr>
          <w:rFonts w:ascii="Arial" w:cs="Arial" w:eastAsia="Arial" w:hAnsi="Arial"/>
          <w:color w:val="1A1A2E"/>
          <w:sz w:val="22"/>
          <w:szCs w:val="22"/>
        </w:rPr>
        <w:t xml:space="preserve">API Gateway (Kong + AWS API Gateway) enforces rate limiting, authentication, and TLS termination.</w:t>
      </w:r>
    </w:p>
    <w:p>
      <w:pPr>
        <w:pStyle w:val="ListParagraph"/>
        <w:numPr>
          <w:ilvl w:val="0"/>
          <w:numId w:val="2"/>
        </w:numPr>
        <w:spacing w:before="60" w:after="60"/>
        <w:ind w:left="720" w:hanging="360"/>
      </w:pPr>
      <w:r>
        <w:rPr>
          <w:rFonts w:ascii="Arial" w:cs="Arial" w:eastAsia="Arial" w:hAnsi="Arial"/>
          <w:color w:val="1A1A2E"/>
          <w:sz w:val="22"/>
          <w:szCs w:val="22"/>
        </w:rPr>
        <w:t xml:space="preserve">Apache Kafka (3-broker cluster, replication factor 3) acts as the durable event bus. Topics: device-events, behavioral-events, liveness-frames, transaction-events.</w:t>
      </w:r>
    </w:p>
    <w:p>
      <w:pPr>
        <w:pStyle w:val="ListParagraph"/>
        <w:numPr>
          <w:ilvl w:val="0"/>
          <w:numId w:val="2"/>
        </w:numPr>
        <w:spacing w:before="60" w:after="60"/>
        <w:ind w:left="720" w:hanging="360"/>
      </w:pPr>
      <w:r>
        <w:rPr>
          <w:rFonts w:ascii="Arial" w:cs="Arial" w:eastAsia="Arial" w:hAnsi="Arial"/>
          <w:color w:val="1A1A2E"/>
          <w:sz w:val="22"/>
          <w:szCs w:val="22"/>
        </w:rPr>
        <w:t xml:space="preserve">SDK hardening: obfuscated with ProGuard (Android) / Swift Shield (iOS), binary checksums verified on every launch.</w:t>
      </w:r>
    </w:p>
    <w:p>
      <w:pPr>
        <w:spacing w:before="80" w:after="100"/>
      </w:pPr>
      <w:r>
        <w:t xml:space="preserve"/>
      </w:r>
    </w:p>
    <w:p>
      <w:pPr>
        <w:pStyle w:val="Heading3"/>
        <w:spacing w:before="220" w:after="120"/>
      </w:pPr>
      <w:r>
        <w:rPr>
          <w:rFonts w:ascii="Arial" w:cs="Arial" w:eastAsia="Arial" w:hAnsi="Arial"/>
          <w:b/>
          <w:bCs/>
          <w:color w:val="2E86C1"/>
          <w:sz w:val="24"/>
          <w:szCs w:val="24"/>
        </w:rPr>
        <w:t xml:space="preserve">Layer 2 — Stream Processing &amp; Enrichment</w:t>
      </w:r>
    </w:p>
    <w:p>
      <w:pPr>
        <w:pStyle w:val="ListParagraph"/>
        <w:numPr>
          <w:ilvl w:val="0"/>
          <w:numId w:val="2"/>
        </w:numPr>
        <w:spacing w:before="60" w:after="60"/>
        <w:ind w:left="720" w:hanging="360"/>
      </w:pPr>
      <w:r>
        <w:rPr>
          <w:rFonts w:ascii="Arial" w:cs="Arial" w:eastAsia="Arial" w:hAnsi="Arial"/>
          <w:color w:val="1A1A2E"/>
          <w:sz w:val="22"/>
          <w:szCs w:val="22"/>
        </w:rPr>
        <w:t xml:space="preserve">Apache Flink processes Kafka topics in real time with exactly-once semantics.</w:t>
      </w:r>
    </w:p>
    <w:p>
      <w:pPr>
        <w:pStyle w:val="ListParagraph"/>
        <w:numPr>
          <w:ilvl w:val="0"/>
          <w:numId w:val="2"/>
        </w:numPr>
        <w:spacing w:before="60" w:after="60"/>
        <w:ind w:left="720" w:hanging="360"/>
      </w:pPr>
      <w:r>
        <w:rPr>
          <w:rFonts w:ascii="Arial" w:cs="Arial" w:eastAsia="Arial" w:hAnsi="Arial"/>
          <w:color w:val="1A1A2E"/>
          <w:sz w:val="22"/>
          <w:szCs w:val="22"/>
        </w:rPr>
        <w:t xml:space="preserve">Enrichment micro-jobs: Geo-IP reverse lookup (MaxMind GeoIP2), user history hydration from Redis, third-party threat-intel feeds (ThreatMetrix, Signifyd).</w:t>
      </w:r>
    </w:p>
    <w:p>
      <w:pPr>
        <w:pStyle w:val="ListParagraph"/>
        <w:numPr>
          <w:ilvl w:val="0"/>
          <w:numId w:val="2"/>
        </w:numPr>
        <w:spacing w:before="60" w:after="60"/>
        <w:ind w:left="720" w:hanging="360"/>
      </w:pPr>
      <w:r>
        <w:rPr>
          <w:rFonts w:ascii="Arial" w:cs="Arial" w:eastAsia="Arial" w:hAnsi="Arial"/>
          <w:color w:val="1A1A2E"/>
          <w:sz w:val="22"/>
          <w:szCs w:val="22"/>
        </w:rPr>
        <w:t xml:space="preserve">Output streams feed the Core Analysis Layer and are also persisted to the Data Warehouse for model retraining.</w:t>
      </w:r>
    </w:p>
    <w:p>
      <w:pPr>
        <w:spacing w:before="80" w:after="100"/>
      </w:pPr>
      <w:r>
        <w:t xml:space="preserve"/>
      </w:r>
    </w:p>
    <w:p>
      <w:pPr>
        <w:pStyle w:val="Heading3"/>
        <w:spacing w:before="220" w:after="120"/>
      </w:pPr>
      <w:r>
        <w:rPr>
          <w:rFonts w:ascii="Arial" w:cs="Arial" w:eastAsia="Arial" w:hAnsi="Arial"/>
          <w:b/>
          <w:bCs/>
          <w:color w:val="2E86C1"/>
          <w:sz w:val="24"/>
          <w:szCs w:val="24"/>
        </w:rPr>
        <w:t xml:space="preserve">Layer 3 — Core Analysis &amp; Scoring</w:t>
      </w:r>
    </w:p>
    <w:p>
      <w:pPr>
        <w:spacing w:before="80" w:after="80"/>
        <w:jc w:val="both"/>
      </w:pPr>
      <w:r>
        <w:rPr>
          <w:rFonts w:ascii="Arial" w:cs="Arial" w:eastAsia="Arial" w:hAnsi="Arial"/>
          <w:color w:val="1A1A2E"/>
          <w:sz w:val="22"/>
          <w:szCs w:val="22"/>
        </w:rPr>
        <w:t xml:space="preserve">Five independent microservices, each containerised (Docker) and orchestrated via Kubernetes. Services communicate via gRPC with Protobuf schemas; no shared database.</w:t>
      </w:r>
    </w:p>
    <w:p>
      <w:pPr>
        <w:spacing w:before="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Service</w:t>
            </w:r>
          </w:p>
        </w:tc>
        <w:tc>
          <w:tcPr>
            <w:tcW w:type="dxa" w:w="3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Primary Function</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Tech Stack</w:t>
            </w:r>
          </w:p>
        </w:tc>
      </w:tr>
      <w:tr>
        <w:trPr>
          <w:tblHeader w:val="false"/>
        </w:trP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Device Fingerprint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Generate stable device hash; detect evasion tools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Python / FastAPI, Redis</w:t>
            </w:r>
          </w:p>
        </w:tc>
      </w:tr>
      <w:tr>
        <w:trPr>
          <w:tblHeader w:val="false"/>
        </w:trP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Behavioral Analysis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Anomaly scoring against user profiles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Python, TensorFlow, Redis</w:t>
            </w:r>
          </w:p>
        </w:tc>
      </w:tr>
      <w:tr>
        <w:trPr>
          <w:tblHeader w:val="false"/>
        </w:trP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Liveness Detection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Passive + active biometric verification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Python, Claude Opus 4.6 Vision API</w:t>
            </w:r>
          </w:p>
        </w:tc>
      </w:tr>
      <w:tr>
        <w:trPr>
          <w:tblHeader w:val="false"/>
        </w:trP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Graph Analysis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Real-time Cypher queries + offline community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Java, Neo4j Bolt driver</w:t>
            </w:r>
          </w:p>
        </w:tc>
      </w:tr>
      <w:tr>
        <w:trPr>
          <w:tblHeader w:val="false"/>
        </w:trP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ML Scoring Orchestrator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Feature aggregation; risk score fusion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Python, XGBoost, ONNX Runtime</w:t>
            </w:r>
          </w:p>
        </w:tc>
      </w:tr>
    </w:tbl>
    <w:p>
      <w:pPr>
        <w:spacing w:before="120" w:after="100"/>
      </w:pPr>
      <w:r>
        <w:t xml:space="preserve"/>
      </w:r>
    </w:p>
    <w:p>
      <w:pPr>
        <w:pStyle w:val="Heading3"/>
        <w:spacing w:before="220" w:after="120"/>
      </w:pPr>
      <w:r>
        <w:rPr>
          <w:rFonts w:ascii="Arial" w:cs="Arial" w:eastAsia="Arial" w:hAnsi="Arial"/>
          <w:b/>
          <w:bCs/>
          <w:color w:val="2E86C1"/>
          <w:sz w:val="24"/>
          <w:szCs w:val="24"/>
        </w:rPr>
        <w:t xml:space="preserve">Layer 4 — Persistence</w:t>
      </w:r>
    </w:p>
    <w:p>
      <w:pPr>
        <w:pStyle w:val="ListParagraph"/>
        <w:numPr>
          <w:ilvl w:val="0"/>
          <w:numId w:val="2"/>
        </w:numPr>
        <w:spacing w:before="60" w:after="60"/>
        <w:ind w:left="720" w:hanging="360"/>
      </w:pPr>
      <w:r>
        <w:rPr>
          <w:rFonts w:ascii="Arial" w:cs="Arial" w:eastAsia="Arial" w:hAnsi="Arial"/>
          <w:color w:val="1A1A2E"/>
          <w:sz w:val="22"/>
          <w:szCs w:val="22"/>
        </w:rPr>
        <w:t xml:space="preserve">Neo4j (Graph DB) — pseudonymised entity relationships, fraud ring topology.</w:t>
      </w:r>
    </w:p>
    <w:p>
      <w:pPr>
        <w:pStyle w:val="ListParagraph"/>
        <w:numPr>
          <w:ilvl w:val="0"/>
          <w:numId w:val="2"/>
        </w:numPr>
        <w:spacing w:before="60" w:after="60"/>
        <w:ind w:left="720" w:hanging="360"/>
      </w:pPr>
      <w:r>
        <w:rPr>
          <w:rFonts w:ascii="Arial" w:cs="Arial" w:eastAsia="Arial" w:hAnsi="Arial"/>
          <w:color w:val="1A1A2E"/>
          <w:sz w:val="22"/>
          <w:szCs w:val="22"/>
        </w:rPr>
        <w:t xml:space="preserve">Redis Cluster — user behavioral profiles (TTL-managed), real-time counters, feature cache.</w:t>
      </w:r>
    </w:p>
    <w:p>
      <w:pPr>
        <w:pStyle w:val="ListParagraph"/>
        <w:numPr>
          <w:ilvl w:val="0"/>
          <w:numId w:val="2"/>
        </w:numPr>
        <w:spacing w:before="60" w:after="60"/>
        <w:ind w:left="720" w:hanging="360"/>
      </w:pPr>
      <w:r>
        <w:rPr>
          <w:rFonts w:ascii="Arial" w:cs="Arial" w:eastAsia="Arial" w:hAnsi="Arial"/>
          <w:color w:val="1A1A2E"/>
          <w:sz w:val="22"/>
          <w:szCs w:val="22"/>
        </w:rPr>
        <w:t xml:space="preserve">InfluxDB — time-series event metrics, anomaly trend data.</w:t>
      </w:r>
    </w:p>
    <w:p>
      <w:pPr>
        <w:pStyle w:val="ListParagraph"/>
        <w:numPr>
          <w:ilvl w:val="0"/>
          <w:numId w:val="2"/>
        </w:numPr>
        <w:spacing w:before="60" w:after="60"/>
        <w:ind w:left="720" w:hanging="360"/>
      </w:pPr>
      <w:r>
        <w:rPr>
          <w:rFonts w:ascii="Arial" w:cs="Arial" w:eastAsia="Arial" w:hAnsi="Arial"/>
          <w:color w:val="1A1A2E"/>
          <w:sz w:val="22"/>
          <w:szCs w:val="22"/>
        </w:rPr>
        <w:t xml:space="preserve">Amazon S3 (encrypted, short-lived presigned URLs) — transient liveness video frames; deleted after analysis.</w:t>
      </w:r>
    </w:p>
    <w:p>
      <w:pPr>
        <w:pStyle w:val="ListParagraph"/>
        <w:numPr>
          <w:ilvl w:val="0"/>
          <w:numId w:val="2"/>
        </w:numPr>
        <w:spacing w:before="60" w:after="60"/>
        <w:ind w:left="720" w:hanging="360"/>
      </w:pPr>
      <w:r>
        <w:rPr>
          <w:rFonts w:ascii="Arial" w:cs="Arial" w:eastAsia="Arial" w:hAnsi="Arial"/>
          <w:color w:val="1A1A2E"/>
          <w:sz w:val="22"/>
          <w:szCs w:val="22"/>
        </w:rPr>
        <w:t xml:space="preserve">Snowflake Data Warehouse — historical transactions, analyst labels, model training datasets.</w:t>
      </w:r>
    </w:p>
    <w:p>
      <w:pPr>
        <w:spacing w:before="80" w:after="100"/>
      </w:pPr>
      <w:r>
        <w:t xml:space="preserve"/>
      </w:r>
    </w:p>
    <w:p>
      <w:pPr>
        <w:pStyle w:val="Heading3"/>
        <w:spacing w:before="220" w:after="120"/>
      </w:pPr>
      <w:r>
        <w:rPr>
          <w:rFonts w:ascii="Arial" w:cs="Arial" w:eastAsia="Arial" w:hAnsi="Arial"/>
          <w:b/>
          <w:bCs/>
          <w:color w:val="2E86C1"/>
          <w:sz w:val="24"/>
          <w:szCs w:val="24"/>
        </w:rPr>
        <w:t xml:space="preserve">Layer 5 — Action &amp; Presentation</w:t>
      </w:r>
    </w:p>
    <w:p>
      <w:pPr>
        <w:pStyle w:val="ListParagraph"/>
        <w:numPr>
          <w:ilvl w:val="0"/>
          <w:numId w:val="2"/>
        </w:numPr>
        <w:spacing w:before="60" w:after="60"/>
        <w:ind w:left="720" w:hanging="360"/>
      </w:pPr>
      <w:r>
        <w:rPr>
          <w:rFonts w:ascii="Arial" w:cs="Arial" w:eastAsia="Arial" w:hAnsi="Arial"/>
          <w:color w:val="1A1A2E"/>
          <w:sz w:val="22"/>
          <w:szCs w:val="22"/>
        </w:rPr>
        <w:t xml:space="preserve">Decision Engine — rules + ML threshold fusion; outputs ALLOW / CHALLENGE / BLOCK with confidence score.</w:t>
      </w:r>
    </w:p>
    <w:p>
      <w:pPr>
        <w:pStyle w:val="ListParagraph"/>
        <w:numPr>
          <w:ilvl w:val="0"/>
          <w:numId w:val="2"/>
        </w:numPr>
        <w:spacing w:before="60" w:after="60"/>
        <w:ind w:left="720" w:hanging="360"/>
      </w:pPr>
      <w:r>
        <w:rPr>
          <w:rFonts w:ascii="Arial" w:cs="Arial" w:eastAsia="Arial" w:hAnsi="Arial"/>
          <w:color w:val="1A1A2E"/>
          <w:sz w:val="22"/>
          <w:szCs w:val="22"/>
        </w:rPr>
        <w:t xml:space="preserve">Fraud Analyst Dashboard (React 18 + TypeScript) — real-time queue, network graphs, case management.</w:t>
      </w:r>
    </w:p>
    <w:p>
      <w:pPr>
        <w:pStyle w:val="ListParagraph"/>
        <w:numPr>
          <w:ilvl w:val="0"/>
          <w:numId w:val="2"/>
        </w:numPr>
        <w:spacing w:before="60" w:after="60"/>
        <w:ind w:left="720" w:hanging="360"/>
      </w:pPr>
      <w:r>
        <w:rPr>
          <w:rFonts w:ascii="Arial" w:cs="Arial" w:eastAsia="Arial" w:hAnsi="Arial"/>
          <w:color w:val="1A1A2E"/>
          <w:sz w:val="22"/>
          <w:szCs w:val="22"/>
        </w:rPr>
        <w:t xml:space="preserve">Action API — webhook callbacks to host application; triggers MFA challenge or account suspension.</w:t>
      </w:r>
    </w:p>
    <w:p>
      <w:pPr>
        <w:spacing w:before="160" w:after="100"/>
      </w:pPr>
      <w:r>
        <w:t xml:space="preserve"/>
      </w:r>
    </w:p>
    <w:p>
      <w:pPr>
        <w:pStyle w:val="Heading2"/>
        <w:spacing w:before="280" w:after="160"/>
      </w:pPr>
      <w:r>
        <w:rPr>
          <w:rFonts w:ascii="Arial" w:cs="Arial" w:eastAsia="Arial" w:hAnsi="Arial"/>
          <w:b/>
          <w:bCs/>
          <w:color w:val="1B4F8A"/>
          <w:sz w:val="28"/>
          <w:szCs w:val="28"/>
        </w:rPr>
        <w:t xml:space="preserve">1.2  Privacy-Preserving Architecture Patterns</w:t>
      </w:r>
    </w:p>
    <w:tbl>
      <w:tblPr>
        <w:tblW w:type="dxa" w:w="9360"/>
        <w:tblBorders>
          <w:top w:val="single" w:color="148F77" w:sz="8"/>
          <w:left w:val="single" w:color="148F77" w:sz="20"/>
          <w:bottom w:val="single" w:color="148F77"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148F77"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148F77"/>
                <w:sz w:val="21"/>
                <w:szCs w:val="21"/>
              </w:rPr>
              <w:t xml:space="preserve">Privacy by Design</w:t>
            </w:r>
          </w:p>
          <w:p>
            <w:pPr>
              <w:spacing w:before="0" w:after="0"/>
              <w:jc w:val="both"/>
            </w:pPr>
            <w:r>
              <w:rPr>
                <w:rFonts w:ascii="Arial" w:cs="Arial" w:eastAsia="Arial" w:hAnsi="Arial"/>
                <w:color w:val="1A1A2E"/>
                <w:sz w:val="21"/>
                <w:szCs w:val="21"/>
              </w:rPr>
              <w:t xml:space="preserve">All sensitive data is pseudonymised at the ingestion boundary before reaching any analysis service. The privacy mediation layer enforces consent checks, data minimisation rules, and purpose limitation automatically — no analysis service can request data for which no valid consent record exists.</w:t>
            </w:r>
          </w:p>
        </w:tc>
      </w:tr>
    </w:tbl>
    <w:p>
      <w:pPr>
        <w:spacing w:before="120" w:after="100"/>
      </w:pPr>
      <w:r>
        <w:t xml:space="preserve"/>
      </w:r>
    </w:p>
    <w:p>
      <w:pPr>
        <w:spacing w:before="80" w:after="80"/>
      </w:pPr>
      <w:r>
        <w:rPr>
          <w:rFonts w:ascii="Arial" w:cs="Arial" w:eastAsia="Arial" w:hAnsi="Arial"/>
          <w:b/>
          <w:bCs/>
          <w:color w:val="1A1A2E"/>
          <w:sz w:val="22"/>
          <w:szCs w:val="22"/>
        </w:rPr>
        <w:t xml:space="preserve">Zero-Trust Architecture: </w:t>
      </w:r>
      <w:r>
        <w:rPr>
          <w:rFonts w:ascii="Arial" w:cs="Arial" w:eastAsia="Arial" w:hAnsi="Arial"/>
          <w:color w:val="1A1A2E"/>
          <w:sz w:val="22"/>
          <w:szCs w:val="22"/>
        </w:rPr>
        <w:t xml:space="preserve">Every service-to-service call requires mTLS + short-lived JWT (15-min expiry). Network micro-segmentation via Kubernetes NetworkPolicy. No lateral movement is possible between the fingerprinting and liveness namespaces.</w:t>
      </w:r>
    </w:p>
    <w:p>
      <w:pPr>
        <w:spacing w:before="80" w:after="80"/>
      </w:pPr>
      <w:r>
        <w:rPr>
          <w:rFonts w:ascii="Arial" w:cs="Arial" w:eastAsia="Arial" w:hAnsi="Arial"/>
          <w:b/>
          <w:bCs/>
          <w:color w:val="1A1A2E"/>
          <w:sz w:val="22"/>
          <w:szCs w:val="22"/>
        </w:rPr>
        <w:t xml:space="preserve">Federated Learning Option: </w:t>
      </w:r>
      <w:r>
        <w:rPr>
          <w:rFonts w:ascii="Arial" w:cs="Arial" w:eastAsia="Arial" w:hAnsi="Arial"/>
          <w:color w:val="1A1A2E"/>
          <w:sz w:val="22"/>
          <w:szCs w:val="22"/>
        </w:rPr>
        <w:t xml:space="preserve">For behavioral profile training, the framework supports a federated mode where model gradients (not raw data) are aggregated centrally. This is the recommended mode for GDPR Article 5(1)(c) data minimisation compliance.</w:t>
      </w:r>
    </w:p>
    <w:p>
      <w:pPr>
        <w:spacing w:before="80" w:after="80"/>
      </w:pPr>
      <w:r>
        <w:rPr>
          <w:rFonts w:ascii="Arial" w:cs="Arial" w:eastAsia="Arial" w:hAnsi="Arial"/>
          <w:b/>
          <w:bCs/>
          <w:color w:val="1A1A2E"/>
          <w:sz w:val="22"/>
          <w:szCs w:val="22"/>
        </w:rPr>
        <w:t xml:space="preserve">Privacy Mediation Layer: </w:t>
      </w:r>
      <w:r>
        <w:rPr>
          <w:rFonts w:ascii="Arial" w:cs="Arial" w:eastAsia="Arial" w:hAnsi="Arial"/>
          <w:color w:val="1A1A2E"/>
          <w:sz w:val="22"/>
          <w:szCs w:val="22"/>
        </w:rPr>
        <w:t xml:space="preserve">A dedicated sidecar container intercepts all data reads/writes. It enforces: consent status check, purpose-binding validation, pseudonymisation of direct identifiers (SHA-256 HMAC with rotating pepper), and automatic data expiry per retention policy.</w:t>
      </w:r>
    </w:p>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02</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Core System Design</w:t>
            </w:r>
          </w:p>
          <w:p>
            <w:pPr>
              <w:spacing w:before="40"/>
            </w:pPr>
            <w:r>
              <w:rPr>
                <w:rFonts w:ascii="Arial" w:cs="Arial" w:eastAsia="Arial" w:hAnsi="Arial"/>
                <w:color w:val="D0E8FF"/>
                <w:sz w:val="20"/>
                <w:szCs w:val="20"/>
              </w:rPr>
              <w:t xml:space="preserve">Module-level specifications and data flows</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2.1  Device Fingerprinting Module</w:t>
      </w:r>
    </w:p>
    <w:p>
      <w:pPr>
        <w:spacing w:before="80" w:after="80"/>
        <w:jc w:val="both"/>
      </w:pPr>
      <w:r>
        <w:rPr>
          <w:rFonts w:ascii="Arial" w:cs="Arial" w:eastAsia="Arial" w:hAnsi="Arial"/>
          <w:color w:val="1A1A2E"/>
          <w:sz w:val="22"/>
          <w:szCs w:val="22"/>
        </w:rPr>
        <w:t xml:space="preserve">The Device Fingerprint Service generates a probabilistic, persistent device hash from 200+ signals grouped into four categories. The hash is stable across minor attribute changes (cookie clearing, browser update) via fuzzy Locality-Sensitive Hashing (LSH).</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Signal Category</w:t>
            </w:r>
          </w:p>
        </w:tc>
        <w:tc>
          <w:tcPr>
            <w:tcW w:type="dxa" w:w="4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Key Attributes</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Evasion Resistance</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Hardware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CPU core count, GPU renderer (WebGL), screen DPI, battery API, sensor presence (gyro, accel)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High — cannot be spoofed without physical hardware change</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Software / Browser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User-agent, installed fonts (canvas fingerprint), AudioContext hash, WebRTC ICE candidates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Medium — cross-referenced for internal consistency</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Network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IP address, ASN, ISP, connection type, WebRTC local IP, DNS resolver fingerprint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Medium — combined with hardware to raise confidence</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Behavioural Baseline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Typing cadence on login form, mouse curve shape, scroll inertia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Very High — extremely hard to forge consistently</w:t>
            </w:r>
          </w:p>
        </w:tc>
      </w:tr>
    </w:tbl>
    <w:p>
      <w:pPr>
        <w:spacing w:before="120" w:after="100"/>
      </w:pPr>
      <w:r>
        <w:t xml:space="preserve"/>
      </w:r>
    </w:p>
    <w:p>
      <w:pPr>
        <w:pStyle w:val="Heading3"/>
        <w:spacing w:before="220" w:after="120"/>
      </w:pPr>
      <w:r>
        <w:rPr>
          <w:rFonts w:ascii="Arial" w:cs="Arial" w:eastAsia="Arial" w:hAnsi="Arial"/>
          <w:b/>
          <w:bCs/>
          <w:color w:val="2E86C1"/>
          <w:sz w:val="24"/>
          <w:szCs w:val="24"/>
        </w:rPr>
        <w:t xml:space="preserve">Evasion Detection Logic</w:t>
      </w:r>
    </w:p>
    <w:p>
      <w:pPr>
        <w:spacing w:before="180" w:after="100"/>
      </w:pPr>
      <w:r>
        <w:rPr>
          <w:rFonts w:ascii="Arial" w:cs="Arial" w:eastAsia="Arial" w:hAnsi="Arial"/>
          <w:b/>
          <w:bCs/>
          <w:color w:val="148F77"/>
          <w:sz w:val="22"/>
          <w:szCs w:val="22"/>
        </w:rPr>
        <w:t xml:space="preserve">Browser / Attribute Spoofing</w:t>
      </w:r>
    </w:p>
    <w:p>
      <w:pPr>
        <w:pStyle w:val="ListParagraph"/>
        <w:numPr>
          <w:ilvl w:val="0"/>
          <w:numId w:val="2"/>
        </w:numPr>
        <w:spacing w:before="60" w:after="60"/>
        <w:ind w:left="720" w:hanging="360"/>
      </w:pPr>
      <w:r>
        <w:rPr>
          <w:rFonts w:ascii="Arial" w:cs="Arial" w:eastAsia="Arial" w:hAnsi="Arial"/>
          <w:color w:val="1A1A2E"/>
          <w:sz w:val="22"/>
          <w:szCs w:val="22"/>
        </w:rPr>
        <w:t xml:space="preserve">Cross-reference declared user-agent against JavaScript API availability. Chrome 130 claiming no SharedArrayBuffer support = red flag.</w:t>
      </w:r>
    </w:p>
    <w:p>
      <w:pPr>
        <w:pStyle w:val="ListParagraph"/>
        <w:numPr>
          <w:ilvl w:val="0"/>
          <w:numId w:val="2"/>
        </w:numPr>
        <w:spacing w:before="60" w:after="60"/>
        <w:ind w:left="720" w:hanging="360"/>
      </w:pPr>
      <w:r>
        <w:rPr>
          <w:rFonts w:ascii="Arial" w:cs="Arial" w:eastAsia="Arial" w:hAnsi="Arial"/>
          <w:color w:val="1A1A2E"/>
          <w:sz w:val="22"/>
          <w:szCs w:val="22"/>
        </w:rPr>
        <w:t xml:space="preserve">Compare navigator.platform against WebGL renderer string. Mobile UA + discrete GPU renderer = flag.</w:t>
      </w:r>
    </w:p>
    <w:p>
      <w:pPr>
        <w:pStyle w:val="ListParagraph"/>
        <w:numPr>
          <w:ilvl w:val="0"/>
          <w:numId w:val="2"/>
        </w:numPr>
        <w:spacing w:before="60" w:after="60"/>
        <w:ind w:left="720" w:hanging="360"/>
      </w:pPr>
      <w:r>
        <w:rPr>
          <w:rFonts w:ascii="Arial" w:cs="Arial" w:eastAsia="Arial" w:hAnsi="Arial"/>
          <w:color w:val="1A1A2E"/>
          <w:sz w:val="22"/>
          <w:szCs w:val="22"/>
        </w:rPr>
        <w:t xml:space="preserve">Detect User-Agent Client Hints override attempts by comparing Ch-UA headers with evaluated JS API fingerprint.</w:t>
      </w:r>
    </w:p>
    <w:p>
      <w:pPr>
        <w:spacing w:before="80" w:after="100"/>
      </w:pPr>
      <w:r>
        <w:t xml:space="preserve"/>
      </w:r>
    </w:p>
    <w:p>
      <w:pPr>
        <w:spacing w:before="180" w:after="100"/>
      </w:pPr>
      <w:r>
        <w:rPr>
          <w:rFonts w:ascii="Arial" w:cs="Arial" w:eastAsia="Arial" w:hAnsi="Arial"/>
          <w:b/>
          <w:bCs/>
          <w:color w:val="148F77"/>
          <w:sz w:val="22"/>
          <w:szCs w:val="22"/>
        </w:rPr>
        <w:t xml:space="preserve">Incognito / Private Mode Detection</w:t>
      </w:r>
    </w:p>
    <w:p>
      <w:pPr>
        <w:pStyle w:val="ListParagraph"/>
        <w:numPr>
          <w:ilvl w:val="0"/>
          <w:numId w:val="2"/>
        </w:numPr>
        <w:spacing w:before="60" w:after="60"/>
        <w:ind w:left="720" w:hanging="360"/>
      </w:pPr>
      <w:r>
        <w:rPr>
          <w:rFonts w:ascii="Arial" w:cs="Arial" w:eastAsia="Arial" w:hAnsi="Arial"/>
          <w:color w:val="1A1A2E"/>
          <w:sz w:val="22"/>
          <w:szCs w:val="22"/>
        </w:rPr>
        <w:t xml:space="preserve">Chrome incognito: FileSystem API storage quota is 0 or throws; check via navigator.storage.estimate().</w:t>
      </w:r>
    </w:p>
    <w:p>
      <w:pPr>
        <w:pStyle w:val="ListParagraph"/>
        <w:numPr>
          <w:ilvl w:val="0"/>
          <w:numId w:val="2"/>
        </w:numPr>
        <w:spacing w:before="60" w:after="60"/>
        <w:ind w:left="720" w:hanging="360"/>
      </w:pPr>
      <w:r>
        <w:rPr>
          <w:rFonts w:ascii="Arial" w:cs="Arial" w:eastAsia="Arial" w:hAnsi="Arial"/>
          <w:color w:val="1A1A2E"/>
          <w:sz w:val="22"/>
          <w:szCs w:val="22"/>
        </w:rPr>
        <w:t xml:space="preserve">Firefox private: IndexedDB.open throws; detect via try/catch timing differential.</w:t>
      </w:r>
    </w:p>
    <w:p>
      <w:pPr>
        <w:pStyle w:val="ListParagraph"/>
        <w:numPr>
          <w:ilvl w:val="0"/>
          <w:numId w:val="2"/>
        </w:numPr>
        <w:spacing w:before="60" w:after="60"/>
        <w:ind w:left="720" w:hanging="360"/>
      </w:pPr>
      <w:r>
        <w:rPr>
          <w:rFonts w:ascii="Arial" w:cs="Arial" w:eastAsia="Arial" w:hAnsi="Arial"/>
          <w:color w:val="1A1A2E"/>
          <w:sz w:val="22"/>
          <w:szCs w:val="22"/>
        </w:rPr>
        <w:t xml:space="preserve">Safari private: localStorage.setItem throws QuotaExceededError on zero-quota partition.</w:t>
      </w:r>
    </w:p>
    <w:tbl>
      <w:tblPr>
        <w:tblW w:type="dxa" w:w="9360"/>
        <w:tblBorders>
          <w:top w:val="single" w:color="F39C12" w:sz="8"/>
          <w:left w:val="single" w:color="F39C12" w:sz="20"/>
          <w:bottom w:val="single" w:color="F39C12"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F39C12"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F39C12"/>
                <w:sz w:val="21"/>
                <w:szCs w:val="21"/>
              </w:rPr>
              <w:t xml:space="preserve">Legal Note</w:t>
            </w:r>
          </w:p>
          <w:p>
            <w:pPr>
              <w:spacing w:before="0" w:after="0"/>
              <w:jc w:val="both"/>
            </w:pPr>
            <w:r>
              <w:rPr>
                <w:rFonts w:ascii="Arial" w:cs="Arial" w:eastAsia="Arial" w:hAnsi="Arial"/>
                <w:color w:val="1A1A2E"/>
                <w:sz w:val="21"/>
                <w:szCs w:val="21"/>
              </w:rPr>
              <w:t xml:space="preserve">Incognito detection is a risk signal only, not a blocking condition. Using it alone to deny service would likely fail proportionality tests under GDPR recital 47. It must be combined with other risk signals before elevating the score.</w:t>
            </w:r>
          </w:p>
        </w:tc>
      </w:tr>
    </w:tbl>
    <w:p>
      <w:pPr>
        <w:spacing w:before="80" w:after="100"/>
      </w:pPr>
      <w:r>
        <w:t xml:space="preserve"/>
      </w:r>
    </w:p>
    <w:p>
      <w:pPr>
        <w:spacing w:before="180" w:after="100"/>
      </w:pPr>
      <w:r>
        <w:rPr>
          <w:rFonts w:ascii="Arial" w:cs="Arial" w:eastAsia="Arial" w:hAnsi="Arial"/>
          <w:b/>
          <w:bCs/>
          <w:color w:val="148F77"/>
          <w:sz w:val="22"/>
          <w:szCs w:val="22"/>
        </w:rPr>
        <w:t xml:space="preserve">Emulator and Virtual Machine Detection</w:t>
      </w:r>
    </w:p>
    <w:p>
      <w:pPr>
        <w:pStyle w:val="ListParagraph"/>
        <w:numPr>
          <w:ilvl w:val="0"/>
          <w:numId w:val="2"/>
        </w:numPr>
        <w:spacing w:before="60" w:after="60"/>
        <w:ind w:left="720" w:hanging="360"/>
      </w:pPr>
      <w:r>
        <w:rPr>
          <w:rFonts w:ascii="Arial" w:cs="Arial" w:eastAsia="Arial" w:hAnsi="Arial"/>
          <w:color w:val="1A1A2E"/>
          <w:sz w:val="22"/>
          <w:szCs w:val="22"/>
        </w:rPr>
        <w:t xml:space="preserve">Android: check Build.FINGERPRINT for 'generic', 'unknown', 'emulator', 'sdk'. Query /proc/cpuinfo for hardware field; emulators return 'Goldfish' or missing.</w:t>
      </w:r>
    </w:p>
    <w:p>
      <w:pPr>
        <w:pStyle w:val="ListParagraph"/>
        <w:numPr>
          <w:ilvl w:val="0"/>
          <w:numId w:val="2"/>
        </w:numPr>
        <w:spacing w:before="60" w:after="60"/>
        <w:ind w:left="720" w:hanging="360"/>
      </w:pPr>
      <w:r>
        <w:rPr>
          <w:rFonts w:ascii="Arial" w:cs="Arial" w:eastAsia="Arial" w:hAnsi="Arial"/>
          <w:color w:val="1A1A2E"/>
          <w:sz w:val="22"/>
          <w:szCs w:val="22"/>
        </w:rPr>
        <w:t xml:space="preserve">iOS: check for Simulator SDK header presence, /private/var/mobile non-existent on Simulator.</w:t>
      </w:r>
    </w:p>
    <w:p>
      <w:pPr>
        <w:pStyle w:val="ListParagraph"/>
        <w:numPr>
          <w:ilvl w:val="0"/>
          <w:numId w:val="2"/>
        </w:numPr>
        <w:spacing w:before="60" w:after="60"/>
        <w:ind w:left="720" w:hanging="360"/>
      </w:pPr>
      <w:r>
        <w:rPr>
          <w:rFonts w:ascii="Arial" w:cs="Arial" w:eastAsia="Arial" w:hAnsi="Arial"/>
          <w:color w:val="1A1A2E"/>
          <w:sz w:val="22"/>
          <w:szCs w:val="22"/>
        </w:rPr>
        <w:t xml:space="preserve">Web: measure WebGL shader compilation time. VMs (VMware, QEMU) show timing 8–30x slower than physical GPU.</w:t>
      </w:r>
    </w:p>
    <w:p>
      <w:pPr>
        <w:pStyle w:val="ListParagraph"/>
        <w:numPr>
          <w:ilvl w:val="0"/>
          <w:numId w:val="2"/>
        </w:numPr>
        <w:spacing w:before="60" w:after="60"/>
        <w:ind w:left="720" w:hanging="360"/>
      </w:pPr>
      <w:r>
        <w:rPr>
          <w:rFonts w:ascii="Arial" w:cs="Arial" w:eastAsia="Arial" w:hAnsi="Arial"/>
          <w:color w:val="1A1A2E"/>
          <w:sz w:val="22"/>
          <w:szCs w:val="22"/>
        </w:rPr>
        <w:t xml:space="preserve">Check for VMware-specific registry keys (Windows) or /proc/scsi/scsi strings (Linux) via browser-accessible APIs.</w:t>
      </w:r>
    </w:p>
    <w:p>
      <w:pPr>
        <w:spacing w:before="80" w:after="100"/>
      </w:pPr>
      <w:r>
        <w:t xml:space="preserve"/>
      </w:r>
    </w:p>
    <w:p>
      <w:pPr>
        <w:spacing w:before="180" w:after="100"/>
      </w:pPr>
      <w:r>
        <w:rPr>
          <w:rFonts w:ascii="Arial" w:cs="Arial" w:eastAsia="Arial" w:hAnsi="Arial"/>
          <w:b/>
          <w:bCs/>
          <w:color w:val="148F77"/>
          <w:sz w:val="22"/>
          <w:szCs w:val="22"/>
        </w:rPr>
        <w:t xml:space="preserve">Virtual Camera Detection</w:t>
      </w:r>
    </w:p>
    <w:p>
      <w:pPr>
        <w:pStyle w:val="ListParagraph"/>
        <w:numPr>
          <w:ilvl w:val="0"/>
          <w:numId w:val="2"/>
        </w:numPr>
        <w:spacing w:before="60" w:after="60"/>
        <w:ind w:left="720" w:hanging="360"/>
      </w:pPr>
      <w:r>
        <w:rPr>
          <w:rFonts w:ascii="Arial" w:cs="Arial" w:eastAsia="Arial" w:hAnsi="Arial"/>
          <w:color w:val="1A1A2E"/>
          <w:sz w:val="22"/>
          <w:szCs w:val="22"/>
        </w:rPr>
        <w:t xml:space="preserve">Analyse MediaStreamTrack.label — virtual cameras typically report 'OBS Virtual Camera', 'ManyCam', or numeric IDs.</w:t>
      </w:r>
    </w:p>
    <w:p>
      <w:pPr>
        <w:pStyle w:val="ListParagraph"/>
        <w:numPr>
          <w:ilvl w:val="0"/>
          <w:numId w:val="2"/>
        </w:numPr>
        <w:spacing w:before="60" w:after="60"/>
        <w:ind w:left="720" w:hanging="360"/>
      </w:pPr>
      <w:r>
        <w:rPr>
          <w:rFonts w:ascii="Arial" w:cs="Arial" w:eastAsia="Arial" w:hAnsi="Arial"/>
          <w:color w:val="1A1A2E"/>
          <w:sz w:val="22"/>
          <w:szCs w:val="22"/>
        </w:rPr>
        <w:t xml:space="preserve">Cross-reference camera deviceId with system-level hardware enumeration anomalies (no corresponding audio device groupId).</w:t>
      </w:r>
    </w:p>
    <w:p>
      <w:pPr>
        <w:pStyle w:val="ListParagraph"/>
        <w:numPr>
          <w:ilvl w:val="0"/>
          <w:numId w:val="2"/>
        </w:numPr>
        <w:spacing w:before="60" w:after="60"/>
        <w:ind w:left="720" w:hanging="360"/>
      </w:pPr>
      <w:r>
        <w:rPr>
          <w:rFonts w:ascii="Arial" w:cs="Arial" w:eastAsia="Arial" w:hAnsi="Arial"/>
          <w:color w:val="1A1A2E"/>
          <w:sz w:val="22"/>
          <w:szCs w:val="22"/>
        </w:rPr>
        <w:t xml:space="preserve">Send a randomised light-flash challenge (3-frame sequence, unique per session) and verify the reflection response on the user's face using the Liveness Detection Service — virtual cameras replay pre-recorded content and cannot respond correctly.</w:t>
      </w:r>
    </w:p>
    <w:p>
      <w:pPr>
        <w:pStyle w:val="ListParagraph"/>
        <w:numPr>
          <w:ilvl w:val="0"/>
          <w:numId w:val="2"/>
        </w:numPr>
        <w:spacing w:before="60" w:after="60"/>
        <w:ind w:left="720" w:hanging="360"/>
      </w:pPr>
      <w:r>
        <w:rPr>
          <w:rFonts w:ascii="Arial" w:cs="Arial" w:eastAsia="Arial" w:hAnsi="Arial"/>
          <w:color w:val="1A1A2E"/>
          <w:sz w:val="22"/>
          <w:szCs w:val="22"/>
        </w:rPr>
        <w:t xml:space="preserve">Use Claude Opus 4.6 Vision API to classify each video frame for PRNU (Photo Response Non-Uniformity) — physical cameras have a unique noise signature that deepfakes and screen recordings lack.</w:t>
      </w:r>
    </w:p>
    <w:p>
      <w:pPr>
        <w:spacing w:before="80" w:after="100"/>
      </w:pPr>
      <w:r>
        <w:t xml:space="preserve"/>
      </w:r>
    </w:p>
    <w:p>
      <w:pPr>
        <w:spacing w:before="180" w:after="100"/>
      </w:pPr>
      <w:r>
        <w:rPr>
          <w:rFonts w:ascii="Arial" w:cs="Arial" w:eastAsia="Arial" w:hAnsi="Arial"/>
          <w:b/>
          <w:bCs/>
          <w:color w:val="148F77"/>
          <w:sz w:val="22"/>
          <w:szCs w:val="22"/>
        </w:rPr>
        <w:t xml:space="preserve">Root / Jailbreak Detection</w:t>
      </w:r>
    </w:p>
    <w:p>
      <w:pPr>
        <w:pStyle w:val="ListParagraph"/>
        <w:numPr>
          <w:ilvl w:val="0"/>
          <w:numId w:val="2"/>
        </w:numPr>
        <w:spacing w:before="60" w:after="60"/>
        <w:ind w:left="720" w:hanging="360"/>
      </w:pPr>
      <w:r>
        <w:rPr>
          <w:rFonts w:ascii="Arial" w:cs="Arial" w:eastAsia="Arial" w:hAnsi="Arial"/>
          <w:color w:val="1A1A2E"/>
          <w:sz w:val="22"/>
          <w:szCs w:val="22"/>
        </w:rPr>
        <w:t xml:space="preserve">Android: check for su binary at /system/bin/su, /system/xbin/su; presence of Magisk (io.github.magiskmanager package); test if /data/local/tmp is writable.</w:t>
      </w:r>
    </w:p>
    <w:p>
      <w:pPr>
        <w:pStyle w:val="ListParagraph"/>
        <w:numPr>
          <w:ilvl w:val="0"/>
          <w:numId w:val="2"/>
        </w:numPr>
        <w:spacing w:before="60" w:after="60"/>
        <w:ind w:left="720" w:hanging="360"/>
      </w:pPr>
      <w:r>
        <w:rPr>
          <w:rFonts w:ascii="Arial" w:cs="Arial" w:eastAsia="Arial" w:hAnsi="Arial"/>
          <w:color w:val="1A1A2E"/>
          <w:sz w:val="22"/>
          <w:szCs w:val="22"/>
        </w:rPr>
        <w:t xml:space="preserve">iOS: check for Cydia URL scheme (cydia://); attempt to write outside the sandbox to /private; presence of dyld hooking indicators in _dyld_get_image_name loop.</w:t>
      </w:r>
    </w:p>
    <w:p>
      <w:pPr>
        <w:pStyle w:val="ListParagraph"/>
        <w:numPr>
          <w:ilvl w:val="0"/>
          <w:numId w:val="2"/>
        </w:numPr>
        <w:spacing w:before="60" w:after="60"/>
        <w:ind w:left="720" w:hanging="360"/>
      </w:pPr>
      <w:r>
        <w:rPr>
          <w:rFonts w:ascii="Arial" w:cs="Arial" w:eastAsia="Arial" w:hAnsi="Arial"/>
          <w:color w:val="1A1A2E"/>
          <w:sz w:val="22"/>
          <w:szCs w:val="22"/>
        </w:rPr>
        <w:t xml:space="preserve">Combine all signals into a tamper score (0–100); scores above 60 trigger mandatory server-side liveness.</w:t>
      </w:r>
    </w:p>
    <w:p>
      <w:pPr>
        <w:spacing w:before="80" w:after="100"/>
      </w:pPr>
      <w:r>
        <w:t xml:space="preserve"/>
      </w:r>
    </w:p>
    <w:p>
      <w:pPr>
        <w:spacing w:before="180" w:after="100"/>
      </w:pPr>
      <w:r>
        <w:rPr>
          <w:rFonts w:ascii="Arial" w:cs="Arial" w:eastAsia="Arial" w:hAnsi="Arial"/>
          <w:b/>
          <w:bCs/>
          <w:color w:val="148F77"/>
          <w:sz w:val="22"/>
          <w:szCs w:val="22"/>
        </w:rPr>
        <w:t xml:space="preserve">Runtime Instrumentation (Frida) Detection</w:t>
      </w:r>
    </w:p>
    <w:p>
      <w:pPr>
        <w:pStyle w:val="ListParagraph"/>
        <w:numPr>
          <w:ilvl w:val="0"/>
          <w:numId w:val="2"/>
        </w:numPr>
        <w:spacing w:before="60" w:after="60"/>
        <w:ind w:left="720" w:hanging="360"/>
      </w:pPr>
      <w:r>
        <w:rPr>
          <w:rFonts w:ascii="Arial" w:cs="Arial" w:eastAsia="Arial" w:hAnsi="Arial"/>
          <w:color w:val="1A1A2E"/>
          <w:sz w:val="22"/>
          <w:szCs w:val="22"/>
        </w:rPr>
        <w:t xml:space="preserve">Scan /proc/self/maps for frida-agent.so or gum-js-loop thread names.</w:t>
      </w:r>
    </w:p>
    <w:p>
      <w:pPr>
        <w:pStyle w:val="ListParagraph"/>
        <w:numPr>
          <w:ilvl w:val="0"/>
          <w:numId w:val="2"/>
        </w:numPr>
        <w:spacing w:before="60" w:after="60"/>
        <w:ind w:left="720" w:hanging="360"/>
      </w:pPr>
      <w:r>
        <w:rPr>
          <w:rFonts w:ascii="Arial" w:cs="Arial" w:eastAsia="Arial" w:hAnsi="Arial"/>
          <w:color w:val="1A1A2E"/>
          <w:sz w:val="22"/>
          <w:szCs w:val="22"/>
        </w:rPr>
        <w:t xml:space="preserve">Detect Frida's port 27042 listener via localhost connectivity check.</w:t>
      </w:r>
    </w:p>
    <w:p>
      <w:pPr>
        <w:pStyle w:val="ListParagraph"/>
        <w:numPr>
          <w:ilvl w:val="0"/>
          <w:numId w:val="2"/>
        </w:numPr>
        <w:spacing w:before="60" w:after="60"/>
        <w:ind w:left="720" w:hanging="360"/>
      </w:pPr>
      <w:r>
        <w:rPr>
          <w:rFonts w:ascii="Arial" w:cs="Arial" w:eastAsia="Arial" w:hAnsi="Arial"/>
          <w:color w:val="1A1A2E"/>
          <w:sz w:val="22"/>
          <w:szCs w:val="22"/>
        </w:rPr>
        <w:t xml:space="preserve">Implement Runtime Application Self-Protection (RASP) via in-app integrity SDK (e.g., Guardsquare DexGuard / iXGuard); RASP hooks run on a separate thread and terminate the session if hooking is detected.</w:t>
      </w:r>
    </w:p>
    <w:p>
      <w:pPr>
        <w:pStyle w:val="ListParagraph"/>
        <w:numPr>
          <w:ilvl w:val="0"/>
          <w:numId w:val="2"/>
        </w:numPr>
        <w:spacing w:before="60" w:after="60"/>
        <w:ind w:left="720" w:hanging="360"/>
      </w:pPr>
      <w:r>
        <w:rPr>
          <w:rFonts w:ascii="Arial" w:cs="Arial" w:eastAsia="Arial" w:hAnsi="Arial"/>
          <w:color w:val="1A1A2E"/>
          <w:sz w:val="22"/>
          <w:szCs w:val="22"/>
        </w:rPr>
        <w:t xml:space="preserve">Code obfuscation with string encryption and control-flow flattening makes Frida targeting significantly harder.</w:t>
      </w:r>
    </w:p>
    <w:p>
      <w:pPr>
        <w:spacing w:before="80" w:after="100"/>
      </w:pPr>
      <w:r>
        <w:t xml:space="preserve"/>
      </w:r>
    </w:p>
    <w:p>
      <w:pPr>
        <w:spacing w:before="180" w:after="100"/>
      </w:pPr>
      <w:r>
        <w:rPr>
          <w:rFonts w:ascii="Arial" w:cs="Arial" w:eastAsia="Arial" w:hAnsi="Arial"/>
          <w:b/>
          <w:bCs/>
          <w:color w:val="148F77"/>
          <w:sz w:val="22"/>
          <w:szCs w:val="22"/>
        </w:rPr>
        <w:t xml:space="preserve">App Cloning and Repackaging</w:t>
      </w:r>
    </w:p>
    <w:p>
      <w:pPr>
        <w:pStyle w:val="ListParagraph"/>
        <w:numPr>
          <w:ilvl w:val="0"/>
          <w:numId w:val="2"/>
        </w:numPr>
        <w:spacing w:before="60" w:after="60"/>
        <w:ind w:left="720" w:hanging="360"/>
      </w:pPr>
      <w:r>
        <w:rPr>
          <w:rFonts w:ascii="Arial" w:cs="Arial" w:eastAsia="Arial" w:hAnsi="Arial"/>
          <w:color w:val="1A1A2E"/>
          <w:sz w:val="22"/>
          <w:szCs w:val="22"/>
        </w:rPr>
        <w:t xml:space="preserve">Verify APK signature certificate hash at runtime against the pinned expected hash.</w:t>
      </w:r>
    </w:p>
    <w:p>
      <w:pPr>
        <w:pStyle w:val="ListParagraph"/>
        <w:numPr>
          <w:ilvl w:val="0"/>
          <w:numId w:val="2"/>
        </w:numPr>
        <w:spacing w:before="60" w:after="60"/>
        <w:ind w:left="720" w:hanging="360"/>
      </w:pPr>
      <w:r>
        <w:rPr>
          <w:rFonts w:ascii="Arial" w:cs="Arial" w:eastAsia="Arial" w:hAnsi="Arial"/>
          <w:color w:val="1A1A2E"/>
          <w:sz w:val="22"/>
          <w:szCs w:val="22"/>
        </w:rPr>
        <w:t xml:space="preserve">Android SafetyNet / Play Integrity API — verify ctsProfileMatch and basicIntegrity.</w:t>
      </w:r>
    </w:p>
    <w:p>
      <w:pPr>
        <w:pStyle w:val="ListParagraph"/>
        <w:numPr>
          <w:ilvl w:val="0"/>
          <w:numId w:val="2"/>
        </w:numPr>
        <w:spacing w:before="60" w:after="60"/>
        <w:ind w:left="720" w:hanging="360"/>
      </w:pPr>
      <w:r>
        <w:rPr>
          <w:rFonts w:ascii="Arial" w:cs="Arial" w:eastAsia="Arial" w:hAnsi="Arial"/>
          <w:color w:val="1A1A2E"/>
          <w:sz w:val="22"/>
          <w:szCs w:val="22"/>
        </w:rPr>
        <w:t xml:space="preserve">iOS App Attest API — verify device attestation key and assertion per session.</w:t>
      </w:r>
    </w:p>
    <w:p>
      <w:pPr>
        <w:pStyle w:val="ListParagraph"/>
        <w:numPr>
          <w:ilvl w:val="0"/>
          <w:numId w:val="2"/>
        </w:numPr>
        <w:spacing w:before="60" w:after="60"/>
        <w:ind w:left="720" w:hanging="360"/>
      </w:pPr>
      <w:r>
        <w:rPr>
          <w:rFonts w:ascii="Arial" w:cs="Arial" w:eastAsia="Arial" w:hAnsi="Arial"/>
          <w:color w:val="1A1A2E"/>
          <w:sz w:val="22"/>
          <w:szCs w:val="22"/>
        </w:rPr>
        <w:t xml:space="preserve">Detect shared UID collisions on Android (two apps with same sharedUserId = repackaging indicator).</w:t>
      </w:r>
    </w:p>
    <w:p>
      <w:pPr>
        <w:spacing w:before="0" w:after="0"/>
      </w:pPr>
      <w:r>
        <w:br w:type="page"/>
      </w:r>
    </w:p>
    <w:p>
      <w:pPr>
        <w:pStyle w:val="Heading2"/>
        <w:spacing w:before="280" w:after="160"/>
      </w:pPr>
      <w:r>
        <w:rPr>
          <w:rFonts w:ascii="Arial" w:cs="Arial" w:eastAsia="Arial" w:hAnsi="Arial"/>
          <w:b/>
          <w:bCs/>
          <w:color w:val="1B4F8A"/>
          <w:sz w:val="28"/>
          <w:szCs w:val="28"/>
        </w:rPr>
        <w:t xml:space="preserve">2.2  Behavioral Biometrics Module</w:t>
      </w:r>
    </w:p>
    <w:p>
      <w:pPr>
        <w:spacing w:before="80" w:after="80"/>
        <w:jc w:val="both"/>
      </w:pPr>
      <w:r>
        <w:rPr>
          <w:rFonts w:ascii="Arial" w:cs="Arial" w:eastAsia="Arial" w:hAnsi="Arial"/>
          <w:color w:val="1A1A2E"/>
          <w:sz w:val="22"/>
          <w:szCs w:val="22"/>
        </w:rPr>
        <w:t xml:space="preserve">The Behavioral Analysis Service passively captures interaction telemetry and builds a per-user behavioral profile. Deviations from this profile contribute to the session risk score. The system distinguishes between malicious anomalies (ATO) and benign atypical behavior (injured user, new device) through multi-modal fusion.</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Data Type</w:t>
            </w:r>
          </w:p>
        </w:tc>
        <w:tc>
          <w:tcPr>
            <w:tcW w:type="dxa" w:w="4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Signals Collected</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Model Type</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Keystroke Dynamics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Key-down/up timestamps, dwell time, flight time, typing rhythm FFT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LSTM (sequential)</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Mouse Dynamics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Cursor velocity, curvature index, click hesitation, scroll inertia vector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Autoencoder (anomaly)</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Touch / Mobile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Swipe velocity, pressure (if available), finger size, grip orientation (gyro+accel)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CNN + LSTM hybrid</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Navigation Patterns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Page visit sequence, time-on-page distribution, back-button usage frequency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Markov chain model</w:t>
            </w:r>
          </w:p>
        </w:tc>
      </w:tr>
    </w:tbl>
    <w:p>
      <w:pPr>
        <w:spacing w:before="120" w:after="100"/>
      </w:pPr>
      <w:r>
        <w:t xml:space="preserve"/>
      </w:r>
    </w:p>
    <w:p>
      <w:pPr>
        <w:pStyle w:val="Heading3"/>
        <w:spacing w:before="220" w:after="120"/>
      </w:pPr>
      <w:r>
        <w:rPr>
          <w:rFonts w:ascii="Arial" w:cs="Arial" w:eastAsia="Arial" w:hAnsi="Arial"/>
          <w:b/>
          <w:bCs/>
          <w:color w:val="2E86C1"/>
          <w:sz w:val="24"/>
          <w:szCs w:val="24"/>
        </w:rPr>
        <w:t xml:space="preserve">ML Pipeline</w:t>
      </w:r>
    </w:p>
    <w:p>
      <w:pPr>
        <w:pStyle w:val="ListParagraph"/>
        <w:numPr>
          <w:ilvl w:val="0"/>
          <w:numId w:val="3"/>
        </w:numPr>
        <w:spacing w:before="60" w:after="60"/>
      </w:pPr>
      <w:r>
        <w:rPr>
          <w:rFonts w:ascii="Arial" w:cs="Arial" w:eastAsia="Arial" w:hAnsi="Arial"/>
          <w:color w:val="1A1A2E"/>
          <w:sz w:val="22"/>
          <w:szCs w:val="22"/>
        </w:rPr>
        <w:t xml:space="preserve">Data Collection: SDK captures events at 50 ms granularity; batched and sent via WebSocket to the Behavioral Analysis Service.</w:t>
      </w:r>
    </w:p>
    <w:p>
      <w:pPr>
        <w:pStyle w:val="ListParagraph"/>
        <w:numPr>
          <w:ilvl w:val="0"/>
          <w:numId w:val="3"/>
        </w:numPr>
        <w:spacing w:before="60" w:after="60"/>
      </w:pPr>
      <w:r>
        <w:rPr>
          <w:rFonts w:ascii="Arial" w:cs="Arial" w:eastAsia="Arial" w:hAnsi="Arial"/>
          <w:color w:val="1A1A2E"/>
          <w:sz w:val="22"/>
          <w:szCs w:val="22"/>
        </w:rPr>
        <w:t xml:space="preserve">Feature Engineering: extract 47 derived features per session (e.g., mean dwell time, typing burst entropy, mouse angle variance).</w:t>
      </w:r>
    </w:p>
    <w:p>
      <w:pPr>
        <w:pStyle w:val="ListParagraph"/>
        <w:numPr>
          <w:ilvl w:val="0"/>
          <w:numId w:val="3"/>
        </w:numPr>
        <w:spacing w:before="60" w:after="60"/>
      </w:pPr>
      <w:r>
        <w:rPr>
          <w:rFonts w:ascii="Arial" w:cs="Arial" w:eastAsia="Arial" w:hAnsi="Arial"/>
          <w:color w:val="1A1A2E"/>
          <w:sz w:val="22"/>
          <w:szCs w:val="22"/>
        </w:rPr>
        <w:t xml:space="preserve">Profile Bootstrapping: first 5 sessions used to build initial baseline via Gaussian Mixture Model. Profile stored as 256-dimensional vector in Redis (TTL: 90 days with rolling refresh).</w:t>
      </w:r>
    </w:p>
    <w:p>
      <w:pPr>
        <w:pStyle w:val="ListParagraph"/>
        <w:numPr>
          <w:ilvl w:val="0"/>
          <w:numId w:val="3"/>
        </w:numPr>
        <w:spacing w:before="60" w:after="60"/>
      </w:pPr>
      <w:r>
        <w:rPr>
          <w:rFonts w:ascii="Arial" w:cs="Arial" w:eastAsia="Arial" w:hAnsi="Arial"/>
          <w:color w:val="1A1A2E"/>
          <w:sz w:val="22"/>
          <w:szCs w:val="22"/>
        </w:rPr>
        <w:t xml:space="preserve">Anomaly Scoring: current session vector compared against stored profile using Mahalanobis distance. Isolation Forest used for population-level outlier detection.</w:t>
      </w:r>
    </w:p>
    <w:p>
      <w:pPr>
        <w:pStyle w:val="ListParagraph"/>
        <w:numPr>
          <w:ilvl w:val="0"/>
          <w:numId w:val="3"/>
        </w:numPr>
        <w:spacing w:before="60" w:after="60"/>
      </w:pPr>
      <w:r>
        <w:rPr>
          <w:rFonts w:ascii="Arial" w:cs="Arial" w:eastAsia="Arial" w:hAnsi="Arial"/>
          <w:color w:val="1A1A2E"/>
          <w:sz w:val="22"/>
          <w:szCs w:val="22"/>
        </w:rPr>
        <w:t xml:space="preserve">Risk Contribution: normalised anomaly score (0–1) fed to ML Scoring Orchestrator as a feature.</w:t>
      </w:r>
    </w:p>
    <w:p>
      <w:pPr>
        <w:spacing w:before="80" w:after="100"/>
      </w:pPr>
      <w:r>
        <w:t xml:space="preserve"/>
      </w:r>
    </w:p>
    <w:tbl>
      <w:tblPr>
        <w:tblW w:type="dxa" w:w="9360"/>
        <w:tblBorders>
          <w:top w:val="single" w:color="148F77" w:sz="8"/>
          <w:left w:val="single" w:color="148F77" w:sz="20"/>
          <w:bottom w:val="single" w:color="148F77"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148F77"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148F77"/>
                <w:sz w:val="21"/>
                <w:szCs w:val="21"/>
              </w:rPr>
              <w:t xml:space="preserve">False Positive Mitigation</w:t>
            </w:r>
          </w:p>
          <w:p>
            <w:pPr>
              <w:spacing w:before="0" w:after="0"/>
              <w:jc w:val="both"/>
            </w:pPr>
            <w:r>
              <w:rPr>
                <w:rFonts w:ascii="Arial" w:cs="Arial" w:eastAsia="Arial" w:hAnsi="Arial"/>
                <w:color w:val="1A1A2E"/>
                <w:sz w:val="21"/>
                <w:szCs w:val="21"/>
              </w:rPr>
              <w:t xml:space="preserve">Multi-modal fusion is the primary defence. A user may type unusually (injury) but their mouse movements and navigation remain normal. Only when 3+ modalities diverge simultaneously does the score spike. Additionally, a 'grace window' of 15 minutes allows the profile to adapt to a new device before penalising the session.</w:t>
            </w:r>
          </w:p>
        </w:tc>
      </w:tr>
    </w:tbl>
    <w:p>
      <w:pPr>
        <w:spacing w:before="120" w:after="100"/>
      </w:pPr>
      <w:r>
        <w:t xml:space="preserve"/>
      </w:r>
    </w:p>
    <w:p>
      <w:pPr>
        <w:pStyle w:val="Heading3"/>
        <w:spacing w:before="220" w:after="120"/>
      </w:pPr>
      <w:r>
        <w:rPr>
          <w:rFonts w:ascii="Arial" w:cs="Arial" w:eastAsia="Arial" w:hAnsi="Arial"/>
          <w:b/>
          <w:bCs/>
          <w:color w:val="2E86C1"/>
          <w:sz w:val="24"/>
          <w:szCs w:val="24"/>
        </w:rPr>
        <w:t xml:space="preserve">Privacy Implementation</w:t>
      </w:r>
    </w:p>
    <w:p>
      <w:pPr>
        <w:pStyle w:val="ListParagraph"/>
        <w:numPr>
          <w:ilvl w:val="0"/>
          <w:numId w:val="2"/>
        </w:numPr>
        <w:spacing w:before="60" w:after="60"/>
        <w:ind w:left="720" w:hanging="360"/>
      </w:pPr>
      <w:r>
        <w:rPr>
          <w:rFonts w:ascii="Arial" w:cs="Arial" w:eastAsia="Arial" w:hAnsi="Arial"/>
          <w:color w:val="1A1A2E"/>
          <w:sz w:val="22"/>
          <w:szCs w:val="22"/>
        </w:rPr>
        <w:t xml:space="preserve">Keystroke data captures timing metadata only, never key content — enforced at SDK level by event interception before any character is recorded.</w:t>
      </w:r>
    </w:p>
    <w:p>
      <w:pPr>
        <w:pStyle w:val="ListParagraph"/>
        <w:numPr>
          <w:ilvl w:val="0"/>
          <w:numId w:val="2"/>
        </w:numPr>
        <w:spacing w:before="60" w:after="60"/>
        <w:ind w:left="720" w:hanging="360"/>
      </w:pPr>
      <w:r>
        <w:rPr>
          <w:rFonts w:ascii="Arial" w:cs="Arial" w:eastAsia="Arial" w:hAnsi="Arial"/>
          <w:color w:val="1A1A2E"/>
          <w:sz w:val="22"/>
          <w:szCs w:val="22"/>
        </w:rPr>
        <w:t xml:space="preserve">All behavioral vectors stored as encrypted, pseudonymised feature arrays. No raw interaction logs retained beyond 24 hours.</w:t>
      </w:r>
    </w:p>
    <w:p>
      <w:pPr>
        <w:pStyle w:val="ListParagraph"/>
        <w:numPr>
          <w:ilvl w:val="0"/>
          <w:numId w:val="2"/>
        </w:numPr>
        <w:spacing w:before="60" w:after="60"/>
        <w:ind w:left="720" w:hanging="360"/>
      </w:pPr>
      <w:r>
        <w:rPr>
          <w:rFonts w:ascii="Arial" w:cs="Arial" w:eastAsia="Arial" w:hAnsi="Arial"/>
          <w:color w:val="1A1A2E"/>
          <w:sz w:val="22"/>
          <w:szCs w:val="22"/>
        </w:rPr>
        <w:t xml:space="preserve">Users can inspect their behavioral profile data via the Right of Access endpoint and request deletion via the Right to Erasure workflow.</w:t>
      </w:r>
    </w:p>
    <w:p>
      <w:pPr>
        <w:spacing w:before="0" w:after="0"/>
      </w:pPr>
      <w:r>
        <w:br w:type="page"/>
      </w:r>
    </w:p>
    <w:p>
      <w:pPr>
        <w:pStyle w:val="Heading2"/>
        <w:spacing w:before="280" w:after="160"/>
      </w:pPr>
      <w:r>
        <w:rPr>
          <w:rFonts w:ascii="Arial" w:cs="Arial" w:eastAsia="Arial" w:hAnsi="Arial"/>
          <w:b/>
          <w:bCs/>
          <w:color w:val="1B4F8A"/>
          <w:sz w:val="28"/>
          <w:szCs w:val="28"/>
        </w:rPr>
        <w:t xml:space="preserve">2.3  Graph Analysis Module (Neo4j)</w:t>
      </w:r>
    </w:p>
    <w:p>
      <w:pPr>
        <w:spacing w:before="80" w:after="80"/>
        <w:jc w:val="both"/>
      </w:pPr>
      <w:r>
        <w:rPr>
          <w:rFonts w:ascii="Arial" w:cs="Arial" w:eastAsia="Arial" w:hAnsi="Arial"/>
          <w:color w:val="1A1A2E"/>
          <w:sz w:val="22"/>
          <w:szCs w:val="22"/>
        </w:rPr>
        <w:t xml:space="preserve">The Graph Analysis Service maintains a real-time knowledge graph of entity relationships. It answers two questions: (1) Are these entities known to be linked to confirmed fraud? (2) Does this entity's neighbourhood exhibit community-level fraud patterns?</w:t>
      </w:r>
    </w:p>
    <w:p>
      <w:pPr>
        <w:spacing w:before="80" w:after="100"/>
      </w:pPr>
      <w:r>
        <w:t xml:space="preserve"/>
      </w:r>
    </w:p>
    <w:p>
      <w:pPr>
        <w:pStyle w:val="Heading3"/>
        <w:spacing w:before="220" w:after="120"/>
      </w:pPr>
      <w:r>
        <w:rPr>
          <w:rFonts w:ascii="Arial" w:cs="Arial" w:eastAsia="Arial" w:hAnsi="Arial"/>
          <w:b/>
          <w:bCs/>
          <w:color w:val="2E86C1"/>
          <w:sz w:val="24"/>
          <w:szCs w:val="24"/>
        </w:rPr>
        <w:t xml:space="preserve">Graph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Node Type</w:t>
            </w:r>
          </w:p>
        </w:tc>
        <w:tc>
          <w:tcPr>
            <w:tcW w:type="dxa" w:w="4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Key Properties</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Relationships</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User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user_hash (pseudonym), risk_score, created_at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HAS_USED, PERFORMED, OWNS</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Device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device_hash, os_family, tamper_score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HAS_USED (by User)</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IP_Address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ip_hash, asn, country_code, is_proxy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ACCESSED_FROM (by Session)</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PaymentMethod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card_hash, bank_hash,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USING (by Transaction), OWNS (by User)</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Transaction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tx_hash, amount_band, status, timestamp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PERFORMED (by User), FROM_IP</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session_id, device_hash, risk_score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AUTHENTICATES (User), EXECUTED (Transactions)</w:t>
            </w:r>
          </w:p>
        </w:tc>
      </w:tr>
    </w:tbl>
    <w:p>
      <w:pPr>
        <w:spacing w:before="120" w:after="100"/>
      </w:pPr>
      <w:r>
        <w:t xml:space="preserve"/>
      </w:r>
    </w:p>
    <w:p>
      <w:pPr>
        <w:pStyle w:val="Heading3"/>
        <w:spacing w:before="220" w:after="120"/>
      </w:pPr>
      <w:r>
        <w:rPr>
          <w:rFonts w:ascii="Arial" w:cs="Arial" w:eastAsia="Arial" w:hAnsi="Arial"/>
          <w:b/>
          <w:bCs/>
          <w:color w:val="2E86C1"/>
          <w:sz w:val="24"/>
          <w:szCs w:val="24"/>
        </w:rPr>
        <w:t xml:space="preserve">Real-Time Query Patterns (Cypher)</w:t>
      </w:r>
    </w:p>
    <w:p>
      <w:pPr>
        <w:spacing w:before="80" w:after="80"/>
        <w:jc w:val="both"/>
      </w:pPr>
      <w:r>
        <w:rPr>
          <w:rFonts w:ascii="Arial" w:cs="Arial" w:eastAsia="Arial" w:hAnsi="Arial"/>
          <w:color w:val="1A1A2E"/>
          <w:sz w:val="22"/>
          <w:szCs w:val="22"/>
        </w:rPr>
        <w:t xml:space="preserve">The following queries run in &lt; 50 ms on a properly indexed Neo4j instance with warm page cache.</w:t>
      </w:r>
    </w:p>
    <w:p>
      <w:pPr>
        <w:spacing w:before="80" w:after="100"/>
      </w:pPr>
      <w:r>
        <w:t xml:space="preserve"/>
      </w:r>
    </w:p>
    <w:tbl>
      <w:tblPr>
        <w:tblW w:type="dxa" w:w="9360"/>
        <w:tblBorders>
          <w:top w:val="single" w:color="2E86C1" w:sz="8"/>
          <w:left w:val="single" w:color="2E86C1" w:sz="20"/>
          <w:bottom w:val="single" w:color="2E86C1"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2E86C1"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2E86C1"/>
                <w:sz w:val="21"/>
                <w:szCs w:val="21"/>
              </w:rPr>
              <w:t xml:space="preserve">Query 1 — Shared Device (Synthetic Identity Detection)</w:t>
            </w:r>
          </w:p>
          <w:p>
            <w:pPr>
              <w:spacing w:before="0" w:after="0"/>
              <w:jc w:val="both"/>
            </w:pPr>
            <w:r>
              <w:rPr>
                <w:rFonts w:ascii="Arial" w:cs="Arial" w:eastAsia="Arial" w:hAnsi="Arial"/>
                <w:color w:val="1A1A2E"/>
                <w:sz w:val="21"/>
                <w:szCs w:val="21"/>
              </w:rPr>
              <w:t xml:space="preserve">MATCH (u1:User)-[:HAS_USED]-&gt;(d:Device)&lt;-[:HAS_USED]-(u2:User)
WHERE id(u1) &lt; id(u2) AND d.tamper_score &lt; 40
RETURN u1.user_hash, u2.user_hash, d.device_hash, count(*) AS shared_sessions
ORDER BY shared_sessions DESC LIMIT 50</w:t>
            </w:r>
          </w:p>
        </w:tc>
      </w:tr>
    </w:tbl>
    <w:p>
      <w:pPr>
        <w:spacing w:before="80" w:after="100"/>
      </w:pPr>
      <w:r>
        <w:t xml:space="preserve"/>
      </w:r>
    </w:p>
    <w:tbl>
      <w:tblPr>
        <w:tblW w:type="dxa" w:w="9360"/>
        <w:tblBorders>
          <w:top w:val="single" w:color="2E86C1" w:sz="8"/>
          <w:left w:val="single" w:color="2E86C1" w:sz="20"/>
          <w:bottom w:val="single" w:color="2E86C1"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2E86C1"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2E86C1"/>
                <w:sz w:val="21"/>
                <w:szCs w:val="21"/>
              </w:rPr>
              <w:t xml:space="preserve">Query 2 — Circular Transaction Ring (Money Laundering)</w:t>
            </w:r>
          </w:p>
          <w:p>
            <w:pPr>
              <w:spacing w:before="0" w:after="0"/>
              <w:jc w:val="both"/>
            </w:pPr>
            <w:r>
              <w:rPr>
                <w:rFonts w:ascii="Arial" w:cs="Arial" w:eastAsia="Arial" w:hAnsi="Arial"/>
                <w:color w:val="1A1A2E"/>
                <w:sz w:val="21"/>
                <w:szCs w:val="21"/>
              </w:rPr>
              <w:t xml:space="preserve">MATCH path = (a:Account)-[:SENT*3..7]-&gt;(a)
WHERE ALL(r IN relationships(path) WHERE r.timestamp &gt; timestamp() - 3600000)
RETURN path, length(path) AS ring_length
ORDER BY ring_length ASC LIMIT 20</w:t>
            </w:r>
          </w:p>
        </w:tc>
      </w:tr>
    </w:tbl>
    <w:p>
      <w:pPr>
        <w:spacing w:before="80" w:after="100"/>
      </w:pPr>
      <w:r>
        <w:t xml:space="preserve"/>
      </w:r>
    </w:p>
    <w:tbl>
      <w:tblPr>
        <w:tblW w:type="dxa" w:w="9360"/>
        <w:tblBorders>
          <w:top w:val="single" w:color="2E86C1" w:sz="8"/>
          <w:left w:val="single" w:color="2E86C1" w:sz="20"/>
          <w:bottom w:val="single" w:color="2E86C1"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2E86C1"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2E86C1"/>
                <w:sz w:val="21"/>
                <w:szCs w:val="21"/>
              </w:rPr>
              <w:t xml:space="preserve">Query 3 — High-Risk IP Neighbourhood</w:t>
            </w:r>
          </w:p>
          <w:p>
            <w:pPr>
              <w:spacing w:before="0" w:after="0"/>
              <w:jc w:val="both"/>
            </w:pPr>
            <w:r>
              <w:rPr>
                <w:rFonts w:ascii="Arial" w:cs="Arial" w:eastAsia="Arial" w:hAnsi="Arial"/>
                <w:color w:val="1A1A2E"/>
                <w:sz w:val="21"/>
                <w:szCs w:val="21"/>
              </w:rPr>
              <w:t xml:space="preserve">MATCH (ip:IP_Address {is_proxy: true})&lt;-[:ACCESSED_FROM]-(s:Session)&lt;-[:AUTHENTICATES]-(u:User)
WHERE s.timestamp &gt; timestamp() - 86400000
WITH ip, collect(DISTINCT u.user_hash) AS users
WHERE size(users) &gt; 5
RETURN ip.ip_hash, size(users) AS unique_users_today</w:t>
            </w:r>
          </w:p>
        </w:tc>
      </w:tr>
    </w:tbl>
    <w:p>
      <w:pPr>
        <w:spacing w:before="120" w:after="100"/>
      </w:pPr>
      <w:r>
        <w:t xml:space="preserve"/>
      </w:r>
    </w:p>
    <w:p>
      <w:pPr>
        <w:pStyle w:val="Heading3"/>
        <w:spacing w:before="220" w:after="120"/>
      </w:pPr>
      <w:r>
        <w:rPr>
          <w:rFonts w:ascii="Arial" w:cs="Arial" w:eastAsia="Arial" w:hAnsi="Arial"/>
          <w:b/>
          <w:bCs/>
          <w:color w:val="2E86C1"/>
          <w:sz w:val="24"/>
          <w:szCs w:val="24"/>
        </w:rPr>
        <w:t xml:space="preserve">Offline Community Detection (Weekly Batch)</w:t>
      </w:r>
    </w:p>
    <w:p>
      <w:pPr>
        <w:pStyle w:val="ListParagraph"/>
        <w:numPr>
          <w:ilvl w:val="0"/>
          <w:numId w:val="2"/>
        </w:numPr>
        <w:spacing w:before="60" w:after="60"/>
        <w:ind w:left="720" w:hanging="360"/>
      </w:pPr>
      <w:r>
        <w:rPr>
          <w:rFonts w:ascii="Arial" w:cs="Arial" w:eastAsia="Arial" w:hAnsi="Arial"/>
          <w:color w:val="1A1A2E"/>
          <w:sz w:val="22"/>
          <w:szCs w:val="22"/>
        </w:rPr>
        <w:t xml:space="preserve">Leiden Algorithm (improvement over Louvain): partition the full graph into communities optimised for modularity. Flag communities where &gt; 30% of members have confirmed fraud labels.</w:t>
      </w:r>
    </w:p>
    <w:p>
      <w:pPr>
        <w:pStyle w:val="ListParagraph"/>
        <w:numPr>
          <w:ilvl w:val="0"/>
          <w:numId w:val="2"/>
        </w:numPr>
        <w:spacing w:before="60" w:after="60"/>
        <w:ind w:left="720" w:hanging="360"/>
      </w:pPr>
      <w:r>
        <w:rPr>
          <w:rFonts w:ascii="Arial" w:cs="Arial" w:eastAsia="Arial" w:hAnsi="Arial"/>
          <w:color w:val="1A1A2E"/>
          <w:sz w:val="22"/>
          <w:szCs w:val="22"/>
        </w:rPr>
        <w:t xml:space="preserve">Label Propagation Algorithm (LPA): fast propagation for identifying densely linked fraud rings; runs in O(n) time, suitable for graphs with 100M+ edges.</w:t>
      </w:r>
    </w:p>
    <w:p>
      <w:pPr>
        <w:pStyle w:val="ListParagraph"/>
        <w:numPr>
          <w:ilvl w:val="0"/>
          <w:numId w:val="2"/>
        </w:numPr>
        <w:spacing w:before="60" w:after="60"/>
        <w:ind w:left="720" w:hanging="360"/>
      </w:pPr>
      <w:r>
        <w:rPr>
          <w:rFonts w:ascii="Arial" w:cs="Arial" w:eastAsia="Arial" w:hAnsi="Arial"/>
          <w:color w:val="1A1A2E"/>
          <w:sz w:val="22"/>
          <w:szCs w:val="22"/>
        </w:rPr>
        <w:t xml:space="preserve">PageRank (adapted): identify central nodes (money mule accounts, credential farms) within flagged communities. Nodes with PageRank &gt; 0.8 within their community receive a permanent high-risk label.</w:t>
      </w:r>
    </w:p>
    <w:p>
      <w:pPr>
        <w:spacing w:before="0" w:after="0"/>
      </w:pPr>
      <w:r>
        <w:br w:type="page"/>
      </w:r>
    </w:p>
    <w:p>
      <w:pPr>
        <w:pStyle w:val="Heading2"/>
        <w:spacing w:before="280" w:after="160"/>
      </w:pPr>
      <w:r>
        <w:rPr>
          <w:rFonts w:ascii="Arial" w:cs="Arial" w:eastAsia="Arial" w:hAnsi="Arial"/>
          <w:b/>
          <w:bCs/>
          <w:color w:val="1B4F8A"/>
          <w:sz w:val="28"/>
          <w:szCs w:val="28"/>
        </w:rPr>
        <w:t xml:space="preserve">2.4  Machine Learning Risk Scoring Engine</w:t>
      </w:r>
    </w:p>
    <w:p>
      <w:pPr>
        <w:pStyle w:val="Heading3"/>
        <w:spacing w:before="220" w:after="120"/>
      </w:pPr>
      <w:r>
        <w:rPr>
          <w:rFonts w:ascii="Arial" w:cs="Arial" w:eastAsia="Arial" w:hAnsi="Arial"/>
          <w:b/>
          <w:bCs/>
          <w:color w:val="2E86C1"/>
          <w:sz w:val="24"/>
          <w:szCs w:val="24"/>
        </w:rPr>
        <w:t xml:space="preserve">Model Architecture</w:t>
      </w:r>
    </w:p>
    <w:p>
      <w:pPr>
        <w:spacing w:before="80" w:after="80"/>
        <w:jc w:val="both"/>
      </w:pPr>
      <w:r>
        <w:rPr>
          <w:rFonts w:ascii="Arial" w:cs="Arial" w:eastAsia="Arial" w:hAnsi="Arial"/>
          <w:color w:val="1A1A2E"/>
          <w:sz w:val="22"/>
          <w:szCs w:val="22"/>
        </w:rPr>
        <w:t xml:space="preserve">The ML Scoring Orchestrator uses a three-tier ensemble. Diversity across architecture and training data is the primary adversarial defence — an attack that fools XGBoost is unlikely to simultaneously fool the LSTM and the graph embedding model.</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600"/>
        <w:gridCol w:w="20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Model</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Input Features</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Output</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Retraining Cadence</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XGBoost (Tier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Device signals, network features, transaction metadata (47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P(fraud) 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Weekly, on 30-day window</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LSTM (Tier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Behavioral time-series (keystroke, mouse), 256-step sequence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Anomaly score 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Bi-weekly</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Graph Embedding (Tier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Node2Vec embeddings of 3-hop neighbourhood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Community risk 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Weekly after Leiden run</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Meta-Learner (Tier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Tier-1 outputs + liveness score + relay signals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Final risk score 0–100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Daily, on analyst labels</w:t>
            </w:r>
          </w:p>
        </w:tc>
      </w:tr>
    </w:tbl>
    <w:p>
      <w:pPr>
        <w:spacing w:before="120" w:after="100"/>
      </w:pPr>
      <w:r>
        <w:t xml:space="preserve"/>
      </w:r>
    </w:p>
    <w:p>
      <w:pPr>
        <w:pStyle w:val="Heading3"/>
        <w:spacing w:before="220" w:after="120"/>
      </w:pPr>
      <w:r>
        <w:rPr>
          <w:rFonts w:ascii="Arial" w:cs="Arial" w:eastAsia="Arial" w:hAnsi="Arial"/>
          <w:b/>
          <w:bCs/>
          <w:color w:val="2E86C1"/>
          <w:sz w:val="24"/>
          <w:szCs w:val="24"/>
        </w:rPr>
        <w:t xml:space="preserve">Adversarial Defence Stack</w:t>
      </w:r>
    </w:p>
    <w:p>
      <w:pPr>
        <w:spacing w:before="180" w:after="100"/>
      </w:pPr>
      <w:r>
        <w:rPr>
          <w:rFonts w:ascii="Arial" w:cs="Arial" w:eastAsia="Arial" w:hAnsi="Arial"/>
          <w:b/>
          <w:bCs/>
          <w:color w:val="148F77"/>
          <w:sz w:val="22"/>
          <w:szCs w:val="22"/>
        </w:rPr>
        <w:t xml:space="preserve">Adversarial Training</w:t>
      </w:r>
    </w:p>
    <w:p>
      <w:pPr>
        <w:spacing w:before="80" w:after="80"/>
        <w:jc w:val="both"/>
      </w:pPr>
      <w:r>
        <w:rPr>
          <w:rFonts w:ascii="Arial" w:cs="Arial" w:eastAsia="Arial" w:hAnsi="Arial"/>
          <w:color w:val="1A1A2E"/>
          <w:sz w:val="22"/>
          <w:szCs w:val="22"/>
        </w:rPr>
        <w:t xml:space="preserve">Models are trained on a 70/20/10 split: 70% legitimate sessions, 20% confirmed fraud, 10% synthetically generated adversarial examples (FGSM and PGD attacks applied to feature vectors). This exposes the model to deceptive boundary cases without requiring real adversarial data.</w:t>
      </w:r>
    </w:p>
    <w:p>
      <w:pPr>
        <w:spacing w:before="80" w:after="100"/>
      </w:pPr>
      <w:r>
        <w:t xml:space="preserve"/>
      </w:r>
    </w:p>
    <w:p>
      <w:pPr>
        <w:spacing w:before="180" w:after="100"/>
      </w:pPr>
      <w:r>
        <w:rPr>
          <w:rFonts w:ascii="Arial" w:cs="Arial" w:eastAsia="Arial" w:hAnsi="Arial"/>
          <w:b/>
          <w:bCs/>
          <w:color w:val="148F77"/>
          <w:sz w:val="22"/>
          <w:szCs w:val="22"/>
        </w:rPr>
        <w:t xml:space="preserve">Input Sanitisation and Validation</w:t>
      </w:r>
    </w:p>
    <w:p>
      <w:pPr>
        <w:pStyle w:val="ListParagraph"/>
        <w:numPr>
          <w:ilvl w:val="0"/>
          <w:numId w:val="2"/>
        </w:numPr>
        <w:spacing w:before="60" w:after="60"/>
        <w:ind w:left="720" w:hanging="360"/>
      </w:pPr>
      <w:r>
        <w:rPr>
          <w:rFonts w:ascii="Arial" w:cs="Arial" w:eastAsia="Arial" w:hAnsi="Arial"/>
          <w:color w:val="1A1A2E"/>
          <w:sz w:val="22"/>
          <w:szCs w:val="22"/>
        </w:rPr>
        <w:t xml:space="preserve">Whitelist validation: all incoming feature values must fall within pre-computed percentile bounds [P0.1, P99.9] from the training distribution. Values outside this range are clipped with an 'outlier' flag feature set to 1.</w:t>
      </w:r>
    </w:p>
    <w:p>
      <w:pPr>
        <w:pStyle w:val="ListParagraph"/>
        <w:numPr>
          <w:ilvl w:val="0"/>
          <w:numId w:val="2"/>
        </w:numPr>
        <w:spacing w:before="60" w:after="60"/>
        <w:ind w:left="720" w:hanging="360"/>
      </w:pPr>
      <w:r>
        <w:rPr>
          <w:rFonts w:ascii="Arial" w:cs="Arial" w:eastAsia="Arial" w:hAnsi="Arial"/>
          <w:color w:val="1A1A2E"/>
          <w:sz w:val="22"/>
          <w:szCs w:val="22"/>
        </w:rPr>
        <w:t xml:space="preserve">Type and length checks: Protobuf schema enforces strict typing. Any field mismatch is rejected at the gRPC boundary before reaching the model.</w:t>
      </w:r>
    </w:p>
    <w:p>
      <w:pPr>
        <w:pStyle w:val="ListParagraph"/>
        <w:numPr>
          <w:ilvl w:val="0"/>
          <w:numId w:val="2"/>
        </w:numPr>
        <w:spacing w:before="60" w:after="60"/>
        <w:ind w:left="720" w:hanging="360"/>
      </w:pPr>
      <w:r>
        <w:rPr>
          <w:rFonts w:ascii="Arial" w:cs="Arial" w:eastAsia="Arial" w:hAnsi="Arial"/>
          <w:color w:val="1A1A2E"/>
          <w:sz w:val="22"/>
          <w:szCs w:val="22"/>
        </w:rPr>
        <w:t xml:space="preserve">Temporal consistency: event timestamps are validated against server clock with a 30-second tolerance; replayed sessions are detected via nonce tracking (Redis SET with TTL).</w:t>
      </w:r>
    </w:p>
    <w:p>
      <w:pPr>
        <w:spacing w:before="80" w:after="100"/>
      </w:pPr>
      <w:r>
        <w:t xml:space="preserve"/>
      </w:r>
    </w:p>
    <w:p>
      <w:pPr>
        <w:spacing w:before="180" w:after="100"/>
      </w:pPr>
      <w:r>
        <w:rPr>
          <w:rFonts w:ascii="Arial" w:cs="Arial" w:eastAsia="Arial" w:hAnsi="Arial"/>
          <w:b/>
          <w:bCs/>
          <w:color w:val="148F77"/>
          <w:sz w:val="22"/>
          <w:szCs w:val="22"/>
        </w:rPr>
        <w:t xml:space="preserve">Differential Privacy</w:t>
      </w:r>
    </w:p>
    <w:p>
      <w:pPr>
        <w:spacing w:before="80" w:after="80"/>
        <w:jc w:val="both"/>
      </w:pPr>
      <w:r>
        <w:rPr>
          <w:rFonts w:ascii="Arial" w:cs="Arial" w:eastAsia="Arial" w:hAnsi="Arial"/>
          <w:color w:val="1A1A2E"/>
          <w:sz w:val="22"/>
          <w:szCs w:val="22"/>
        </w:rPr>
        <w:t xml:space="preserve">Training data is protected with epsilon-DP (epsilon = 0.5, delta = 1e-5) using the Google DP Library. This prevents model inversion attacks that could reconstruct individual user behavioral patterns from model weights. The 1% accuracy cost (measured empirically) is acceptable given the privacy benefit.</w:t>
      </w:r>
    </w:p>
    <w:p>
      <w:pPr>
        <w:spacing w:before="80" w:after="100"/>
      </w:pPr>
      <w:r>
        <w:t xml:space="preserve"/>
      </w:r>
    </w:p>
    <w:p>
      <w:pPr>
        <w:spacing w:before="180" w:after="100"/>
      </w:pPr>
      <w:r>
        <w:rPr>
          <w:rFonts w:ascii="Arial" w:cs="Arial" w:eastAsia="Arial" w:hAnsi="Arial"/>
          <w:b/>
          <w:bCs/>
          <w:color w:val="148F77"/>
          <w:sz w:val="22"/>
          <w:szCs w:val="22"/>
        </w:rPr>
        <w:t xml:space="preserve">Model Ensembling</w:t>
      </w:r>
    </w:p>
    <w:p>
      <w:pPr>
        <w:spacing w:before="80" w:after="80"/>
        <w:jc w:val="both"/>
      </w:pPr>
      <w:r>
        <w:rPr>
          <w:rFonts w:ascii="Arial" w:cs="Arial" w:eastAsia="Arial" w:hAnsi="Arial"/>
          <w:color w:val="1A1A2E"/>
          <w:sz w:val="22"/>
          <w:szCs w:val="22"/>
        </w:rPr>
        <w:t xml:space="preserve">Final risk score is a calibrated weighted average of three Tier-1 scores and the liveness result. Weights are learned by the Meta-Learner and updated daily. Confidence intervals are computed via conformal prediction; predictions with low confidence trigger a CHALLENGE outcome rather than a definitive BLOCK, reducing false positive impact.</w:t>
      </w:r>
    </w:p>
    <w:p>
      <w:pPr>
        <w:spacing w:before="0" w:after="0"/>
      </w:pPr>
      <w:r>
        <w:br w:type="page"/>
      </w:r>
    </w:p>
    <w:p>
      <w:pPr>
        <w:pStyle w:val="Heading2"/>
        <w:spacing w:before="280" w:after="160"/>
      </w:pPr>
      <w:r>
        <w:rPr>
          <w:rFonts w:ascii="Arial" w:cs="Arial" w:eastAsia="Arial" w:hAnsi="Arial"/>
          <w:b/>
          <w:bCs/>
          <w:color w:val="1B4F8A"/>
          <w:sz w:val="28"/>
          <w:szCs w:val="28"/>
        </w:rPr>
        <w:t xml:space="preserve">2.5  Biometric Liveness Detection Module</w:t>
      </w:r>
    </w:p>
    <w:p>
      <w:pPr>
        <w:spacing w:before="80" w:after="80"/>
        <w:jc w:val="both"/>
      </w:pPr>
      <w:r>
        <w:rPr>
          <w:rFonts w:ascii="Arial" w:cs="Arial" w:eastAsia="Arial" w:hAnsi="Arial"/>
          <w:color w:val="1A1A2E"/>
          <w:sz w:val="22"/>
          <w:szCs w:val="22"/>
        </w:rPr>
        <w:t xml:space="preserve">The Liveness Detection Service integrates Claude Opus 4.6's Vision API for passive frame analysis. This is the framework's primary defence against presentation attacks (deepfakes, 3D masks) and injection attacks (virtual cameras, replay).</w:t>
      </w:r>
    </w:p>
    <w:p>
      <w:pPr>
        <w:spacing w:before="80" w:after="100"/>
      </w:pPr>
      <w:r>
        <w:t xml:space="preserve"/>
      </w:r>
    </w:p>
    <w:p>
      <w:pPr>
        <w:pStyle w:val="Heading3"/>
        <w:spacing w:before="220" w:after="120"/>
      </w:pPr>
      <w:r>
        <w:rPr>
          <w:rFonts w:ascii="Arial" w:cs="Arial" w:eastAsia="Arial" w:hAnsi="Arial"/>
          <w:b/>
          <w:bCs/>
          <w:color w:val="2E86C1"/>
          <w:sz w:val="24"/>
          <w:szCs w:val="24"/>
        </w:rPr>
        <w:t xml:space="preserve">Active vs. Passive —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Session Risk Score</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Liveness Mode</w:t>
            </w:r>
          </w:p>
        </w:tc>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User Experience</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0–30 (Low)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None — skip liveness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No friction</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31–55 (Medium)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Passive — background analysis of 3-second video clip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Seamless, user unaware</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56–75 (High)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Passive + Active (1 randomised challenge)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Minimal friction (&lt; 4s)</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76–100 (Critical)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Full Active (3 randomised challenges) + server-side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Explicit verification required</w:t>
            </w:r>
          </w:p>
        </w:tc>
      </w:tr>
    </w:tbl>
    <w:p>
      <w:pPr>
        <w:spacing w:before="120" w:after="100"/>
      </w:pPr>
      <w:r>
        <w:t xml:space="preserve"/>
      </w:r>
    </w:p>
    <w:p>
      <w:pPr>
        <w:pStyle w:val="Heading3"/>
        <w:spacing w:before="220" w:after="120"/>
      </w:pPr>
      <w:r>
        <w:rPr>
          <w:rFonts w:ascii="Arial" w:cs="Arial" w:eastAsia="Arial" w:hAnsi="Arial"/>
          <w:b/>
          <w:bCs/>
          <w:color w:val="2E86C1"/>
          <w:sz w:val="24"/>
          <w:szCs w:val="24"/>
        </w:rPr>
        <w:t xml:space="preserve">Passive Analysis Techniques (Claude Opus 4.6)</w:t>
      </w:r>
    </w:p>
    <w:p>
      <w:pPr>
        <w:pStyle w:val="ListParagraph"/>
        <w:numPr>
          <w:ilvl w:val="0"/>
          <w:numId w:val="2"/>
        </w:numPr>
        <w:spacing w:before="60" w:after="60"/>
        <w:ind w:left="720" w:hanging="360"/>
      </w:pPr>
      <w:r>
        <w:rPr>
          <w:rFonts w:ascii="Arial" w:cs="Arial" w:eastAsia="Arial" w:hAnsi="Arial"/>
          <w:color w:val="1A1A2E"/>
          <w:sz w:val="22"/>
          <w:szCs w:val="22"/>
        </w:rPr>
        <w:t xml:space="preserve">Texture and Skin Analysis: Claude Opus 4.6 is prompted with a structured system prompt requesting classification of skin texture authenticity. The model identifies the absence of pores, unnatural surface reflectance, and the flat specular highlight patterns characteristic of printed photos or screens.</w:t>
      </w:r>
    </w:p>
    <w:p>
      <w:pPr>
        <w:pStyle w:val="ListParagraph"/>
        <w:numPr>
          <w:ilvl w:val="0"/>
          <w:numId w:val="2"/>
        </w:numPr>
        <w:spacing w:before="60" w:after="60"/>
        <w:ind w:left="720" w:hanging="360"/>
      </w:pPr>
      <w:r>
        <w:rPr>
          <w:rFonts w:ascii="Arial" w:cs="Arial" w:eastAsia="Arial" w:hAnsi="Arial"/>
          <w:color w:val="1A1A2E"/>
          <w:sz w:val="22"/>
          <w:szCs w:val="22"/>
        </w:rPr>
        <w:t xml:space="preserve">3D Depth Reconstruction: Single-image monocular depth estimation (MiDaS v3.1) generates a depth map. Flat depth distributions (variance &lt; threshold) flag 2D presentation attacks.</w:t>
      </w:r>
    </w:p>
    <w:p>
      <w:pPr>
        <w:pStyle w:val="ListParagraph"/>
        <w:numPr>
          <w:ilvl w:val="0"/>
          <w:numId w:val="2"/>
        </w:numPr>
        <w:spacing w:before="60" w:after="60"/>
        <w:ind w:left="720" w:hanging="360"/>
      </w:pPr>
      <w:r>
        <w:rPr>
          <w:rFonts w:ascii="Arial" w:cs="Arial" w:eastAsia="Arial" w:hAnsi="Arial"/>
          <w:color w:val="1A1A2E"/>
          <w:sz w:val="22"/>
          <w:szCs w:val="22"/>
        </w:rPr>
        <w:t xml:space="preserve">Micro-Expression and Involuntary Movement: 15-frame video analysed for eye saccade frequency, pupil dilation response to the device screen backlight (which automatically modulates brightness by 10% during capture), and subtle perioral micromovement. Deepfake videos systematically fail the pupil dilation test.</w:t>
      </w:r>
    </w:p>
    <w:p>
      <w:pPr>
        <w:pStyle w:val="ListParagraph"/>
        <w:numPr>
          <w:ilvl w:val="0"/>
          <w:numId w:val="2"/>
        </w:numPr>
        <w:spacing w:before="60" w:after="60"/>
        <w:ind w:left="720" w:hanging="360"/>
      </w:pPr>
      <w:r>
        <w:rPr>
          <w:rFonts w:ascii="Arial" w:cs="Arial" w:eastAsia="Arial" w:hAnsi="Arial"/>
          <w:color w:val="1A1A2E"/>
          <w:sz w:val="22"/>
          <w:szCs w:val="22"/>
        </w:rPr>
        <w:t xml:space="preserve">Multi-Frame Consistency: Claude Opus 4.6 analyses frame-to-frame consistency for GAN artefacts — temporal flickering in hair regions, asymmetric blinking, and tooth rendering inconsistencies are signature deepfake tells.</w:t>
      </w:r>
    </w:p>
    <w:p>
      <w:pPr>
        <w:pStyle w:val="ListParagraph"/>
        <w:numPr>
          <w:ilvl w:val="0"/>
          <w:numId w:val="2"/>
        </w:numPr>
        <w:spacing w:before="60" w:after="60"/>
        <w:ind w:left="720" w:hanging="360"/>
      </w:pPr>
      <w:r>
        <w:rPr>
          <w:rFonts w:ascii="Arial" w:cs="Arial" w:eastAsia="Arial" w:hAnsi="Arial"/>
          <w:color w:val="1A1A2E"/>
          <w:sz w:val="22"/>
          <w:szCs w:val="22"/>
        </w:rPr>
        <w:t xml:space="preserve">Light-Flash Challenge Response: A 3-frame randomised coloured-light sequence (unique per session, generated server-side) is displayed on the device screen. The server verifies the correct chromatic reflection on the user's skin. Pre-recorded deepfakes cannot respond to a challenge unknown before session start.</w:t>
      </w:r>
    </w:p>
    <w:p>
      <w:pPr>
        <w:spacing w:before="80" w:after="100"/>
      </w:pPr>
      <w:r>
        <w:t xml:space="preserve"/>
      </w:r>
    </w:p>
    <w:p>
      <w:pPr>
        <w:pStyle w:val="Heading3"/>
        <w:spacing w:before="220" w:after="120"/>
      </w:pPr>
      <w:r>
        <w:rPr>
          <w:rFonts w:ascii="Arial" w:cs="Arial" w:eastAsia="Arial" w:hAnsi="Arial"/>
          <w:b/>
          <w:bCs/>
          <w:color w:val="2E86C1"/>
          <w:sz w:val="24"/>
          <w:szCs w:val="24"/>
        </w:rPr>
        <w:t xml:space="preserve">Countering 3D Masks</w:t>
      </w:r>
    </w:p>
    <w:p>
      <w:pPr>
        <w:pStyle w:val="ListParagraph"/>
        <w:numPr>
          <w:ilvl w:val="0"/>
          <w:numId w:val="2"/>
        </w:numPr>
        <w:spacing w:before="60" w:after="60"/>
        <w:ind w:left="720" w:hanging="360"/>
      </w:pPr>
      <w:r>
        <w:rPr>
          <w:rFonts w:ascii="Arial" w:cs="Arial" w:eastAsia="Arial" w:hAnsi="Arial"/>
          <w:color w:val="1A1A2E"/>
          <w:sz w:val="22"/>
          <w:szCs w:val="22"/>
        </w:rPr>
        <w:t xml:space="preserve">Skin Micro-Texture: Claude Opus 4.6 analyses pore structure, fine line distribution, and subsurface scattering patterns. Silicone masks lack the stochastic micro-texture of real skin.</w:t>
      </w:r>
    </w:p>
    <w:p>
      <w:pPr>
        <w:pStyle w:val="ListParagraph"/>
        <w:numPr>
          <w:ilvl w:val="0"/>
          <w:numId w:val="2"/>
        </w:numPr>
        <w:spacing w:before="60" w:after="60"/>
        <w:ind w:left="720" w:hanging="360"/>
      </w:pPr>
      <w:r>
        <w:rPr>
          <w:rFonts w:ascii="Arial" w:cs="Arial" w:eastAsia="Arial" w:hAnsi="Arial"/>
          <w:color w:val="1A1A2E"/>
          <w:sz w:val="22"/>
          <w:szCs w:val="22"/>
        </w:rPr>
        <w:t xml:space="preserve">Biological Signals (rPPG): Remote photoplethysmography detects colour changes caused by blood flow (approximately 0.5–2% variation in RGB channel means at 1–3 Hz). Masks do not exhibit this signal.</w:t>
      </w:r>
    </w:p>
    <w:p>
      <w:pPr>
        <w:pStyle w:val="ListParagraph"/>
        <w:numPr>
          <w:ilvl w:val="0"/>
          <w:numId w:val="2"/>
        </w:numPr>
        <w:spacing w:before="60" w:after="60"/>
        <w:ind w:left="720" w:hanging="360"/>
      </w:pPr>
      <w:r>
        <w:rPr>
          <w:rFonts w:ascii="Arial" w:cs="Arial" w:eastAsia="Arial" w:hAnsi="Arial"/>
          <w:color w:val="1A1A2E"/>
          <w:sz w:val="22"/>
          <w:szCs w:val="22"/>
        </w:rPr>
        <w:t xml:space="preserve">Thermal Option: In high-security deployments with compatible hardware, thermal imaging detects the absence of the 36–37°C facial heat signature. Masks are ambient temperature.</w:t>
      </w:r>
    </w:p>
    <w:p>
      <w:pPr>
        <w:spacing w:before="80" w:after="100"/>
      </w:pPr>
      <w:r>
        <w:t xml:space="preserve"/>
      </w:r>
    </w:p>
    <w:p>
      <w:pPr>
        <w:pStyle w:val="Heading3"/>
        <w:spacing w:before="220" w:after="120"/>
      </w:pPr>
      <w:r>
        <w:rPr>
          <w:rFonts w:ascii="Arial" w:cs="Arial" w:eastAsia="Arial" w:hAnsi="Arial"/>
          <w:b/>
          <w:bCs/>
          <w:color w:val="2E86C1"/>
          <w:sz w:val="24"/>
          <w:szCs w:val="24"/>
        </w:rPr>
        <w:t xml:space="preserve">Claude API Integration Pattern</w:t>
      </w:r>
    </w:p>
    <w:tbl>
      <w:tblPr>
        <w:tblW w:type="dxa" w:w="9360"/>
        <w:tblBorders>
          <w:top w:val="single" w:color="2E86C1" w:sz="8"/>
          <w:left w:val="single" w:color="2E86C1" w:sz="20"/>
          <w:bottom w:val="single" w:color="2E86C1"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2E86C1"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2E86C1"/>
                <w:sz w:val="21"/>
                <w:szCs w:val="21"/>
              </w:rPr>
              <w:t xml:space="preserve">Liveness Prompt — Claude Opus 4.6</w:t>
            </w:r>
          </w:p>
          <w:p>
            <w:pPr>
              <w:spacing w:before="0" w:after="0"/>
              <w:jc w:val="both"/>
            </w:pPr>
            <w:r>
              <w:rPr>
                <w:rFonts w:ascii="Arial" w:cs="Arial" w:eastAsia="Arial" w:hAnsi="Arial"/>
                <w:color w:val="1A1A2E"/>
                <w:sz w:val="21"/>
                <w:szCs w:val="21"/>
              </w:rPr>
              <w:t xml:space="preserve">System: You are a biometric liveness verification specialist. Analyse the provided facial video frames for signs of presentation attacks. Output a JSON object with fields: {liveness_score: 0-100, attack_type: null|'photo'|'video_replay'|'deepfake'|'3d_mask', confidence: 0-1, key_signals: [string], requires_human_review: boolean}. Do not generate explanatory text outside the JSON.
User: [base64 encoded frame sequence + metadata: device_type, challenge_response, depth_map]</w:t>
            </w:r>
          </w:p>
        </w:tc>
      </w:tr>
    </w:tbl>
    <w:p>
      <w:pPr>
        <w:spacing w:before="80" w:after="100"/>
      </w:pPr>
      <w:r>
        <w:t xml:space="preserve"/>
      </w:r>
    </w:p>
    <w:p>
      <w:pPr>
        <w:spacing w:before="80" w:after="80"/>
        <w:jc w:val="both"/>
      </w:pPr>
      <w:r>
        <w:rPr>
          <w:rFonts w:ascii="Arial" w:cs="Arial" w:eastAsia="Arial" w:hAnsi="Arial"/>
          <w:color w:val="1A1A2E"/>
          <w:sz w:val="22"/>
          <w:szCs w:val="22"/>
        </w:rPr>
        <w:t xml:space="preserve">Claude Sonnet 4.6 is used for the real-time, lower-latency first-pass classification (&lt; 800 ms). Claude Opus 4.6 is reserved for high-risk sessions and borderline cases where deeper reasoning is required (&lt; 2.5 s server-side).</w:t>
      </w:r>
    </w:p>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03</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UI/UX Design</w:t>
            </w:r>
          </w:p>
          <w:p>
            <w:pPr>
              <w:spacing w:before="40"/>
            </w:pPr>
            <w:r>
              <w:rPr>
                <w:rFonts w:ascii="Arial" w:cs="Arial" w:eastAsia="Arial" w:hAnsi="Arial"/>
                <w:color w:val="D0E8FF"/>
                <w:sz w:val="20"/>
                <w:szCs w:val="20"/>
              </w:rPr>
              <w:t xml:space="preserve">Fraud Analyst Dashboard — full specification</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3.1  Design Principles</w:t>
      </w:r>
    </w:p>
    <w:p>
      <w:pPr>
        <w:pStyle w:val="ListParagraph"/>
        <w:numPr>
          <w:ilvl w:val="0"/>
          <w:numId w:val="2"/>
        </w:numPr>
        <w:spacing w:before="60" w:after="60"/>
        <w:ind w:left="720" w:hanging="360"/>
      </w:pPr>
      <w:r>
        <w:rPr>
          <w:rFonts w:ascii="Arial" w:cs="Arial" w:eastAsia="Arial" w:hAnsi="Arial"/>
          <w:color w:val="1A1A2E"/>
          <w:sz w:val="22"/>
          <w:szCs w:val="22"/>
        </w:rPr>
        <w:t xml:space="preserve">Information Hierarchy: most urgent alerts always visible above the fold; analysts must be able to triage a case within 30 seconds of opening.</w:t>
      </w:r>
    </w:p>
    <w:p>
      <w:pPr>
        <w:pStyle w:val="ListParagraph"/>
        <w:numPr>
          <w:ilvl w:val="0"/>
          <w:numId w:val="2"/>
        </w:numPr>
        <w:spacing w:before="60" w:after="60"/>
        <w:ind w:left="720" w:hanging="360"/>
      </w:pPr>
      <w:r>
        <w:rPr>
          <w:rFonts w:ascii="Arial" w:cs="Arial" w:eastAsia="Arial" w:hAnsi="Arial"/>
          <w:color w:val="1A1A2E"/>
          <w:sz w:val="22"/>
          <w:szCs w:val="22"/>
        </w:rPr>
        <w:t xml:space="preserve">Cognitive Load Reduction: colour-coded risk bands (red/amber/green), not raw numbers, are the primary visual language.</w:t>
      </w:r>
    </w:p>
    <w:p>
      <w:pPr>
        <w:pStyle w:val="ListParagraph"/>
        <w:numPr>
          <w:ilvl w:val="0"/>
          <w:numId w:val="2"/>
        </w:numPr>
        <w:spacing w:before="60" w:after="60"/>
        <w:ind w:left="720" w:hanging="360"/>
      </w:pPr>
      <w:r>
        <w:rPr>
          <w:rFonts w:ascii="Arial" w:cs="Arial" w:eastAsia="Arial" w:hAnsi="Arial"/>
          <w:color w:val="1A1A2E"/>
          <w:sz w:val="22"/>
          <w:szCs w:val="22"/>
        </w:rPr>
        <w:t xml:space="preserve">Progressive Disclosure: summary cards on the queue; full graph exploration on click-through. No analyst is overwhelmed with data they did not request.</w:t>
      </w:r>
    </w:p>
    <w:p>
      <w:pPr>
        <w:pStyle w:val="ListParagraph"/>
        <w:numPr>
          <w:ilvl w:val="0"/>
          <w:numId w:val="2"/>
        </w:numPr>
        <w:spacing w:before="60" w:after="60"/>
        <w:ind w:left="720" w:hanging="360"/>
      </w:pPr>
      <w:r>
        <w:rPr>
          <w:rFonts w:ascii="Arial" w:cs="Arial" w:eastAsia="Arial" w:hAnsi="Arial"/>
          <w:color w:val="1A1A2E"/>
          <w:sz w:val="22"/>
          <w:szCs w:val="22"/>
        </w:rPr>
        <w:t xml:space="preserve">Accessibility: WCAG 2.2 AA compliant. All colour-coded signals have secondary iconographic encoding.</w:t>
      </w:r>
    </w:p>
    <w:p>
      <w:pPr>
        <w:pStyle w:val="ListParagraph"/>
        <w:numPr>
          <w:ilvl w:val="0"/>
          <w:numId w:val="2"/>
        </w:numPr>
        <w:spacing w:before="60" w:after="60"/>
        <w:ind w:left="720" w:hanging="360"/>
      </w:pPr>
      <w:r>
        <w:rPr>
          <w:rFonts w:ascii="Arial" w:cs="Arial" w:eastAsia="Arial" w:hAnsi="Arial"/>
          <w:color w:val="1A1A2E"/>
          <w:sz w:val="22"/>
          <w:szCs w:val="22"/>
        </w:rPr>
        <w:t xml:space="preserve">Dark Mode Default: extended-session analysts work in low-light environments; dark mode with blue/amber accents reduces eye strain.</w:t>
      </w:r>
    </w:p>
    <w:p>
      <w:pPr>
        <w:spacing w:before="120" w:after="100"/>
      </w:pPr>
      <w:r>
        <w:t xml:space="preserve"/>
      </w:r>
    </w:p>
    <w:p>
      <w:pPr>
        <w:pStyle w:val="Heading2"/>
        <w:spacing w:before="280" w:after="160"/>
      </w:pPr>
      <w:r>
        <w:rPr>
          <w:rFonts w:ascii="Arial" w:cs="Arial" w:eastAsia="Arial" w:hAnsi="Arial"/>
          <w:b/>
          <w:bCs/>
          <w:color w:val="1B4F8A"/>
          <w:sz w:val="28"/>
          <w:szCs w:val="28"/>
        </w:rPr>
        <w:t xml:space="preserve">3.2  Application Layout</w:t>
      </w:r>
    </w:p>
    <w:p>
      <w:pPr>
        <w:pStyle w:val="Heading3"/>
        <w:spacing w:before="220" w:after="120"/>
      </w:pPr>
      <w:r>
        <w:rPr>
          <w:rFonts w:ascii="Arial" w:cs="Arial" w:eastAsia="Arial" w:hAnsi="Arial"/>
          <w:b/>
          <w:bCs/>
          <w:color w:val="2E86C1"/>
          <w:sz w:val="24"/>
          <w:szCs w:val="24"/>
        </w:rPr>
        <w:t xml:space="preserve">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Nav Section</w:t>
            </w:r>
          </w:p>
        </w:tc>
        <w:tc>
          <w:tcPr>
            <w:tcW w:type="dxa" w:w="4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Key Views</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Primary Users</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Alert Queue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Real-time prioritised list, risk score badge, age, entity summary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All analysts</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Case Management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Open / In-progress / Resolved cases, assignee, SLA countdown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Senior analysts, team leads</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Entity Explorer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Graph visualisation (D3.js force-directed), entity profile cards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Investigators</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Analytics &amp; Reports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FAR/FRR trends, alert volume charts, model drift indicators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Data science, management</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Rules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Configurable threshold editor, condition builder, rule version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Senior analysts, admins</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Compliance Centre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Consent logs, DSAR (Data Subject Access Request) workflow, audit trail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Compliance officers</w:t>
            </w:r>
          </w:p>
        </w:tc>
      </w:tr>
    </w:tbl>
    <w:p>
      <w:pPr>
        <w:spacing w:before="120" w:after="100"/>
      </w:pPr>
      <w:r>
        <w:t xml:space="preserve"/>
      </w:r>
    </w:p>
    <w:p>
      <w:pPr>
        <w:pStyle w:val="Heading3"/>
        <w:spacing w:before="220" w:after="120"/>
      </w:pPr>
      <w:r>
        <w:rPr>
          <w:rFonts w:ascii="Arial" w:cs="Arial" w:eastAsia="Arial" w:hAnsi="Arial"/>
          <w:b/>
          <w:bCs/>
          <w:color w:val="2E86C1"/>
          <w:sz w:val="24"/>
          <w:szCs w:val="24"/>
        </w:rPr>
        <w:t xml:space="preserve">Alert Queue — Detailed Specification</w:t>
      </w:r>
    </w:p>
    <w:p>
      <w:pPr>
        <w:spacing w:before="80" w:after="80"/>
        <w:jc w:val="both"/>
      </w:pPr>
      <w:r>
        <w:rPr>
          <w:rFonts w:ascii="Arial" w:cs="Arial" w:eastAsia="Arial" w:hAnsi="Arial"/>
          <w:color w:val="1A1A2E"/>
          <w:sz w:val="22"/>
          <w:szCs w:val="22"/>
        </w:rPr>
        <w:t xml:space="preserve">The queue is the primary daily interface for tier-1 analysts. Layout: fixed left sidebar (nav), top bar (KPIs: alert volume, FRR today, analyst SLA %, open cases), main content area (virtual scrolling list of alert cards).</w:t>
      </w:r>
    </w:p>
    <w:p>
      <w:pPr>
        <w:spacing w:before="80" w:after="100"/>
      </w:pPr>
      <w:r>
        <w:t xml:space="preserve"/>
      </w:r>
    </w:p>
    <w:p>
      <w:pPr>
        <w:spacing w:before="80" w:after="80"/>
      </w:pPr>
      <w:r>
        <w:rPr>
          <w:rFonts w:ascii="Arial" w:cs="Arial" w:eastAsia="Arial" w:hAnsi="Arial"/>
          <w:b/>
          <w:bCs/>
          <w:color w:val="1A1A2E"/>
          <w:sz w:val="22"/>
          <w:szCs w:val="22"/>
        </w:rPr>
        <w:t xml:space="preserve">Alert Card Components: </w:t>
      </w:r>
      <w:r>
        <w:rPr>
          <w:rFonts w:ascii="Arial" w:cs="Arial" w:eastAsia="Arial" w:hAnsi="Arial"/>
          <w:color w:val="1A1A2E"/>
          <w:sz w:val="22"/>
          <w:szCs w:val="22"/>
        </w:rPr>
        <w:t xml:space="preserve">Entity thumbnail (device type icon), risk score dial (0–100, colour-coded), top contributing factors (3 max, pill format), entity type, alert age, assigned analyst avatar, and one-click action buttons (Investigate / Block / Dismiss).</w:t>
      </w:r>
    </w:p>
    <w:p>
      <w:pPr>
        <w:spacing w:before="80" w:after="80"/>
      </w:pPr>
      <w:r>
        <w:rPr>
          <w:rFonts w:ascii="Arial" w:cs="Arial" w:eastAsia="Arial" w:hAnsi="Arial"/>
          <w:b/>
          <w:bCs/>
          <w:color w:val="1A1A2E"/>
          <w:sz w:val="22"/>
          <w:szCs w:val="22"/>
        </w:rPr>
        <w:t xml:space="preserve">Risk Colour Bands: </w:t>
      </w:r>
      <w:r>
        <w:rPr>
          <w:rFonts w:ascii="Arial" w:cs="Arial" w:eastAsia="Arial" w:hAnsi="Arial"/>
          <w:color w:val="1A1A2E"/>
          <w:sz w:val="22"/>
          <w:szCs w:val="22"/>
        </w:rPr>
        <w:t xml:space="preserve">0–30 (Green, Auto-approved), 31–55 (Amber, Queue for review), 56–80 (Red, Priority queue), 81–100 (Dark Red, Auto-block + immediate notification).</w:t>
      </w:r>
    </w:p>
    <w:p>
      <w:pPr>
        <w:spacing w:before="80" w:after="80"/>
      </w:pPr>
      <w:r>
        <w:rPr>
          <w:rFonts w:ascii="Arial" w:cs="Arial" w:eastAsia="Arial" w:hAnsi="Arial"/>
          <w:b/>
          <w:bCs/>
          <w:color w:val="1A1A2E"/>
          <w:sz w:val="22"/>
          <w:szCs w:val="22"/>
        </w:rPr>
        <w:t xml:space="preserve">Keyboard Shortcuts: </w:t>
      </w:r>
      <w:r>
        <w:rPr>
          <w:rFonts w:ascii="Arial" w:cs="Arial" w:eastAsia="Arial" w:hAnsi="Arial"/>
          <w:color w:val="1A1A2E"/>
          <w:sz w:val="22"/>
          <w:szCs w:val="22"/>
        </w:rPr>
        <w:t xml:space="preserve">J/K to navigate, Enter to open, A to approve, B to block, D to dismiss, F to flag for escalation. Full keyboard operability for high-volume analyst workflows.</w:t>
      </w:r>
    </w:p>
    <w:p>
      <w:pPr>
        <w:spacing w:before="120" w:after="100"/>
      </w:pPr>
      <w:r>
        <w:t xml:space="preserve"/>
      </w:r>
    </w:p>
    <w:p>
      <w:pPr>
        <w:pStyle w:val="Heading3"/>
        <w:spacing w:before="220" w:after="120"/>
      </w:pPr>
      <w:r>
        <w:rPr>
          <w:rFonts w:ascii="Arial" w:cs="Arial" w:eastAsia="Arial" w:hAnsi="Arial"/>
          <w:b/>
          <w:bCs/>
          <w:color w:val="2E86C1"/>
          <w:sz w:val="24"/>
          <w:szCs w:val="24"/>
        </w:rPr>
        <w:t xml:space="preserve">Entity Explorer — Graph Visualisation</w:t>
      </w:r>
    </w:p>
    <w:p>
      <w:pPr>
        <w:spacing w:before="80" w:after="80"/>
        <w:jc w:val="both"/>
      </w:pPr>
      <w:r>
        <w:rPr>
          <w:rFonts w:ascii="Arial" w:cs="Arial" w:eastAsia="Arial" w:hAnsi="Arial"/>
          <w:color w:val="1A1A2E"/>
          <w:sz w:val="22"/>
          <w:szCs w:val="22"/>
        </w:rPr>
        <w:t xml:space="preserve">Built on D3.js force-directed graph layout. Node types are visually distinct (User = circle, Device = square, IP = diamond, PaymentMethod = hexagon, Transaction = triangle). Edge thickness represents relationship count; edge colour encodes relationship type.</w:t>
      </w:r>
    </w:p>
    <w:p>
      <w:pPr>
        <w:spacing w:before="80" w:after="100"/>
      </w:pPr>
      <w:r>
        <w:t xml:space="preserve"/>
      </w:r>
    </w:p>
    <w:p>
      <w:pPr>
        <w:pStyle w:val="ListParagraph"/>
        <w:numPr>
          <w:ilvl w:val="0"/>
          <w:numId w:val="2"/>
        </w:numPr>
        <w:spacing w:before="60" w:after="60"/>
        <w:ind w:left="720" w:hanging="360"/>
      </w:pPr>
      <w:r>
        <w:rPr>
          <w:rFonts w:ascii="Arial" w:cs="Arial" w:eastAsia="Arial" w:hAnsi="Arial"/>
          <w:color w:val="1A1A2E"/>
          <w:sz w:val="22"/>
          <w:szCs w:val="22"/>
        </w:rPr>
        <w:t xml:space="preserve">Hover: show entity summary popover (key attributes, risk score, last seen).</w:t>
      </w:r>
    </w:p>
    <w:p>
      <w:pPr>
        <w:pStyle w:val="ListParagraph"/>
        <w:numPr>
          <w:ilvl w:val="0"/>
          <w:numId w:val="2"/>
        </w:numPr>
        <w:spacing w:before="60" w:after="60"/>
        <w:ind w:left="720" w:hanging="360"/>
      </w:pPr>
      <w:r>
        <w:rPr>
          <w:rFonts w:ascii="Arial" w:cs="Arial" w:eastAsia="Arial" w:hAnsi="Arial"/>
          <w:color w:val="1A1A2E"/>
          <w:sz w:val="22"/>
          <w:szCs w:val="22"/>
        </w:rPr>
        <w:t xml:space="preserve">Click: open entity detail panel (right sidebar) showing full attribute list, behavioral profile snapshot, and linked cases.</w:t>
      </w:r>
    </w:p>
    <w:p>
      <w:pPr>
        <w:pStyle w:val="ListParagraph"/>
        <w:numPr>
          <w:ilvl w:val="0"/>
          <w:numId w:val="2"/>
        </w:numPr>
        <w:spacing w:before="60" w:after="60"/>
        <w:ind w:left="720" w:hanging="360"/>
      </w:pPr>
      <w:r>
        <w:rPr>
          <w:rFonts w:ascii="Arial" w:cs="Arial" w:eastAsia="Arial" w:hAnsi="Arial"/>
          <w:color w:val="1A1A2E"/>
          <w:sz w:val="22"/>
          <w:szCs w:val="22"/>
        </w:rPr>
        <w:t xml:space="preserve">Double-click: expand 1-hop neighbourhood of clicked node.</w:t>
      </w:r>
    </w:p>
    <w:p>
      <w:pPr>
        <w:pStyle w:val="ListParagraph"/>
        <w:numPr>
          <w:ilvl w:val="0"/>
          <w:numId w:val="2"/>
        </w:numPr>
        <w:spacing w:before="60" w:after="60"/>
        <w:ind w:left="720" w:hanging="360"/>
      </w:pPr>
      <w:r>
        <w:rPr>
          <w:rFonts w:ascii="Arial" w:cs="Arial" w:eastAsia="Arial" w:hAnsi="Arial"/>
          <w:color w:val="1A1A2E"/>
          <w:sz w:val="22"/>
          <w:szCs w:val="22"/>
        </w:rPr>
        <w:t xml:space="preserve">Right-click context menu: Add to case, Mark as fraudulent, Request data deletion, Export subgraph to PDF.</w:t>
      </w:r>
    </w:p>
    <w:p>
      <w:pPr>
        <w:pStyle w:val="ListParagraph"/>
        <w:numPr>
          <w:ilvl w:val="0"/>
          <w:numId w:val="2"/>
        </w:numPr>
        <w:spacing w:before="60" w:after="60"/>
        <w:ind w:left="720" w:hanging="360"/>
      </w:pPr>
      <w:r>
        <w:rPr>
          <w:rFonts w:ascii="Arial" w:cs="Arial" w:eastAsia="Arial" w:hAnsi="Arial"/>
          <w:color w:val="1A1A2E"/>
          <w:sz w:val="22"/>
          <w:szCs w:val="22"/>
        </w:rPr>
        <w:t xml:space="preserve">Filtering panel: filter by entity type, risk score threshold, date range, confirmed fraud label, shared identifier type.</w:t>
      </w:r>
    </w:p>
    <w:p>
      <w:pPr>
        <w:pStyle w:val="ListParagraph"/>
        <w:numPr>
          <w:ilvl w:val="0"/>
          <w:numId w:val="2"/>
        </w:numPr>
        <w:spacing w:before="60" w:after="60"/>
        <w:ind w:left="720" w:hanging="360"/>
      </w:pPr>
      <w:r>
        <w:rPr>
          <w:rFonts w:ascii="Arial" w:cs="Arial" w:eastAsia="Arial" w:hAnsi="Arial"/>
          <w:color w:val="1A1A2E"/>
          <w:sz w:val="22"/>
          <w:szCs w:val="22"/>
        </w:rPr>
        <w:t xml:space="preserve">Time-lapse mode: replay graph evolution over a selected time window to visualise how a fraud ring assembled.</w:t>
      </w:r>
    </w:p>
    <w:p>
      <w:pPr>
        <w:spacing w:before="120" w:after="100"/>
      </w:pPr>
      <w:r>
        <w:t xml:space="preserve"/>
      </w:r>
    </w:p>
    <w:p>
      <w:pPr>
        <w:pStyle w:val="Heading3"/>
        <w:spacing w:before="220" w:after="120"/>
      </w:pPr>
      <w:r>
        <w:rPr>
          <w:rFonts w:ascii="Arial" w:cs="Arial" w:eastAsia="Arial" w:hAnsi="Arial"/>
          <w:b/>
          <w:bCs/>
          <w:color w:val="2E86C1"/>
          <w:sz w:val="24"/>
          <w:szCs w:val="24"/>
        </w:rPr>
        <w:t xml:space="preserve">Liveness Review Panel</w:t>
      </w:r>
    </w:p>
    <w:p>
      <w:pPr>
        <w:spacing w:before="80" w:after="80"/>
        <w:jc w:val="both"/>
      </w:pPr>
      <w:r>
        <w:rPr>
          <w:rFonts w:ascii="Arial" w:cs="Arial" w:eastAsia="Arial" w:hAnsi="Arial"/>
          <w:color w:val="1A1A2E"/>
          <w:sz w:val="22"/>
          <w:szCs w:val="22"/>
        </w:rPr>
        <w:t xml:space="preserve">When an analyst opens a case that includes a liveness check, the review panel displays: side-by-side original and model-annotated frames, Claude Opus 4.6's liveness_score and attack_type classification, key_signals list, rPPG waveform graph, depth map overlay, and the light-flash challenge response verification result. Analysts can override the model decision with a mandatory justification note that feeds the retraining pipeline.</w:t>
      </w:r>
    </w:p>
    <w:p>
      <w:pPr>
        <w:spacing w:before="0" w:after="0"/>
      </w:pPr>
      <w:r>
        <w:br w:type="page"/>
      </w:r>
    </w:p>
    <w:p>
      <w:pPr>
        <w:pStyle w:val="Heading2"/>
        <w:spacing w:before="280" w:after="160"/>
      </w:pPr>
      <w:r>
        <w:rPr>
          <w:rFonts w:ascii="Arial" w:cs="Arial" w:eastAsia="Arial" w:hAnsi="Arial"/>
          <w:b/>
          <w:bCs/>
          <w:color w:val="1B4F8A"/>
          <w:sz w:val="28"/>
          <w:szCs w:val="28"/>
        </w:rPr>
        <w:t xml:space="preserve">3.3  Mobile Analyst Application</w:t>
      </w:r>
    </w:p>
    <w:p>
      <w:pPr>
        <w:spacing w:before="80" w:after="80"/>
        <w:jc w:val="both"/>
      </w:pPr>
      <w:r>
        <w:rPr>
          <w:rFonts w:ascii="Arial" w:cs="Arial" w:eastAsia="Arial" w:hAnsi="Arial"/>
          <w:color w:val="1A1A2E"/>
          <w:sz w:val="22"/>
          <w:szCs w:val="22"/>
        </w:rPr>
        <w:t xml:space="preserve">A React Native companion application provides push notification triage for out-of-office scenarios. Analysts receive push alerts for CRITICAL risk sessions (score &gt; 81). The mobile app supports: approve/block/escalate one-tap actions, entity summary view, and graph minimap (non-interactive). Full case management is desktop-only.</w:t>
      </w:r>
    </w:p>
    <w:p>
      <w:pPr>
        <w:spacing w:before="120" w:after="100"/>
      </w:pPr>
      <w:r>
        <w:t xml:space="preserve"/>
      </w:r>
    </w:p>
    <w:p>
      <w:pPr>
        <w:pStyle w:val="Heading2"/>
        <w:spacing w:before="280" w:after="160"/>
      </w:pPr>
      <w:r>
        <w:rPr>
          <w:rFonts w:ascii="Arial" w:cs="Arial" w:eastAsia="Arial" w:hAnsi="Arial"/>
          <w:b/>
          <w:bCs/>
          <w:color w:val="1B4F8A"/>
          <w:sz w:val="28"/>
          <w:szCs w:val="28"/>
        </w:rPr>
        <w:t xml:space="preserve">3.4  End-User Liveness UI</w:t>
      </w:r>
    </w:p>
    <w:p>
      <w:pPr>
        <w:spacing w:before="80" w:after="80"/>
        <w:jc w:val="both"/>
      </w:pPr>
      <w:r>
        <w:rPr>
          <w:rFonts w:ascii="Arial" w:cs="Arial" w:eastAsia="Arial" w:hAnsi="Arial"/>
          <w:color w:val="1A1A2E"/>
          <w:sz w:val="22"/>
          <w:szCs w:val="22"/>
        </w:rPr>
        <w:t xml:space="preserve">The SDK provides a pre-built, customisable liveness capture UI for embedding in host applications. Design requirements:</w:t>
      </w:r>
    </w:p>
    <w:p>
      <w:pPr>
        <w:pStyle w:val="ListParagraph"/>
        <w:numPr>
          <w:ilvl w:val="0"/>
          <w:numId w:val="2"/>
        </w:numPr>
        <w:spacing w:before="60" w:after="60"/>
        <w:ind w:left="720" w:hanging="360"/>
      </w:pPr>
      <w:r>
        <w:rPr>
          <w:rFonts w:ascii="Arial" w:cs="Arial" w:eastAsia="Arial" w:hAnsi="Arial"/>
          <w:color w:val="1A1A2E"/>
          <w:sz w:val="22"/>
          <w:szCs w:val="22"/>
        </w:rPr>
        <w:t xml:space="preserve">Frame guide overlay (oval face outline) with real-time alignment feedback.</w:t>
      </w:r>
    </w:p>
    <w:p>
      <w:pPr>
        <w:pStyle w:val="ListParagraph"/>
        <w:numPr>
          <w:ilvl w:val="0"/>
          <w:numId w:val="2"/>
        </w:numPr>
        <w:spacing w:before="60" w:after="60"/>
        <w:ind w:left="720" w:hanging="360"/>
      </w:pPr>
      <w:r>
        <w:rPr>
          <w:rFonts w:ascii="Arial" w:cs="Arial" w:eastAsia="Arial" w:hAnsi="Arial"/>
          <w:color w:val="1A1A2E"/>
          <w:sz w:val="22"/>
          <w:szCs w:val="22"/>
        </w:rPr>
        <w:t xml:space="preserve">Progress indicator showing capture stage (Positioning → Capturing → Verifying).</w:t>
      </w:r>
    </w:p>
    <w:p>
      <w:pPr>
        <w:pStyle w:val="ListParagraph"/>
        <w:numPr>
          <w:ilvl w:val="0"/>
          <w:numId w:val="2"/>
        </w:numPr>
        <w:spacing w:before="60" w:after="60"/>
        <w:ind w:left="720" w:hanging="360"/>
      </w:pPr>
      <w:r>
        <w:rPr>
          <w:rFonts w:ascii="Arial" w:cs="Arial" w:eastAsia="Arial" w:hAnsi="Arial"/>
          <w:color w:val="1A1A2E"/>
          <w:sz w:val="22"/>
          <w:szCs w:val="22"/>
        </w:rPr>
        <w:t xml:space="preserve">Accessibility: screen-reader compatible instructions, minimum 44pt touch targets, high-contrast mode.</w:t>
      </w:r>
    </w:p>
    <w:p>
      <w:pPr>
        <w:pStyle w:val="ListParagraph"/>
        <w:numPr>
          <w:ilvl w:val="0"/>
          <w:numId w:val="2"/>
        </w:numPr>
        <w:spacing w:before="60" w:after="60"/>
        <w:ind w:left="720" w:hanging="360"/>
      </w:pPr>
      <w:r>
        <w:rPr>
          <w:rFonts w:ascii="Arial" w:cs="Arial" w:eastAsia="Arial" w:hAnsi="Arial"/>
          <w:color w:val="1A1A2E"/>
          <w:sz w:val="22"/>
          <w:szCs w:val="22"/>
        </w:rPr>
        <w:t xml:space="preserve">Completion time target: &lt; 4 seconds from first frame to server response.</w:t>
      </w:r>
    </w:p>
    <w:p>
      <w:pPr>
        <w:pStyle w:val="ListParagraph"/>
        <w:numPr>
          <w:ilvl w:val="0"/>
          <w:numId w:val="2"/>
        </w:numPr>
        <w:spacing w:before="60" w:after="60"/>
        <w:ind w:left="720" w:hanging="360"/>
      </w:pPr>
      <w:r>
        <w:rPr>
          <w:rFonts w:ascii="Arial" w:cs="Arial" w:eastAsia="Arial" w:hAnsi="Arial"/>
          <w:color w:val="1A1A2E"/>
          <w:sz w:val="22"/>
          <w:szCs w:val="22"/>
        </w:rPr>
        <w:t xml:space="preserve">Failure handling: up to 3 retry attempts before fallback to manual identity review. Clear, non-stigmatising error messages ('Could not verify — please try again in better lighting').</w:t>
      </w:r>
    </w:p>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04</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Relay Attack Detection</w:t>
            </w:r>
          </w:p>
          <w:p>
            <w:pPr>
              <w:spacing w:before="40"/>
            </w:pPr>
            <w:r>
              <w:rPr>
                <w:rFonts w:ascii="Arial" w:cs="Arial" w:eastAsia="Arial" w:hAnsi="Arial"/>
                <w:color w:val="D0E8FF"/>
                <w:sz w:val="20"/>
                <w:szCs w:val="20"/>
              </w:rPr>
              <w:t xml:space="preserve">Network-level and NFC proxy attack prevention</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4.1  Relay Attack Taxonomy</w:t>
      </w:r>
    </w:p>
    <w:p>
      <w:pPr>
        <w:spacing w:before="80" w:after="80"/>
        <w:jc w:val="both"/>
      </w:pPr>
      <w:r>
        <w:rPr>
          <w:rFonts w:ascii="Arial" w:cs="Arial" w:eastAsia="Arial" w:hAnsi="Arial"/>
          <w:color w:val="1A1A2E"/>
          <w:sz w:val="22"/>
          <w:szCs w:val="22"/>
        </w:rPr>
        <w:t xml:space="preserve">A relay attack occurs when an adversary intercepts real-time communication between a victim and a legitimate service and relays it transparently. Two primary vectors are in scope:</w:t>
      </w:r>
    </w:p>
    <w:p>
      <w:pPr>
        <w:spacing w:before="80" w:after="80"/>
      </w:pPr>
      <w:r>
        <w:rPr>
          <w:rFonts w:ascii="Arial" w:cs="Arial" w:eastAsia="Arial" w:hAnsi="Arial"/>
          <w:b/>
          <w:bCs/>
          <w:color w:val="1A1A2E"/>
          <w:sz w:val="22"/>
          <w:szCs w:val="22"/>
        </w:rPr>
        <w:t xml:space="preserve">Network Relay (Web/API): </w:t>
      </w:r>
      <w:r>
        <w:rPr>
          <w:rFonts w:ascii="Arial" w:cs="Arial" w:eastAsia="Arial" w:hAnsi="Arial"/>
          <w:color w:val="1A1A2E"/>
          <w:sz w:val="22"/>
          <w:szCs w:val="22"/>
        </w:rPr>
        <w:t xml:space="preserve">Attacker proxies all traffic between victim's browser and the target service. The attacker's device has a different IP, geolocation, and device fingerprint from the victim's. Detectable via fingerprint mismatch across session segments.</w:t>
      </w:r>
    </w:p>
    <w:p>
      <w:pPr>
        <w:spacing w:before="80" w:after="80"/>
      </w:pPr>
      <w:r>
        <w:rPr>
          <w:rFonts w:ascii="Arial" w:cs="Arial" w:eastAsia="Arial" w:hAnsi="Arial"/>
          <w:b/>
          <w:bCs/>
          <w:color w:val="1A1A2E"/>
          <w:sz w:val="22"/>
          <w:szCs w:val="22"/>
        </w:rPr>
        <w:t xml:space="preserve">NFC Relay (Payment): </w:t>
      </w:r>
      <w:r>
        <w:rPr>
          <w:rFonts w:ascii="Arial" w:cs="Arial" w:eastAsia="Arial" w:hAnsi="Arial"/>
          <w:color w:val="1A1A2E"/>
          <w:sz w:val="22"/>
          <w:szCs w:val="22"/>
        </w:rPr>
        <w:t xml:space="preserve">Attacker uses two Android devices — one near the victim's contactless card, one at the POS terminal — to relay the NFC payload in real time. Detectable via timing analysis and entry-mode anomalies.</w:t>
      </w:r>
    </w:p>
    <w:p>
      <w:pPr>
        <w:spacing w:before="120" w:after="100"/>
      </w:pPr>
      <w:r>
        <w:t xml:space="preserve"/>
      </w:r>
    </w:p>
    <w:p>
      <w:pPr>
        <w:pStyle w:val="Heading2"/>
        <w:spacing w:before="280" w:after="160"/>
      </w:pPr>
      <w:r>
        <w:rPr>
          <w:rFonts w:ascii="Arial" w:cs="Arial" w:eastAsia="Arial" w:hAnsi="Arial"/>
          <w:b/>
          <w:bCs/>
          <w:color w:val="1B4F8A"/>
          <w:sz w:val="28"/>
          <w:szCs w:val="28"/>
        </w:rPr>
        <w:t xml:space="preserve">4.2  Detection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Attack Type</w:t>
            </w:r>
          </w:p>
        </w:tc>
        <w:tc>
          <w:tcPr>
            <w:tcW w:type="dxa" w:w="3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Detection Signal</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Implementation</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Network relay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IP geolocation vs. device GPS mismatch &gt; 50 km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Flink CEP rule + risk score +15</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Network relay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Session-level device fingerprint changes mid-session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Device Fingerprint Service re-evaluation on each transaction</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Network relay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Proxy / Tor exit node IP (updated blocklist)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MaxMind + custom threat-intel feed</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Network relay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Round-trip latency anomaly (&gt; 2x baseline for user's ISP)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Flink timing window analysis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NFC relay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Transaction entry mode: contactless at POS but card not in known wallet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Transaction metadata enrichment</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NFC relay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Two transactions on same card within 500 ms (relay timing window)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Redis atomic counter, 500 ms TTL</w:t>
            </w:r>
          </w:p>
        </w:tc>
      </w:tr>
    </w:tbl>
    <w:p>
      <w:pPr>
        <w:spacing w:before="120" w:after="100"/>
      </w:pPr>
      <w:r>
        <w:t xml:space="preserve"/>
      </w:r>
    </w:p>
    <w:tbl>
      <w:tblPr>
        <w:tblW w:type="dxa" w:w="9360"/>
        <w:tblBorders>
          <w:top w:val="single" w:color="F39C12" w:sz="8"/>
          <w:left w:val="single" w:color="F39C12" w:sz="20"/>
          <w:bottom w:val="single" w:color="F39C12"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F39C12"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F39C12"/>
                <w:sz w:val="21"/>
                <w:szCs w:val="21"/>
              </w:rPr>
              <w:t xml:space="preserve">NFC Relay Detection Limitation</w:t>
            </w:r>
          </w:p>
          <w:p>
            <w:pPr>
              <w:spacing w:before="0" w:after="0"/>
              <w:jc w:val="both"/>
            </w:pPr>
            <w:r>
              <w:rPr>
                <w:rFonts w:ascii="Arial" w:cs="Arial" w:eastAsia="Arial" w:hAnsi="Arial"/>
                <w:color w:val="1A1A2E"/>
                <w:sz w:val="21"/>
                <w:szCs w:val="21"/>
              </w:rPr>
              <w:t xml:space="preserve">Pure software-based NFC relay detection has inherent limits. The recommended mitigation for high-value transactions is to require a device-bound cryptogram (EMV CDA) that the relay cannot forge, combined with the framework's risk score. This is an issuer-side control outside the framework's direct scope but should be recommended to integration partners.</w:t>
            </w:r>
          </w:p>
        </w:tc>
      </w:tr>
    </w:tbl>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05</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Data Privacy &amp; Compliance</w:t>
            </w:r>
          </w:p>
          <w:p>
            <w:pPr>
              <w:spacing w:before="40"/>
            </w:pPr>
            <w:r>
              <w:rPr>
                <w:rFonts w:ascii="Arial" w:cs="Arial" w:eastAsia="Arial" w:hAnsi="Arial"/>
                <w:color w:val="D0E8FF"/>
                <w:sz w:val="20"/>
                <w:szCs w:val="20"/>
              </w:rPr>
              <w:t xml:space="preserve">GDPR · CCPA/CPRA · ISO/IEC 30107-3</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5.1  GDPR Obligations</w:t>
      </w:r>
    </w:p>
    <w:p>
      <w:pPr>
        <w:spacing w:before="80" w:after="80"/>
      </w:pPr>
      <w:r>
        <w:rPr>
          <w:rFonts w:ascii="Arial" w:cs="Arial" w:eastAsia="Arial" w:hAnsi="Arial"/>
          <w:b/>
          <w:bCs/>
          <w:color w:val="1A1A2E"/>
          <w:sz w:val="22"/>
          <w:szCs w:val="22"/>
        </w:rPr>
        <w:t xml:space="preserve">Special Category Data: </w:t>
      </w:r>
      <w:r>
        <w:rPr>
          <w:rFonts w:ascii="Arial" w:cs="Arial" w:eastAsia="Arial" w:hAnsi="Arial"/>
          <w:color w:val="1A1A2E"/>
          <w:sz w:val="22"/>
          <w:szCs w:val="22"/>
        </w:rPr>
        <w:t xml:space="preserve">Under GDPR Article 9, biometric data processed for the purpose of uniquely identifying a natural person is a 'special category'. This framework processes facial geometry (liveness), keystroke dynamics, and behavioral patterns — all qualifying as special category data. Processing is lawful only under Article 9(2)(a) (explicit consent) or Article 9(2)(g) (substantial public interest, requires national law basis). This framework uses explicit consent as the primary lawful basis.</w:t>
      </w:r>
    </w:p>
    <w:p>
      <w:pPr>
        <w:spacing w:before="80" w:after="100"/>
      </w:pPr>
      <w:r>
        <w:t xml:space="preserve"/>
      </w:r>
    </w:p>
    <w:p>
      <w:pPr>
        <w:spacing w:before="80" w:after="80"/>
      </w:pPr>
      <w:r>
        <w:rPr>
          <w:rFonts w:ascii="Arial" w:cs="Arial" w:eastAsia="Arial" w:hAnsi="Arial"/>
          <w:b/>
          <w:bCs/>
          <w:color w:val="1A1A2E"/>
          <w:sz w:val="22"/>
          <w:szCs w:val="22"/>
        </w:rPr>
        <w:t xml:space="preserve">Data Protection Impact Assessment (DPIA): </w:t>
      </w:r>
      <w:r>
        <w:rPr>
          <w:rFonts w:ascii="Arial" w:cs="Arial" w:eastAsia="Arial" w:hAnsi="Arial"/>
          <w:color w:val="1A1A2E"/>
          <w:sz w:val="22"/>
          <w:szCs w:val="22"/>
        </w:rPr>
        <w:t xml:space="preserve">Mandatory under Article 35 before deployment. The DPIA must document: processing purposes, necessity and proportionality assessment, risks to data subjects' rights and freedoms, and mitigation measures. The framework's Privacy Mediation Layer and federated learning option are DPIA mitigation measures.</w:t>
      </w:r>
    </w:p>
    <w:p>
      <w:pPr>
        <w:spacing w:before="80" w:after="100"/>
      </w:pPr>
      <w:r>
        <w:t xml:space="preserve"/>
      </w:r>
    </w:p>
    <w:p>
      <w:pPr>
        <w:spacing w:before="80" w:after="80"/>
      </w:pPr>
      <w:r>
        <w:rPr>
          <w:rFonts w:ascii="Arial" w:cs="Arial" w:eastAsia="Arial" w:hAnsi="Arial"/>
          <w:b/>
          <w:bCs/>
          <w:color w:val="1A1A2E"/>
          <w:sz w:val="22"/>
          <w:szCs w:val="22"/>
        </w:rPr>
        <w:t xml:space="preserve">Data Minimisation: </w:t>
      </w:r>
      <w:r>
        <w:rPr>
          <w:rFonts w:ascii="Arial" w:cs="Arial" w:eastAsia="Arial" w:hAnsi="Arial"/>
          <w:color w:val="1A1A2E"/>
          <w:sz w:val="22"/>
          <w:szCs w:val="22"/>
        </w:rPr>
        <w:t xml:space="preserve">Biometric liveness checks must only be triggered for elevated-risk sessions (score &gt; 55), not for all users on every login. This is enforced by the Decision Engine — the Liveness Service API is not callable without a risk score threshold check.</w:t>
      </w:r>
    </w:p>
    <w:p>
      <w:pPr>
        <w:spacing w:before="80" w:after="100"/>
      </w:pPr>
      <w:r>
        <w:t xml:space="preserve"/>
      </w:r>
    </w:p>
    <w:p>
      <w:pPr>
        <w:spacing w:before="80" w:after="80"/>
      </w:pPr>
      <w:r>
        <w:rPr>
          <w:rFonts w:ascii="Arial" w:cs="Arial" w:eastAsia="Arial" w:hAnsi="Arial"/>
          <w:b/>
          <w:bCs/>
          <w:color w:val="1A1A2E"/>
          <w:sz w:val="22"/>
          <w:szCs w:val="22"/>
        </w:rPr>
        <w:t xml:space="preserve">Purpose Limitation: </w:t>
      </w:r>
      <w:r>
        <w:rPr>
          <w:rFonts w:ascii="Arial" w:cs="Arial" w:eastAsia="Arial" w:hAnsi="Arial"/>
          <w:color w:val="1A1A2E"/>
          <w:sz w:val="22"/>
          <w:szCs w:val="22"/>
        </w:rPr>
        <w:t xml:space="preserve">Data collected for fraud prevention cannot be used for marketing or product analytics. Enforced by the Privacy Mediation Layer's purpose-binding check on every data access.</w:t>
      </w:r>
    </w:p>
    <w:p>
      <w:pPr>
        <w:spacing w:before="120" w:after="100"/>
      </w:pPr>
      <w:r>
        <w:t xml:space="preserve"/>
      </w:r>
    </w:p>
    <w:p>
      <w:pPr>
        <w:pStyle w:val="Heading2"/>
        <w:spacing w:before="280" w:after="160"/>
      </w:pPr>
      <w:r>
        <w:rPr>
          <w:rFonts w:ascii="Arial" w:cs="Arial" w:eastAsia="Arial" w:hAnsi="Arial"/>
          <w:b/>
          <w:bCs/>
          <w:color w:val="1B4F8A"/>
          <w:sz w:val="28"/>
          <w:szCs w:val="28"/>
        </w:rPr>
        <w:t xml:space="preserve">5.2  Data Subject Rights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Right</w:t>
            </w:r>
          </w:p>
        </w:tc>
        <w:tc>
          <w:tcPr>
            <w:tcW w:type="dxa" w:w="5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Technical Implementation</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SLA</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Right of Access (Art. 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Automated DSAR portal queries pseudonym across all stores, decrypts, and produces a machine-readable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30 days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Right to Rectification (Art. 16)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Analyst-mediated correction workflow with audit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30 days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Right to Erasure (Art. 17)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1) Cryptographic deletion (destroy per-user HMAC key) 2) Tombstone propagates to Neo4j, Redis, S3, Snowflake 3) Model retraining flag set for next scheduled 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30 days; model update within 60 days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Right to Data Portability (Art. 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Export behavioral profile and consent records as signed 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30 days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Right to Object (Art. 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Opt-out endpoint suspends all biometric processing; downgraded to rule-based fraud checks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Immediate</w:t>
            </w:r>
          </w:p>
        </w:tc>
      </w:tr>
    </w:tbl>
    <w:p>
      <w:pPr>
        <w:spacing w:before="120" w:after="100"/>
      </w:pPr>
      <w:r>
        <w:t xml:space="preserve"/>
      </w:r>
    </w:p>
    <w:p>
      <w:pPr>
        <w:pStyle w:val="Heading2"/>
        <w:spacing w:before="280" w:after="160"/>
      </w:pPr>
      <w:r>
        <w:rPr>
          <w:rFonts w:ascii="Arial" w:cs="Arial" w:eastAsia="Arial" w:hAnsi="Arial"/>
          <w:b/>
          <w:bCs/>
          <w:color w:val="1B4F8A"/>
          <w:sz w:val="28"/>
          <w:szCs w:val="28"/>
        </w:rPr>
        <w:t xml:space="preserve">5.3  CCPA / CPRA Compliance</w:t>
      </w:r>
    </w:p>
    <w:p>
      <w:pPr>
        <w:pStyle w:val="ListParagraph"/>
        <w:numPr>
          <w:ilvl w:val="0"/>
          <w:numId w:val="2"/>
        </w:numPr>
        <w:spacing w:before="60" w:after="60"/>
        <w:ind w:left="720" w:hanging="360"/>
      </w:pPr>
      <w:r>
        <w:rPr>
          <w:rFonts w:ascii="Arial" w:cs="Arial" w:eastAsia="Arial" w:hAnsi="Arial"/>
          <w:color w:val="1A1A2E"/>
          <w:sz w:val="22"/>
          <w:szCs w:val="22"/>
        </w:rPr>
        <w:t xml:space="preserve">Notice at Collection: A 'Notice of Data Collection' must be displayed before any SDK initialisation. It must list: categories of SPI collected (biometrics, device ID, behavioral data), purposes (fraud prevention only), retention period, and the right to limit use.</w:t>
      </w:r>
    </w:p>
    <w:p>
      <w:pPr>
        <w:pStyle w:val="ListParagraph"/>
        <w:numPr>
          <w:ilvl w:val="0"/>
          <w:numId w:val="2"/>
        </w:numPr>
        <w:spacing w:before="60" w:after="60"/>
        <w:ind w:left="720" w:hanging="360"/>
      </w:pPr>
      <w:r>
        <w:rPr>
          <w:rFonts w:ascii="Arial" w:cs="Arial" w:eastAsia="Arial" w:hAnsi="Arial"/>
          <w:color w:val="1A1A2E"/>
          <w:sz w:val="22"/>
          <w:szCs w:val="22"/>
        </w:rPr>
        <w:t xml:space="preserve">Right to Limit: A 'Limit Use of My Sensitive Personal Information' link must be available. Exercising this right disables biometric liveness and behavioral profiling; the user is assessed by device fingerprinting and rule-based checks only.</w:t>
      </w:r>
    </w:p>
    <w:p>
      <w:pPr>
        <w:pStyle w:val="ListParagraph"/>
        <w:numPr>
          <w:ilvl w:val="0"/>
          <w:numId w:val="2"/>
        </w:numPr>
        <w:spacing w:before="60" w:after="60"/>
        <w:ind w:left="720" w:hanging="360"/>
      </w:pPr>
      <w:r>
        <w:rPr>
          <w:rFonts w:ascii="Arial" w:cs="Arial" w:eastAsia="Arial" w:hAnsi="Arial"/>
          <w:color w:val="1A1A2E"/>
          <w:sz w:val="22"/>
          <w:szCs w:val="22"/>
        </w:rPr>
        <w:t xml:space="preserve">Reasonable Security: The CCPA mandates 'reasonable security'. The framework's AES-256 encryption at rest, TLS 1.3 in transit, RBAC, and annual penetration testing satisfy this requirement.</w:t>
      </w:r>
    </w:p>
    <w:p>
      <w:pPr>
        <w:spacing w:before="120" w:after="100"/>
      </w:pPr>
      <w:r>
        <w:t xml:space="preserve"/>
      </w:r>
    </w:p>
    <w:p>
      <w:pPr>
        <w:pStyle w:val="Heading2"/>
        <w:spacing w:before="280" w:after="160"/>
      </w:pPr>
      <w:r>
        <w:rPr>
          <w:rFonts w:ascii="Arial" w:cs="Arial" w:eastAsia="Arial" w:hAnsi="Arial"/>
          <w:b/>
          <w:bCs/>
          <w:color w:val="1B4F8A"/>
          <w:sz w:val="28"/>
          <w:szCs w:val="28"/>
        </w:rPr>
        <w:t xml:space="preserve">5.4  ISO/IEC 30107-3 Conformance</w:t>
      </w:r>
    </w:p>
    <w:p>
      <w:pPr>
        <w:spacing w:before="80" w:after="80"/>
        <w:jc w:val="both"/>
      </w:pPr>
      <w:r>
        <w:rPr>
          <w:rFonts w:ascii="Arial" w:cs="Arial" w:eastAsia="Arial" w:hAnsi="Arial"/>
          <w:color w:val="1A1A2E"/>
          <w:sz w:val="22"/>
          <w:szCs w:val="22"/>
        </w:rPr>
        <w:t xml:space="preserve">ISO/IEC 30107-3 specifies test methods and performance metrics for Presentation Attack Detection (PAD). Conformance requires:</w:t>
      </w:r>
    </w:p>
    <w:p>
      <w:pPr>
        <w:pStyle w:val="ListParagraph"/>
        <w:numPr>
          <w:ilvl w:val="0"/>
          <w:numId w:val="2"/>
        </w:numPr>
        <w:spacing w:before="60" w:after="60"/>
        <w:ind w:left="720" w:hanging="360"/>
      </w:pPr>
      <w:r>
        <w:rPr>
          <w:rFonts w:ascii="Arial" w:cs="Arial" w:eastAsia="Arial" w:hAnsi="Arial"/>
          <w:color w:val="1A1A2E"/>
          <w:sz w:val="22"/>
          <w:szCs w:val="22"/>
        </w:rPr>
        <w:t xml:space="preserve">BPCER (Bona Fide Presentation Classification Error Rate): target &lt; 2% (equivalent to FRR &lt; 2%).</w:t>
      </w:r>
    </w:p>
    <w:p>
      <w:pPr>
        <w:pStyle w:val="ListParagraph"/>
        <w:numPr>
          <w:ilvl w:val="0"/>
          <w:numId w:val="2"/>
        </w:numPr>
        <w:spacing w:before="60" w:after="60"/>
        <w:ind w:left="720" w:hanging="360"/>
      </w:pPr>
      <w:r>
        <w:rPr>
          <w:rFonts w:ascii="Arial" w:cs="Arial" w:eastAsia="Arial" w:hAnsi="Arial"/>
          <w:color w:val="1A1A2E"/>
          <w:sz w:val="22"/>
          <w:szCs w:val="22"/>
        </w:rPr>
        <w:t xml:space="preserve">APCER (Attack Presentation Classification Error Rate): target &lt; 0.1% per attack species (photo, video, 3D mask, deepfake).</w:t>
      </w:r>
    </w:p>
    <w:p>
      <w:pPr>
        <w:pStyle w:val="ListParagraph"/>
        <w:numPr>
          <w:ilvl w:val="0"/>
          <w:numId w:val="2"/>
        </w:numPr>
        <w:spacing w:before="60" w:after="60"/>
        <w:ind w:left="720" w:hanging="360"/>
      </w:pPr>
      <w:r>
        <w:rPr>
          <w:rFonts w:ascii="Arial" w:cs="Arial" w:eastAsia="Arial" w:hAnsi="Arial"/>
          <w:color w:val="1A1A2E"/>
          <w:sz w:val="22"/>
          <w:szCs w:val="22"/>
        </w:rPr>
        <w:t xml:space="preserve">Testing against standardised attack species defined in the standard, including both known and unknown attack species.</w:t>
      </w:r>
    </w:p>
    <w:p>
      <w:pPr>
        <w:pStyle w:val="ListParagraph"/>
        <w:numPr>
          <w:ilvl w:val="0"/>
          <w:numId w:val="2"/>
        </w:numPr>
        <w:spacing w:before="60" w:after="60"/>
        <w:ind w:left="720" w:hanging="360"/>
      </w:pPr>
      <w:r>
        <w:rPr>
          <w:rFonts w:ascii="Arial" w:cs="Arial" w:eastAsia="Arial" w:hAnsi="Arial"/>
          <w:color w:val="1A1A2E"/>
          <w:sz w:val="22"/>
          <w:szCs w:val="22"/>
        </w:rPr>
        <w:t xml:space="preserve">Third-party conformance evaluation by an accredited laboratory before production deployment.</w:t>
      </w:r>
    </w:p>
    <w:tbl>
      <w:tblPr>
        <w:tblW w:type="dxa" w:w="9360"/>
        <w:tblBorders>
          <w:top w:val="single" w:color="E74C3C" w:sz="8"/>
          <w:left w:val="single" w:color="E74C3C" w:sz="20"/>
          <w:bottom w:val="single" w:color="E74C3C"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E74C3C"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E74C3C"/>
                <w:sz w:val="21"/>
                <w:szCs w:val="21"/>
              </w:rPr>
              <w:t xml:space="preserve">Correction to Source Material</w:t>
            </w:r>
          </w:p>
          <w:p>
            <w:pPr>
              <w:spacing w:before="0" w:after="0"/>
              <w:jc w:val="both"/>
            </w:pPr>
            <w:r>
              <w:rPr>
                <w:rFonts w:ascii="Arial" w:cs="Arial" w:eastAsia="Arial" w:hAnsi="Arial"/>
                <w:color w:val="1A1A2E"/>
                <w:sz w:val="21"/>
                <w:szCs w:val="21"/>
              </w:rPr>
              <w:t xml:space="preserve">The original source documents reference 'ISO/IEC 30107' generically. The operative standard for PAD conformance testing is specifically ISO/IEC 30107-3:2023. Parts 1 and 2 cover framework and formats respectively; only Part 3 defines the BPCER/APCER metrics relevant to this framework's certification.</w:t>
            </w:r>
          </w:p>
        </w:tc>
      </w:tr>
    </w:tbl>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06</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Security Architecture</w:t>
            </w:r>
          </w:p>
          <w:p>
            <w:pPr>
              <w:spacing w:before="40"/>
            </w:pPr>
            <w:r>
              <w:rPr>
                <w:rFonts w:ascii="Arial" w:cs="Arial" w:eastAsia="Arial" w:hAnsi="Arial"/>
                <w:color w:val="D0E8FF"/>
                <w:sz w:val="20"/>
                <w:szCs w:val="20"/>
              </w:rPr>
              <w:t xml:space="preserve">Zero-Trust, encryption, adversarial defence</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6.1  Zero-Trust Implementation</w:t>
      </w:r>
    </w:p>
    <w:p>
      <w:pPr>
        <w:pStyle w:val="ListParagraph"/>
        <w:numPr>
          <w:ilvl w:val="0"/>
          <w:numId w:val="2"/>
        </w:numPr>
        <w:spacing w:before="60" w:after="60"/>
        <w:ind w:left="720" w:hanging="360"/>
      </w:pPr>
      <w:r>
        <w:rPr>
          <w:rFonts w:ascii="Arial" w:cs="Arial" w:eastAsia="Arial" w:hAnsi="Arial"/>
          <w:color w:val="1A1A2E"/>
          <w:sz w:val="22"/>
          <w:szCs w:val="22"/>
        </w:rPr>
        <w:t xml:space="preserve">Identity: SPIFFE/SPIRE for workload identity. Each microservice has a cryptographic X.509 SVID renewed every 24 hours.</w:t>
      </w:r>
    </w:p>
    <w:p>
      <w:pPr>
        <w:pStyle w:val="ListParagraph"/>
        <w:numPr>
          <w:ilvl w:val="0"/>
          <w:numId w:val="2"/>
        </w:numPr>
        <w:spacing w:before="60" w:after="60"/>
        <w:ind w:left="720" w:hanging="360"/>
      </w:pPr>
      <w:r>
        <w:rPr>
          <w:rFonts w:ascii="Arial" w:cs="Arial" w:eastAsia="Arial" w:hAnsi="Arial"/>
          <w:color w:val="1A1A2E"/>
          <w:sz w:val="22"/>
          <w:szCs w:val="22"/>
        </w:rPr>
        <w:t xml:space="preserve">Network: Istio service mesh enforces mTLS between all pods. NetworkPolicy rules allow only explicitly declared traffic paths.</w:t>
      </w:r>
    </w:p>
    <w:p>
      <w:pPr>
        <w:pStyle w:val="ListParagraph"/>
        <w:numPr>
          <w:ilvl w:val="0"/>
          <w:numId w:val="2"/>
        </w:numPr>
        <w:spacing w:before="60" w:after="60"/>
        <w:ind w:left="720" w:hanging="360"/>
      </w:pPr>
      <w:r>
        <w:rPr>
          <w:rFonts w:ascii="Arial" w:cs="Arial" w:eastAsia="Arial" w:hAnsi="Arial"/>
          <w:color w:val="1A1A2E"/>
          <w:sz w:val="22"/>
          <w:szCs w:val="22"/>
        </w:rPr>
        <w:t xml:space="preserve">Access: OPA (Open Policy Agent) evaluates all API calls against policy. Least-privilege RBAC with no default permissions.</w:t>
      </w:r>
    </w:p>
    <w:p>
      <w:pPr>
        <w:pStyle w:val="ListParagraph"/>
        <w:numPr>
          <w:ilvl w:val="0"/>
          <w:numId w:val="2"/>
        </w:numPr>
        <w:spacing w:before="60" w:after="60"/>
        <w:ind w:left="720" w:hanging="360"/>
      </w:pPr>
      <w:r>
        <w:rPr>
          <w:rFonts w:ascii="Arial" w:cs="Arial" w:eastAsia="Arial" w:hAnsi="Arial"/>
          <w:color w:val="1A1A2E"/>
          <w:sz w:val="22"/>
          <w:szCs w:val="22"/>
        </w:rPr>
        <w:t xml:space="preserve">Continuous Verification: each request re-evaluated regardless of prior authentication state.</w:t>
      </w:r>
    </w:p>
    <w:p>
      <w:pPr>
        <w:spacing w:before="120" w:after="100"/>
      </w:pPr>
      <w:r>
        <w:t xml:space="preserve"/>
      </w:r>
    </w:p>
    <w:p>
      <w:pPr>
        <w:pStyle w:val="Heading2"/>
        <w:spacing w:before="280" w:after="160"/>
      </w:pPr>
      <w:r>
        <w:rPr>
          <w:rFonts w:ascii="Arial" w:cs="Arial" w:eastAsia="Arial" w:hAnsi="Arial"/>
          <w:b/>
          <w:bCs/>
          <w:color w:val="1B4F8A"/>
          <w:sz w:val="28"/>
          <w:szCs w:val="28"/>
        </w:rPr>
        <w:t xml:space="preserve">6.2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Data State</w:t>
            </w:r>
          </w:p>
        </w:tc>
        <w:tc>
          <w:tcPr>
            <w:tcW w:type="dxa" w:w="3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Algorithm</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Key Management</w:t>
            </w:r>
          </w:p>
        </w:tc>
      </w:tr>
      <w:tr>
        <w:trPr>
          <w:tblHeader w:val="false"/>
        </w:trP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In transit (external)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TLS 1.3 with ECDHE + AES-256-GCM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AWS ACM / Let's Encrypt, auto-rotated</w:t>
            </w:r>
          </w:p>
        </w:tc>
      </w:tr>
      <w:tr>
        <w:trPr>
          <w:tblHeader w:val="false"/>
        </w:trP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In transit (internal)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mTLS via Istio, SPIFFE SVIDs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SPIRE server, 24-hour TTL</w:t>
            </w:r>
          </w:p>
        </w:tc>
      </w:tr>
      <w:tr>
        <w:trPr>
          <w:tblHeader w:val="false"/>
        </w:trP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At rest — databases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AES-256 via AWS KMS envelope encryption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KMS CMK, rotated annually</w:t>
            </w:r>
          </w:p>
        </w:tc>
      </w:tr>
      <w:tr>
        <w:trPr>
          <w:tblHeader w:val="false"/>
        </w:trP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At rest — S3 (liveness frames)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SSE-S3 with per-object keys; auto-deleted after 24h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S3 lifecycle policy</w:t>
            </w:r>
          </w:p>
        </w:tc>
      </w:tr>
      <w:tr>
        <w:trPr>
          <w:tblHeader w:val="false"/>
        </w:trP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Behavioral profiles (Redis)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Application-layer AES-256; key per user, destroyed on erasure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AWS Secrets Manager, rotated monthly</w:t>
            </w:r>
          </w:p>
        </w:tc>
      </w:tr>
    </w:tbl>
    <w:p>
      <w:pPr>
        <w:spacing w:before="120" w:after="100"/>
      </w:pPr>
      <w:r>
        <w:t xml:space="preserve"/>
      </w:r>
    </w:p>
    <w:p>
      <w:pPr>
        <w:pStyle w:val="Heading2"/>
        <w:spacing w:before="280" w:after="160"/>
      </w:pPr>
      <w:r>
        <w:rPr>
          <w:rFonts w:ascii="Arial" w:cs="Arial" w:eastAsia="Arial" w:hAnsi="Arial"/>
          <w:b/>
          <w:bCs/>
          <w:color w:val="1B4F8A"/>
          <w:sz w:val="28"/>
          <w:szCs w:val="28"/>
        </w:rPr>
        <w:t xml:space="preserve">6.3  Secrets Management</w:t>
      </w:r>
    </w:p>
    <w:p>
      <w:pPr>
        <w:pStyle w:val="ListParagraph"/>
        <w:numPr>
          <w:ilvl w:val="0"/>
          <w:numId w:val="2"/>
        </w:numPr>
        <w:spacing w:before="60" w:after="60"/>
        <w:ind w:left="720" w:hanging="360"/>
      </w:pPr>
      <w:r>
        <w:rPr>
          <w:rFonts w:ascii="Arial" w:cs="Arial" w:eastAsia="Arial" w:hAnsi="Arial"/>
          <w:color w:val="1A1A2E"/>
          <w:sz w:val="22"/>
          <w:szCs w:val="22"/>
        </w:rPr>
        <w:t xml:space="preserve">All API keys, database credentials, and Claude API keys stored in AWS Secrets Manager with automatic 30-day rotation.</w:t>
      </w:r>
    </w:p>
    <w:p>
      <w:pPr>
        <w:pStyle w:val="ListParagraph"/>
        <w:numPr>
          <w:ilvl w:val="0"/>
          <w:numId w:val="2"/>
        </w:numPr>
        <w:spacing w:before="60" w:after="60"/>
        <w:ind w:left="720" w:hanging="360"/>
      </w:pPr>
      <w:r>
        <w:rPr>
          <w:rFonts w:ascii="Arial" w:cs="Arial" w:eastAsia="Arial" w:hAnsi="Arial"/>
          <w:color w:val="1A1A2E"/>
          <w:sz w:val="22"/>
          <w:szCs w:val="22"/>
        </w:rPr>
        <w:t xml:space="preserve">No secrets in environment variables, Kubernetes ConfigMaps, or container images.</w:t>
      </w:r>
    </w:p>
    <w:p>
      <w:pPr>
        <w:pStyle w:val="ListParagraph"/>
        <w:numPr>
          <w:ilvl w:val="0"/>
          <w:numId w:val="2"/>
        </w:numPr>
        <w:spacing w:before="60" w:after="60"/>
        <w:ind w:left="720" w:hanging="360"/>
      </w:pPr>
      <w:r>
        <w:rPr>
          <w:rFonts w:ascii="Arial" w:cs="Arial" w:eastAsia="Arial" w:hAnsi="Arial"/>
          <w:color w:val="1A1A2E"/>
          <w:sz w:val="22"/>
          <w:szCs w:val="22"/>
        </w:rPr>
        <w:t xml:space="preserve">Claude API keys scoped per service (liveness service uses Opus 4.6 key; scoring service uses Sonnet 4.6 key) to limit blast radius of credential compromise.</w:t>
      </w:r>
    </w:p>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07</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Implementation Roadmap</w:t>
            </w:r>
          </w:p>
          <w:p>
            <w:pPr>
              <w:spacing w:before="40"/>
            </w:pPr>
            <w:r>
              <w:rPr>
                <w:rFonts w:ascii="Arial" w:cs="Arial" w:eastAsia="Arial" w:hAnsi="Arial"/>
                <w:color w:val="D0E8FF"/>
                <w:sz w:val="20"/>
                <w:szCs w:val="20"/>
              </w:rPr>
              <w:t xml:space="preserve">Phased delivery over 18 months</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7.1  Phase 1 — Foundation (Months 1–4)</w:t>
      </w:r>
    </w:p>
    <w:p>
      <w:pPr>
        <w:pStyle w:val="ListParagraph"/>
        <w:numPr>
          <w:ilvl w:val="0"/>
          <w:numId w:val="2"/>
        </w:numPr>
        <w:spacing w:before="60" w:after="60"/>
        <w:ind w:left="720" w:hanging="360"/>
      </w:pPr>
      <w:r>
        <w:rPr>
          <w:rFonts w:ascii="Arial" w:cs="Arial" w:eastAsia="Arial" w:hAnsi="Arial"/>
          <w:color w:val="1A1A2E"/>
          <w:sz w:val="22"/>
          <w:szCs w:val="22"/>
        </w:rPr>
        <w:t xml:space="preserve">Infrastructure provisioning: AWS VPC, EKS cluster, Kafka (MSK), Redis (ElastiCache), Neo4j AuraDS, Snowflake.</w:t>
      </w:r>
    </w:p>
    <w:p>
      <w:pPr>
        <w:pStyle w:val="ListParagraph"/>
        <w:numPr>
          <w:ilvl w:val="0"/>
          <w:numId w:val="2"/>
        </w:numPr>
        <w:spacing w:before="60" w:after="60"/>
        <w:ind w:left="720" w:hanging="360"/>
      </w:pPr>
      <w:r>
        <w:rPr>
          <w:rFonts w:ascii="Arial" w:cs="Arial" w:eastAsia="Arial" w:hAnsi="Arial"/>
          <w:color w:val="1A1A2E"/>
          <w:sz w:val="22"/>
          <w:szCs w:val="22"/>
        </w:rPr>
        <w:t xml:space="preserve">Device Fingerprinting Service — web SDK + backend service; basic evasion detection (emulator, root, virtual camera).</w:t>
      </w:r>
    </w:p>
    <w:p>
      <w:pPr>
        <w:pStyle w:val="ListParagraph"/>
        <w:numPr>
          <w:ilvl w:val="0"/>
          <w:numId w:val="2"/>
        </w:numPr>
        <w:spacing w:before="60" w:after="60"/>
        <w:ind w:left="720" w:hanging="360"/>
      </w:pPr>
      <w:r>
        <w:rPr>
          <w:rFonts w:ascii="Arial" w:cs="Arial" w:eastAsia="Arial" w:hAnsi="Arial"/>
          <w:color w:val="1A1A2E"/>
          <w:sz w:val="22"/>
          <w:szCs w:val="22"/>
        </w:rPr>
        <w:t xml:space="preserve">API Gateway + authentication layer.</w:t>
      </w:r>
    </w:p>
    <w:p>
      <w:pPr>
        <w:pStyle w:val="ListParagraph"/>
        <w:numPr>
          <w:ilvl w:val="0"/>
          <w:numId w:val="2"/>
        </w:numPr>
        <w:spacing w:before="60" w:after="60"/>
        <w:ind w:left="720" w:hanging="360"/>
      </w:pPr>
      <w:r>
        <w:rPr>
          <w:rFonts w:ascii="Arial" w:cs="Arial" w:eastAsia="Arial" w:hAnsi="Arial"/>
          <w:color w:val="1A1A2E"/>
          <w:sz w:val="22"/>
          <w:szCs w:val="22"/>
        </w:rPr>
        <w:t xml:space="preserve">Basic rules engine (IP blocklist, velocity checks).</w:t>
      </w:r>
    </w:p>
    <w:p>
      <w:pPr>
        <w:pStyle w:val="ListParagraph"/>
        <w:numPr>
          <w:ilvl w:val="0"/>
          <w:numId w:val="2"/>
        </w:numPr>
        <w:spacing w:before="60" w:after="60"/>
        <w:ind w:left="720" w:hanging="360"/>
      </w:pPr>
      <w:r>
        <w:rPr>
          <w:rFonts w:ascii="Arial" w:cs="Arial" w:eastAsia="Arial" w:hAnsi="Arial"/>
          <w:color w:val="1A1A2E"/>
          <w:sz w:val="22"/>
          <w:szCs w:val="22"/>
        </w:rPr>
        <w:t xml:space="preserve">Fraud Analyst Dashboard — alert queue and basic case management.</w:t>
      </w:r>
    </w:p>
    <w:p>
      <w:pPr>
        <w:pStyle w:val="ListParagraph"/>
        <w:numPr>
          <w:ilvl w:val="0"/>
          <w:numId w:val="2"/>
        </w:numPr>
        <w:spacing w:before="60" w:after="60"/>
        <w:ind w:left="720" w:hanging="360"/>
      </w:pPr>
      <w:r>
        <w:rPr>
          <w:rFonts w:ascii="Arial" w:cs="Arial" w:eastAsia="Arial" w:hAnsi="Arial"/>
          <w:color w:val="1A1A2E"/>
          <w:sz w:val="22"/>
          <w:szCs w:val="22"/>
        </w:rPr>
        <w:t xml:space="preserve">Privacy Mediation Layer — consent CMP integration, pseudonymisation.</w:t>
      </w:r>
    </w:p>
    <w:p>
      <w:pPr>
        <w:pStyle w:val="ListParagraph"/>
        <w:numPr>
          <w:ilvl w:val="0"/>
          <w:numId w:val="2"/>
        </w:numPr>
        <w:spacing w:before="60" w:after="60"/>
        <w:ind w:left="720" w:hanging="360"/>
      </w:pPr>
      <w:r>
        <w:rPr>
          <w:rFonts w:ascii="Arial" w:cs="Arial" w:eastAsia="Arial" w:hAnsi="Arial"/>
          <w:color w:val="1A1A2E"/>
          <w:sz w:val="22"/>
          <w:szCs w:val="22"/>
        </w:rPr>
        <w:t xml:space="preserve">Deliverable: Operational baseline system with device fingerprinting and rule-based scoring.</w:t>
      </w:r>
    </w:p>
    <w:p>
      <w:pPr>
        <w:spacing w:before="80" w:after="100"/>
      </w:pPr>
      <w:r>
        <w:t xml:space="preserve"/>
      </w:r>
    </w:p>
    <w:p>
      <w:pPr>
        <w:pStyle w:val="Heading2"/>
        <w:spacing w:before="280" w:after="160"/>
      </w:pPr>
      <w:r>
        <w:rPr>
          <w:rFonts w:ascii="Arial" w:cs="Arial" w:eastAsia="Arial" w:hAnsi="Arial"/>
          <w:b/>
          <w:bCs/>
          <w:color w:val="1B4F8A"/>
          <w:sz w:val="28"/>
          <w:szCs w:val="28"/>
        </w:rPr>
        <w:t xml:space="preserve">7.2  Phase 2 — Intelligence (Months 5–9)</w:t>
      </w:r>
    </w:p>
    <w:p>
      <w:pPr>
        <w:pStyle w:val="ListParagraph"/>
        <w:numPr>
          <w:ilvl w:val="0"/>
          <w:numId w:val="2"/>
        </w:numPr>
        <w:spacing w:before="60" w:after="60"/>
        <w:ind w:left="720" w:hanging="360"/>
      </w:pPr>
      <w:r>
        <w:rPr>
          <w:rFonts w:ascii="Arial" w:cs="Arial" w:eastAsia="Arial" w:hAnsi="Arial"/>
          <w:color w:val="1A1A2E"/>
          <w:sz w:val="22"/>
          <w:szCs w:val="22"/>
        </w:rPr>
        <w:t xml:space="preserve">Behavioral Biometrics Service — SDK data collection + LSTM profile model (trained on Phase 1 data).</w:t>
      </w:r>
    </w:p>
    <w:p>
      <w:pPr>
        <w:pStyle w:val="ListParagraph"/>
        <w:numPr>
          <w:ilvl w:val="0"/>
          <w:numId w:val="2"/>
        </w:numPr>
        <w:spacing w:before="60" w:after="60"/>
        <w:ind w:left="720" w:hanging="360"/>
      </w:pPr>
      <w:r>
        <w:rPr>
          <w:rFonts w:ascii="Arial" w:cs="Arial" w:eastAsia="Arial" w:hAnsi="Arial"/>
          <w:color w:val="1A1A2E"/>
          <w:sz w:val="22"/>
          <w:szCs w:val="22"/>
        </w:rPr>
        <w:t xml:space="preserve">Graph Analysis Service — Neo4j schema, real-time Cypher queries, shared-identifier detection.</w:t>
      </w:r>
    </w:p>
    <w:p>
      <w:pPr>
        <w:pStyle w:val="ListParagraph"/>
        <w:numPr>
          <w:ilvl w:val="0"/>
          <w:numId w:val="2"/>
        </w:numPr>
        <w:spacing w:before="60" w:after="60"/>
        <w:ind w:left="720" w:hanging="360"/>
      </w:pPr>
      <w:r>
        <w:rPr>
          <w:rFonts w:ascii="Arial" w:cs="Arial" w:eastAsia="Arial" w:hAnsi="Arial"/>
          <w:color w:val="1A1A2E"/>
          <w:sz w:val="22"/>
          <w:szCs w:val="22"/>
        </w:rPr>
        <w:t xml:space="preserve">ML Scoring Orchestrator — XGBoost Tier-1 model, meta-learner. Initial AUROC target: &gt; 0.92.</w:t>
      </w:r>
    </w:p>
    <w:p>
      <w:pPr>
        <w:pStyle w:val="ListParagraph"/>
        <w:numPr>
          <w:ilvl w:val="0"/>
          <w:numId w:val="2"/>
        </w:numPr>
        <w:spacing w:before="60" w:after="60"/>
        <w:ind w:left="720" w:hanging="360"/>
      </w:pPr>
      <w:r>
        <w:rPr>
          <w:rFonts w:ascii="Arial" w:cs="Arial" w:eastAsia="Arial" w:hAnsi="Arial"/>
          <w:color w:val="1A1A2E"/>
          <w:sz w:val="22"/>
          <w:szCs w:val="22"/>
        </w:rPr>
        <w:t xml:space="preserve">Liveness Detection Service — passive mode using Claude Sonnet 4.6 for first-pass.</w:t>
      </w:r>
    </w:p>
    <w:p>
      <w:pPr>
        <w:pStyle w:val="ListParagraph"/>
        <w:numPr>
          <w:ilvl w:val="0"/>
          <w:numId w:val="2"/>
        </w:numPr>
        <w:spacing w:before="60" w:after="60"/>
        <w:ind w:left="720" w:hanging="360"/>
      </w:pPr>
      <w:r>
        <w:rPr>
          <w:rFonts w:ascii="Arial" w:cs="Arial" w:eastAsia="Arial" w:hAnsi="Arial"/>
          <w:color w:val="1A1A2E"/>
          <w:sz w:val="22"/>
          <w:szCs w:val="22"/>
        </w:rPr>
        <w:t xml:space="preserve">Dashboard — network graph visualisation, advanced filtering.</w:t>
      </w:r>
    </w:p>
    <w:p>
      <w:pPr>
        <w:pStyle w:val="ListParagraph"/>
        <w:numPr>
          <w:ilvl w:val="0"/>
          <w:numId w:val="2"/>
        </w:numPr>
        <w:spacing w:before="60" w:after="60"/>
        <w:ind w:left="720" w:hanging="360"/>
      </w:pPr>
      <w:r>
        <w:rPr>
          <w:rFonts w:ascii="Arial" w:cs="Arial" w:eastAsia="Arial" w:hAnsi="Arial"/>
          <w:color w:val="1A1A2E"/>
          <w:sz w:val="22"/>
          <w:szCs w:val="22"/>
        </w:rPr>
        <w:t xml:space="preserve">Deliverable: AI-powered risk scoring live. Start collecting analyst labels for model improvement.</w:t>
      </w:r>
    </w:p>
    <w:p>
      <w:pPr>
        <w:spacing w:before="80" w:after="100"/>
      </w:pPr>
      <w:r>
        <w:t xml:space="preserve"/>
      </w:r>
    </w:p>
    <w:p>
      <w:pPr>
        <w:pStyle w:val="Heading2"/>
        <w:spacing w:before="280" w:after="160"/>
      </w:pPr>
      <w:r>
        <w:rPr>
          <w:rFonts w:ascii="Arial" w:cs="Arial" w:eastAsia="Arial" w:hAnsi="Arial"/>
          <w:b/>
          <w:bCs/>
          <w:color w:val="1B4F8A"/>
          <w:sz w:val="28"/>
          <w:szCs w:val="28"/>
        </w:rPr>
        <w:t xml:space="preserve">7.3  Phase 3 — Advanced Defence (Months 10–14)</w:t>
      </w:r>
    </w:p>
    <w:p>
      <w:pPr>
        <w:pStyle w:val="ListParagraph"/>
        <w:numPr>
          <w:ilvl w:val="0"/>
          <w:numId w:val="2"/>
        </w:numPr>
        <w:spacing w:before="60" w:after="60"/>
        <w:ind w:left="720" w:hanging="360"/>
      </w:pPr>
      <w:r>
        <w:rPr>
          <w:rFonts w:ascii="Arial" w:cs="Arial" w:eastAsia="Arial" w:hAnsi="Arial"/>
          <w:color w:val="1A1A2E"/>
          <w:sz w:val="22"/>
          <w:szCs w:val="22"/>
        </w:rPr>
        <w:t xml:space="preserve">Upgrade liveness to Claude Opus 4.6 for high-risk sessions.</w:t>
      </w:r>
    </w:p>
    <w:p>
      <w:pPr>
        <w:pStyle w:val="ListParagraph"/>
        <w:numPr>
          <w:ilvl w:val="0"/>
          <w:numId w:val="2"/>
        </w:numPr>
        <w:spacing w:before="60" w:after="60"/>
        <w:ind w:left="720" w:hanging="360"/>
      </w:pPr>
      <w:r>
        <w:rPr>
          <w:rFonts w:ascii="Arial" w:cs="Arial" w:eastAsia="Arial" w:hAnsi="Arial"/>
          <w:color w:val="1A1A2E"/>
          <w:sz w:val="22"/>
          <w:szCs w:val="22"/>
        </w:rPr>
        <w:t xml:space="preserve">Light-flash challenge implementation across mobile SDKs.</w:t>
      </w:r>
    </w:p>
    <w:p>
      <w:pPr>
        <w:pStyle w:val="ListParagraph"/>
        <w:numPr>
          <w:ilvl w:val="0"/>
          <w:numId w:val="2"/>
        </w:numPr>
        <w:spacing w:before="60" w:after="60"/>
        <w:ind w:left="720" w:hanging="360"/>
      </w:pPr>
      <w:r>
        <w:rPr>
          <w:rFonts w:ascii="Arial" w:cs="Arial" w:eastAsia="Arial" w:hAnsi="Arial"/>
          <w:color w:val="1A1A2E"/>
          <w:sz w:val="22"/>
          <w:szCs w:val="22"/>
        </w:rPr>
        <w:t xml:space="preserve">Active liveness SDK (randomised challenge engine).</w:t>
      </w:r>
    </w:p>
    <w:p>
      <w:pPr>
        <w:pStyle w:val="ListParagraph"/>
        <w:numPr>
          <w:ilvl w:val="0"/>
          <w:numId w:val="2"/>
        </w:numPr>
        <w:spacing w:before="60" w:after="60"/>
        <w:ind w:left="720" w:hanging="360"/>
      </w:pPr>
      <w:r>
        <w:rPr>
          <w:rFonts w:ascii="Arial" w:cs="Arial" w:eastAsia="Arial" w:hAnsi="Arial"/>
          <w:color w:val="1A1A2E"/>
          <w:sz w:val="22"/>
          <w:szCs w:val="22"/>
        </w:rPr>
        <w:t xml:space="preserve">Relay attack detection — network relay signals + NFC transaction anomaly rules.</w:t>
      </w:r>
    </w:p>
    <w:p>
      <w:pPr>
        <w:pStyle w:val="ListParagraph"/>
        <w:numPr>
          <w:ilvl w:val="0"/>
          <w:numId w:val="2"/>
        </w:numPr>
        <w:spacing w:before="60" w:after="60"/>
        <w:ind w:left="720" w:hanging="360"/>
      </w:pPr>
      <w:r>
        <w:rPr>
          <w:rFonts w:ascii="Arial" w:cs="Arial" w:eastAsia="Arial" w:hAnsi="Arial"/>
          <w:color w:val="1A1A2E"/>
          <w:sz w:val="22"/>
          <w:szCs w:val="22"/>
        </w:rPr>
        <w:t xml:space="preserve">Offline community detection (Leiden + PageRank batch jobs on weekly schedule).</w:t>
      </w:r>
    </w:p>
    <w:p>
      <w:pPr>
        <w:pStyle w:val="ListParagraph"/>
        <w:numPr>
          <w:ilvl w:val="0"/>
          <w:numId w:val="2"/>
        </w:numPr>
        <w:spacing w:before="60" w:after="60"/>
        <w:ind w:left="720" w:hanging="360"/>
      </w:pPr>
      <w:r>
        <w:rPr>
          <w:rFonts w:ascii="Arial" w:cs="Arial" w:eastAsia="Arial" w:hAnsi="Arial"/>
          <w:color w:val="1A1A2E"/>
          <w:sz w:val="22"/>
          <w:szCs w:val="22"/>
        </w:rPr>
        <w:t xml:space="preserve">Adversarial training refresh: integrate analyst-confirmed fraud labels into training pipeline.</w:t>
      </w:r>
    </w:p>
    <w:p>
      <w:pPr>
        <w:pStyle w:val="ListParagraph"/>
        <w:numPr>
          <w:ilvl w:val="0"/>
          <w:numId w:val="2"/>
        </w:numPr>
        <w:spacing w:before="60" w:after="60"/>
        <w:ind w:left="720" w:hanging="360"/>
      </w:pPr>
      <w:r>
        <w:rPr>
          <w:rFonts w:ascii="Arial" w:cs="Arial" w:eastAsia="Arial" w:hAnsi="Arial"/>
          <w:color w:val="1A1A2E"/>
          <w:sz w:val="22"/>
          <w:szCs w:val="22"/>
        </w:rPr>
        <w:t xml:space="preserve">Deliverable: Full five-layer analysis operational. Begin ISO/IEC 30107-3 third-party conformance testing.</w:t>
      </w:r>
    </w:p>
    <w:p>
      <w:pPr>
        <w:spacing w:before="80" w:after="100"/>
      </w:pPr>
      <w:r>
        <w:t xml:space="preserve"/>
      </w:r>
    </w:p>
    <w:p>
      <w:pPr>
        <w:pStyle w:val="Heading2"/>
        <w:spacing w:before="280" w:after="160"/>
      </w:pPr>
      <w:r>
        <w:rPr>
          <w:rFonts w:ascii="Arial" w:cs="Arial" w:eastAsia="Arial" w:hAnsi="Arial"/>
          <w:b/>
          <w:bCs/>
          <w:color w:val="1B4F8A"/>
          <w:sz w:val="28"/>
          <w:szCs w:val="28"/>
        </w:rPr>
        <w:t xml:space="preserve">7.4  Phase 4 — Optimisation &amp; Compliance (Months 15–18)</w:t>
      </w:r>
    </w:p>
    <w:p>
      <w:pPr>
        <w:pStyle w:val="ListParagraph"/>
        <w:numPr>
          <w:ilvl w:val="0"/>
          <w:numId w:val="2"/>
        </w:numPr>
        <w:spacing w:before="60" w:after="60"/>
        <w:ind w:left="720" w:hanging="360"/>
      </w:pPr>
      <w:r>
        <w:rPr>
          <w:rFonts w:ascii="Arial" w:cs="Arial" w:eastAsia="Arial" w:hAnsi="Arial"/>
          <w:color w:val="1A1A2E"/>
          <w:sz w:val="22"/>
          <w:szCs w:val="22"/>
        </w:rPr>
        <w:t xml:space="preserve">Machine unlearning capability for Right to Erasure compliance.</w:t>
      </w:r>
    </w:p>
    <w:p>
      <w:pPr>
        <w:pStyle w:val="ListParagraph"/>
        <w:numPr>
          <w:ilvl w:val="0"/>
          <w:numId w:val="2"/>
        </w:numPr>
        <w:spacing w:before="60" w:after="60"/>
        <w:ind w:left="720" w:hanging="360"/>
      </w:pPr>
      <w:r>
        <w:rPr>
          <w:rFonts w:ascii="Arial" w:cs="Arial" w:eastAsia="Arial" w:hAnsi="Arial"/>
          <w:color w:val="1A1A2E"/>
          <w:sz w:val="22"/>
          <w:szCs w:val="22"/>
        </w:rPr>
        <w:t xml:space="preserve">Federated learning pilot for behavioral profile training.</w:t>
      </w:r>
    </w:p>
    <w:p>
      <w:pPr>
        <w:pStyle w:val="ListParagraph"/>
        <w:numPr>
          <w:ilvl w:val="0"/>
          <w:numId w:val="2"/>
        </w:numPr>
        <w:spacing w:before="60" w:after="60"/>
        <w:ind w:left="720" w:hanging="360"/>
      </w:pPr>
      <w:r>
        <w:rPr>
          <w:rFonts w:ascii="Arial" w:cs="Arial" w:eastAsia="Arial" w:hAnsi="Arial"/>
          <w:color w:val="1A1A2E"/>
          <w:sz w:val="22"/>
          <w:szCs w:val="22"/>
        </w:rPr>
        <w:t xml:space="preserve">DPIA submission and regulatory review.</w:t>
      </w:r>
    </w:p>
    <w:p>
      <w:pPr>
        <w:pStyle w:val="ListParagraph"/>
        <w:numPr>
          <w:ilvl w:val="0"/>
          <w:numId w:val="2"/>
        </w:numPr>
        <w:spacing w:before="60" w:after="60"/>
        <w:ind w:left="720" w:hanging="360"/>
      </w:pPr>
      <w:r>
        <w:rPr>
          <w:rFonts w:ascii="Arial" w:cs="Arial" w:eastAsia="Arial" w:hAnsi="Arial"/>
          <w:color w:val="1A1A2E"/>
          <w:sz w:val="22"/>
          <w:szCs w:val="22"/>
        </w:rPr>
        <w:t xml:space="preserve">ISO/IEC 30107-3 conformance certification.</w:t>
      </w:r>
    </w:p>
    <w:p>
      <w:pPr>
        <w:pStyle w:val="ListParagraph"/>
        <w:numPr>
          <w:ilvl w:val="0"/>
          <w:numId w:val="2"/>
        </w:numPr>
        <w:spacing w:before="60" w:after="60"/>
        <w:ind w:left="720" w:hanging="360"/>
      </w:pPr>
      <w:r>
        <w:rPr>
          <w:rFonts w:ascii="Arial" w:cs="Arial" w:eastAsia="Arial" w:hAnsi="Arial"/>
          <w:color w:val="1A1A2E"/>
          <w:sz w:val="22"/>
          <w:szCs w:val="22"/>
        </w:rPr>
        <w:t xml:space="preserve">Performance tuning: P99 latency optimisation, false positive reduction campaign.</w:t>
      </w:r>
    </w:p>
    <w:p>
      <w:pPr>
        <w:pStyle w:val="ListParagraph"/>
        <w:numPr>
          <w:ilvl w:val="0"/>
          <w:numId w:val="2"/>
        </w:numPr>
        <w:spacing w:before="60" w:after="60"/>
        <w:ind w:left="720" w:hanging="360"/>
      </w:pPr>
      <w:r>
        <w:rPr>
          <w:rFonts w:ascii="Arial" w:cs="Arial" w:eastAsia="Arial" w:hAnsi="Arial"/>
          <w:color w:val="1A1A2E"/>
          <w:sz w:val="22"/>
          <w:szCs w:val="22"/>
        </w:rPr>
        <w:t xml:space="preserve">Full penetration test by accredited third party.</w:t>
      </w:r>
    </w:p>
    <w:p>
      <w:pPr>
        <w:pStyle w:val="ListParagraph"/>
        <w:numPr>
          <w:ilvl w:val="0"/>
          <w:numId w:val="2"/>
        </w:numPr>
        <w:spacing w:before="60" w:after="60"/>
        <w:ind w:left="720" w:hanging="360"/>
      </w:pPr>
      <w:r>
        <w:rPr>
          <w:rFonts w:ascii="Arial" w:cs="Arial" w:eastAsia="Arial" w:hAnsi="Arial"/>
          <w:color w:val="1A1A2E"/>
          <w:sz w:val="22"/>
          <w:szCs w:val="22"/>
        </w:rPr>
        <w:t xml:space="preserve">Deliverable: Production-certified, compliant, fully optimised system.</w:t>
      </w:r>
    </w:p>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08</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API Design</w:t>
            </w:r>
          </w:p>
          <w:p>
            <w:pPr>
              <w:spacing w:before="40"/>
            </w:pPr>
            <w:r>
              <w:rPr>
                <w:rFonts w:ascii="Arial" w:cs="Arial" w:eastAsia="Arial" w:hAnsi="Arial"/>
                <w:color w:val="D0E8FF"/>
                <w:sz w:val="20"/>
                <w:szCs w:val="20"/>
              </w:rPr>
              <w:t xml:space="preserve">Core endpoints and integration contracts</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8.1  Risk Assessment API</w:t>
      </w:r>
    </w:p>
    <w:tbl>
      <w:tblPr>
        <w:tblW w:type="dxa" w:w="9360"/>
        <w:tblBorders>
          <w:top w:val="single" w:color="2E86C1" w:sz="8"/>
          <w:left w:val="single" w:color="2E86C1" w:sz="20"/>
          <w:bottom w:val="single" w:color="2E86C1"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2E86C1"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2E86C1"/>
                <w:sz w:val="21"/>
                <w:szCs w:val="21"/>
              </w:rPr>
              <w:t xml:space="preserve">POST /v1/risk/assess</w:t>
            </w:r>
          </w:p>
          <w:p>
            <w:pPr>
              <w:spacing w:before="0" w:after="0"/>
              <w:jc w:val="both"/>
            </w:pPr>
            <w:r>
              <w:rPr>
                <w:rFonts w:ascii="Arial" w:cs="Arial" w:eastAsia="Arial" w:hAnsi="Arial"/>
                <w:color w:val="1A1A2E"/>
                <w:sz w:val="21"/>
                <w:szCs w:val="21"/>
              </w:rPr>
              <w:t xml:space="preserve">Request: { session_id, user_pseudonym, device_payload, event_type: 'login'|'transaction'|'onboarding', transaction_metadata? }
Response: { risk_score: 0-100, decision: 'allow'|'challenge'|'block', challenge_type?: 'mfa'|'liveness'|'step_up', contributing_factors: [{factor, weight, direction}], request_id, ttl_ms: 200 }
SLA: P99 &lt; 200ms</w:t>
            </w:r>
          </w:p>
        </w:tc>
      </w:tr>
    </w:tbl>
    <w:p>
      <w:pPr>
        <w:spacing w:before="80" w:after="100"/>
      </w:pPr>
      <w:r>
        <w:t xml:space="preserve"/>
      </w:r>
    </w:p>
    <w:p>
      <w:pPr>
        <w:pStyle w:val="Heading2"/>
        <w:spacing w:before="280" w:after="160"/>
      </w:pPr>
      <w:r>
        <w:rPr>
          <w:rFonts w:ascii="Arial" w:cs="Arial" w:eastAsia="Arial" w:hAnsi="Arial"/>
          <w:b/>
          <w:bCs/>
          <w:color w:val="1B4F8A"/>
          <w:sz w:val="28"/>
          <w:szCs w:val="28"/>
        </w:rPr>
        <w:t xml:space="preserve">8.2  Liveness API</w:t>
      </w:r>
    </w:p>
    <w:tbl>
      <w:tblPr>
        <w:tblW w:type="dxa" w:w="9360"/>
        <w:tblBorders>
          <w:top w:val="single" w:color="2E86C1" w:sz="8"/>
          <w:left w:val="single" w:color="2E86C1" w:sz="20"/>
          <w:bottom w:val="single" w:color="2E86C1"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2E86C1"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2E86C1"/>
                <w:sz w:val="21"/>
                <w:szCs w:val="21"/>
              </w:rPr>
              <w:t xml:space="preserve">POST /v1/liveness/session — Create liveness session</w:t>
            </w:r>
          </w:p>
          <w:p>
            <w:pPr>
              <w:spacing w:before="0" w:after="0"/>
              <w:jc w:val="both"/>
            </w:pPr>
            <w:r>
              <w:rPr>
                <w:rFonts w:ascii="Arial" w:cs="Arial" w:eastAsia="Arial" w:hAnsi="Arial"/>
                <w:color w:val="1A1A2E"/>
                <w:sz w:val="21"/>
                <w:szCs w:val="21"/>
              </w:rPr>
              <w:t xml:space="preserve">Request: { session_id, risk_score, liveness_mode: 'passive'|'active', device_type }
Response: { liveness_session_id, challenge_sequence?: [color_rgb, duration_ms], sdk_token (signed JWT, 5 min TTL) }</w:t>
            </w:r>
          </w:p>
        </w:tc>
      </w:tr>
    </w:tbl>
    <w:p>
      <w:pPr>
        <w:spacing w:before="80" w:after="100"/>
      </w:pPr>
      <w:r>
        <w:t xml:space="preserve"/>
      </w:r>
    </w:p>
    <w:tbl>
      <w:tblPr>
        <w:tblW w:type="dxa" w:w="9360"/>
        <w:tblBorders>
          <w:top w:val="single" w:color="2E86C1" w:sz="8"/>
          <w:left w:val="single" w:color="2E86C1" w:sz="20"/>
          <w:bottom w:val="single" w:color="2E86C1"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2E86C1"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2E86C1"/>
                <w:sz w:val="21"/>
                <w:szCs w:val="21"/>
              </w:rPr>
              <w:t xml:space="preserve">POST /v1/liveness/result — Submit frames for analysis</w:t>
            </w:r>
          </w:p>
          <w:p>
            <w:pPr>
              <w:spacing w:before="0" w:after="0"/>
              <w:jc w:val="both"/>
            </w:pPr>
            <w:r>
              <w:rPr>
                <w:rFonts w:ascii="Arial" w:cs="Arial" w:eastAsia="Arial" w:hAnsi="Arial"/>
                <w:color w:val="1A1A2E"/>
                <w:sz w:val="21"/>
                <w:szCs w:val="21"/>
              </w:rPr>
              <w:t xml:space="preserve">Request (multipart): { liveness_session_id, frames: [base64], metadata: {fps, resolution, depth_map} }
Response: { liveness_score: 0-100, attack_type: null|string, confidence, requires_human_review, request_id }
SLA: Passive P99 &lt; 800ms (Sonnet 4.6); Active P99 &lt; 2500ms (Opus 4.6)</w:t>
            </w:r>
          </w:p>
        </w:tc>
      </w:tr>
    </w:tbl>
    <w:p>
      <w:pPr>
        <w:spacing w:before="80" w:after="100"/>
      </w:pPr>
      <w:r>
        <w:t xml:space="preserve"/>
      </w:r>
    </w:p>
    <w:p>
      <w:pPr>
        <w:pStyle w:val="Heading2"/>
        <w:spacing w:before="280" w:after="160"/>
      </w:pPr>
      <w:r>
        <w:rPr>
          <w:rFonts w:ascii="Arial" w:cs="Arial" w:eastAsia="Arial" w:hAnsi="Arial"/>
          <w:b/>
          <w:bCs/>
          <w:color w:val="1B4F8A"/>
          <w:sz w:val="28"/>
          <w:szCs w:val="28"/>
        </w:rPr>
        <w:t xml:space="preserve">8.3  Compliance API</w:t>
      </w:r>
    </w:p>
    <w:tbl>
      <w:tblPr>
        <w:tblW w:type="dxa" w:w="9360"/>
        <w:tblBorders>
          <w:top w:val="single" w:color="148F77" w:sz="8"/>
          <w:left w:val="single" w:color="148F77" w:sz="20"/>
          <w:bottom w:val="single" w:color="148F77"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148F77"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148F77"/>
                <w:sz w:val="21"/>
                <w:szCs w:val="21"/>
              </w:rPr>
              <w:t xml:space="preserve">GET /v1/compliance/dsar/{user_pseudonym} — Data Subject Access Request</w:t>
            </w:r>
          </w:p>
          <w:p>
            <w:pPr>
              <w:spacing w:before="0" w:after="0"/>
              <w:jc w:val="both"/>
            </w:pPr>
            <w:r>
              <w:rPr>
                <w:rFonts w:ascii="Arial" w:cs="Arial" w:eastAsia="Arial" w:hAnsi="Arial"/>
                <w:color w:val="1A1A2E"/>
                <w:sz w:val="21"/>
                <w:szCs w:val="21"/>
              </w:rPr>
              <w:t xml:space="preserve">Returns: all data held across stores, consent records, processing history. Requires: analyst JWT with compliance:read scope.</w:t>
            </w:r>
          </w:p>
        </w:tc>
      </w:tr>
    </w:tbl>
    <w:p>
      <w:pPr>
        <w:spacing w:before="80" w:after="100"/>
      </w:pPr>
      <w:r>
        <w:t xml:space="preserve"/>
      </w:r>
    </w:p>
    <w:tbl>
      <w:tblPr>
        <w:tblW w:type="dxa" w:w="9360"/>
        <w:tblBorders>
          <w:top w:val="single" w:color="148F77" w:sz="8"/>
          <w:left w:val="single" w:color="148F77" w:sz="20"/>
          <w:bottom w:val="single" w:color="148F77"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148F77"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148F77"/>
                <w:sz w:val="21"/>
                <w:szCs w:val="21"/>
              </w:rPr>
              <w:t xml:space="preserve">DELETE /v1/compliance/erasure/{user_pseudonym} — Right to Erasure</w:t>
            </w:r>
          </w:p>
          <w:p>
            <w:pPr>
              <w:spacing w:before="0" w:after="0"/>
              <w:jc w:val="both"/>
            </w:pPr>
            <w:r>
              <w:rPr>
                <w:rFonts w:ascii="Arial" w:cs="Arial" w:eastAsia="Arial" w:hAnsi="Arial"/>
                <w:color w:val="1A1A2E"/>
                <w:sz w:val="21"/>
                <w:szCs w:val="21"/>
              </w:rPr>
              <w:t xml:space="preserve">Triggers: cryptographic key destruction, tombstone propagation, model retraining flag. Returns: { erasure_id, estimated_completion_ms, model_retrain_scheduled_at }. Requires: compliance:write scope.</w:t>
            </w:r>
          </w:p>
        </w:tc>
      </w:tr>
    </w:tbl>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09</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Technology Stack</w:t>
            </w:r>
          </w:p>
          <w:p>
            <w:pPr>
              <w:spacing w:before="40"/>
            </w:pPr>
            <w:r>
              <w:rPr>
                <w:rFonts w:ascii="Arial" w:cs="Arial" w:eastAsia="Arial" w:hAnsi="Arial"/>
                <w:color w:val="D0E8FF"/>
                <w:sz w:val="20"/>
                <w:szCs w:val="20"/>
              </w:rPr>
              <w:t xml:space="preserve">Verified production-grade component selection</w:t>
            </w:r>
          </w:p>
        </w:tc>
      </w:tr>
    </w:tbl>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960"/>
        <w:gridCol w:w="280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Layer</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Component</w:t>
            </w:r>
          </w:p>
        </w:tc>
        <w:tc>
          <w:tcPr>
            <w:tcW w:type="dxa" w:w="2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Technology / Product</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Justification</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Ingestion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Event bus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Apache Kafka (AWS MSK)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Exactly-once semantics, 7-day retention, horizontal scale</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Ingestion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API Gateway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Kong + AWS API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Rate limiting, JWT validation, DDoS protection</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Stream engine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Apache Flink 1.19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Stateful CEP, exactly-once, low-latency windows</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Device fingerprint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Python 3.12 / FastAPI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Async, type-safe, &lt; 5 ms internal latency</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Behavioral ML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TensorFlow 2.16 + LSTM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Sequential modeling, TFServing for inference</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Risk scoring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XGBoost 2.0 + ONNX Runtime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ONNX enables hardware-optimised inference</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Liveness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Claude Sonnet 4.6 + Opus 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Vision API for passive frame analysis</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Graph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Graph database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Neo4j 5.x AuraDS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Native graph, Cypher, GDS algorithms (Leiden, LPA)</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Cache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Feature store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Redis 7 (ElastiCache)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Sub-ms latency, TTL-managed profiles</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Persistence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Time-series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InfluxDB 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Native time-series queries, Flux language</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Persistence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Data warehouse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Snowflake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Separation of compute/storage, dbt for feature engineering</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Persistence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Object store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Amazon S3 (SSE)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Lifecycle policies for auto-deletion of liveness frames</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Orchestration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Container runtime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Kubernetes (EKS) + Istio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mTLS, service mesh, zero-trust networking</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Secrets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Key management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AWS KMS + Secrets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Envelope encryption, automatic rotation</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Frontend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React 18 + TypeScript + D3.js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Type safety, force-directed graph, virtual scroll</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Observability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Prometheus + Grafana + Jaeger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Metrics, dashboards, distributed tracing</w:t>
            </w:r>
          </w:p>
        </w:tc>
      </w:tr>
      <w:tr>
        <w:trPr>
          <w:tblHeader w:val="false"/>
        </w:trP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CI/CD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Pipeline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GitHub Actions + ArgoCD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GitOps, automated rollback, image signing (Sigstore)</w:t>
            </w:r>
          </w:p>
        </w:tc>
      </w:tr>
    </w:tbl>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10</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Testing Strategy</w:t>
            </w:r>
          </w:p>
          <w:p>
            <w:pPr>
              <w:spacing w:before="40"/>
            </w:pPr>
            <w:r>
              <w:rPr>
                <w:rFonts w:ascii="Arial" w:cs="Arial" w:eastAsia="Arial" w:hAnsi="Arial"/>
                <w:color w:val="D0E8FF"/>
                <w:sz w:val="20"/>
                <w:szCs w:val="20"/>
              </w:rPr>
              <w:t xml:space="preserve">Unit · Integration · Adversarial · Compliance</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10.1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2000"/>
        <w:gridCol w:w="24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Level</w:t>
            </w:r>
          </w:p>
        </w:tc>
        <w:tc>
          <w:tcPr>
            <w:tcW w:type="dxa" w:w="2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Scope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Tools</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Coverage Target</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Unit Tests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Individual service logic, feature extraction functions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pytest, Jest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&gt; 90% line coverage</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Integration Tests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Service-to-service contracts, Kafka producer/consumer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TestContainers, WireMock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All critical paths</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End-to-End Tests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Full fraud scenario simulation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Playwright, custom fraud simulator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20 scenario types</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Adversarial Tests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Emulator, virtual camera, deepfake, Frida bypass attempts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Custom red-team toolkit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All evasion vectors in PRD</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Performance Tests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P99 latency, throughput at 10x peak 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k6, Locust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P99 &lt; 200ms at 5000 TPS</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Compliance Tests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DSAR, erasure, consent enforcement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Custom compliance test harness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All Article 17/15 flows</w:t>
            </w:r>
          </w:p>
        </w:tc>
      </w:tr>
    </w:tbl>
    <w:p>
      <w:pPr>
        <w:spacing w:before="120" w:after="100"/>
      </w:pPr>
      <w:r>
        <w:t xml:space="preserve"/>
      </w:r>
    </w:p>
    <w:p>
      <w:pPr>
        <w:pStyle w:val="Heading2"/>
        <w:spacing w:before="280" w:after="160"/>
      </w:pPr>
      <w:r>
        <w:rPr>
          <w:rFonts w:ascii="Arial" w:cs="Arial" w:eastAsia="Arial" w:hAnsi="Arial"/>
          <w:b/>
          <w:bCs/>
          <w:color w:val="1B4F8A"/>
          <w:sz w:val="28"/>
          <w:szCs w:val="28"/>
        </w:rPr>
        <w:t xml:space="preserve">10.2  Adversarial Red-Team Scenarios</w:t>
      </w:r>
    </w:p>
    <w:p>
      <w:pPr>
        <w:pStyle w:val="ListParagraph"/>
        <w:numPr>
          <w:ilvl w:val="0"/>
          <w:numId w:val="3"/>
        </w:numPr>
        <w:spacing w:before="60" w:after="60"/>
      </w:pPr>
      <w:r>
        <w:rPr>
          <w:rFonts w:ascii="Arial" w:cs="Arial" w:eastAsia="Arial" w:hAnsi="Arial"/>
          <w:color w:val="1A1A2E"/>
          <w:sz w:val="22"/>
          <w:szCs w:val="22"/>
        </w:rPr>
        <w:t xml:space="preserve">Present a printed A4 photo to the liveness camera — expected: BLOCK, attack_type: photo.</w:t>
      </w:r>
    </w:p>
    <w:p>
      <w:pPr>
        <w:pStyle w:val="ListParagraph"/>
        <w:numPr>
          <w:ilvl w:val="0"/>
          <w:numId w:val="3"/>
        </w:numPr>
        <w:spacing w:before="60" w:after="60"/>
      </w:pPr>
      <w:r>
        <w:rPr>
          <w:rFonts w:ascii="Arial" w:cs="Arial" w:eastAsia="Arial" w:hAnsi="Arial"/>
          <w:color w:val="1A1A2E"/>
          <w:sz w:val="22"/>
          <w:szCs w:val="22"/>
        </w:rPr>
        <w:t xml:space="preserve">Replay a 4K video of a legitimate user on an external monitor — expected: BLOCK, light-flash challenge fails.</w:t>
      </w:r>
    </w:p>
    <w:p>
      <w:pPr>
        <w:pStyle w:val="ListParagraph"/>
        <w:numPr>
          <w:ilvl w:val="0"/>
          <w:numId w:val="3"/>
        </w:numPr>
        <w:spacing w:before="60" w:after="60"/>
      </w:pPr>
      <w:r>
        <w:rPr>
          <w:rFonts w:ascii="Arial" w:cs="Arial" w:eastAsia="Arial" w:hAnsi="Arial"/>
          <w:color w:val="1A1A2E"/>
          <w:sz w:val="22"/>
          <w:szCs w:val="22"/>
        </w:rPr>
        <w:t xml:space="preserve">Use OBS Virtual Camera to inject a deepfake video stream — expected: BLOCK, camera source anomaly + deepfake detection.</w:t>
      </w:r>
    </w:p>
    <w:p>
      <w:pPr>
        <w:pStyle w:val="ListParagraph"/>
        <w:numPr>
          <w:ilvl w:val="0"/>
          <w:numId w:val="3"/>
        </w:numPr>
        <w:spacing w:before="60" w:after="60"/>
      </w:pPr>
      <w:r>
        <w:rPr>
          <w:rFonts w:ascii="Arial" w:cs="Arial" w:eastAsia="Arial" w:hAnsi="Arial"/>
          <w:color w:val="1A1A2E"/>
          <w:sz w:val="22"/>
          <w:szCs w:val="22"/>
        </w:rPr>
        <w:t xml:space="preserve">Run the mobile app on Android emulator (AVD) — expected: tamper_score &gt; 60, mandatory liveness triggered.</w:t>
      </w:r>
    </w:p>
    <w:p>
      <w:pPr>
        <w:pStyle w:val="ListParagraph"/>
        <w:numPr>
          <w:ilvl w:val="0"/>
          <w:numId w:val="3"/>
        </w:numPr>
        <w:spacing w:before="60" w:after="60"/>
      </w:pPr>
      <w:r>
        <w:rPr>
          <w:rFonts w:ascii="Arial" w:cs="Arial" w:eastAsia="Arial" w:hAnsi="Arial"/>
          <w:color w:val="1A1A2E"/>
          <w:sz w:val="22"/>
          <w:szCs w:val="22"/>
        </w:rPr>
        <w:t xml:space="preserve">Attach Frida to the production APK and hook the risk score return value — expected: RASP terminates session; alert raised.</w:t>
      </w:r>
    </w:p>
    <w:p>
      <w:pPr>
        <w:pStyle w:val="ListParagraph"/>
        <w:numPr>
          <w:ilvl w:val="0"/>
          <w:numId w:val="3"/>
        </w:numPr>
        <w:spacing w:before="60" w:after="60"/>
      </w:pPr>
      <w:r>
        <w:rPr>
          <w:rFonts w:ascii="Arial" w:cs="Arial" w:eastAsia="Arial" w:hAnsi="Arial"/>
          <w:color w:val="1A1A2E"/>
          <w:sz w:val="22"/>
          <w:szCs w:val="22"/>
        </w:rPr>
        <w:t xml:space="preserve">Create 50 accounts using the same device fingerprint — expected: graph query detects shared device within 5 minutes; all accounts risk-flagged.</w:t>
      </w:r>
    </w:p>
    <w:p>
      <w:pPr>
        <w:pStyle w:val="ListParagraph"/>
        <w:numPr>
          <w:ilvl w:val="0"/>
          <w:numId w:val="3"/>
        </w:numPr>
        <w:spacing w:before="60" w:after="60"/>
      </w:pPr>
      <w:r>
        <w:rPr>
          <w:rFonts w:ascii="Arial" w:cs="Arial" w:eastAsia="Arial" w:hAnsi="Arial"/>
          <w:color w:val="1A1A2E"/>
          <w:sz w:val="22"/>
          <w:szCs w:val="22"/>
        </w:rPr>
        <w:t xml:space="preserve">Execute a circular transaction ring across 4 accounts — expected: Cypher ring query fires within 1 minute; accounts flagged for review.</w:t>
      </w:r>
    </w:p>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11</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Deployment Architecture</w:t>
            </w:r>
          </w:p>
          <w:p>
            <w:pPr>
              <w:spacing w:before="40"/>
            </w:pPr>
            <w:r>
              <w:rPr>
                <w:rFonts w:ascii="Arial" w:cs="Arial" w:eastAsia="Arial" w:hAnsi="Arial"/>
                <w:color w:val="D0E8FF"/>
                <w:sz w:val="20"/>
                <w:szCs w:val="20"/>
              </w:rPr>
              <w:t xml:space="preserve">Multi-region active-active, 99.99% uptime</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11.1  Infrastructure Topology</w:t>
      </w:r>
    </w:p>
    <w:p>
      <w:pPr>
        <w:pStyle w:val="ListParagraph"/>
        <w:numPr>
          <w:ilvl w:val="0"/>
          <w:numId w:val="2"/>
        </w:numPr>
        <w:spacing w:before="60" w:after="60"/>
        <w:ind w:left="720" w:hanging="360"/>
      </w:pPr>
      <w:r>
        <w:rPr>
          <w:rFonts w:ascii="Arial" w:cs="Arial" w:eastAsia="Arial" w:hAnsi="Arial"/>
          <w:color w:val="1A1A2E"/>
          <w:sz w:val="22"/>
          <w:szCs w:val="22"/>
        </w:rPr>
        <w:t xml:space="preserve">Primary Region: AWS us-east-1 (active). Secondary Region: AWS eu-west-1 (active-active for GDPR data residency).</w:t>
      </w:r>
    </w:p>
    <w:p>
      <w:pPr>
        <w:pStyle w:val="ListParagraph"/>
        <w:numPr>
          <w:ilvl w:val="0"/>
          <w:numId w:val="2"/>
        </w:numPr>
        <w:spacing w:before="60" w:after="60"/>
        <w:ind w:left="720" w:hanging="360"/>
      </w:pPr>
      <w:r>
        <w:rPr>
          <w:rFonts w:ascii="Arial" w:cs="Arial" w:eastAsia="Arial" w:hAnsi="Arial"/>
          <w:color w:val="1A1A2E"/>
          <w:sz w:val="22"/>
          <w:szCs w:val="22"/>
        </w:rPr>
        <w:t xml:space="preserve">EKS clusters in each region, 3 Availability Zones each. Cross-AZ node groups for all stateful components.</w:t>
      </w:r>
    </w:p>
    <w:p>
      <w:pPr>
        <w:pStyle w:val="ListParagraph"/>
        <w:numPr>
          <w:ilvl w:val="0"/>
          <w:numId w:val="2"/>
        </w:numPr>
        <w:spacing w:before="60" w:after="60"/>
        <w:ind w:left="720" w:hanging="360"/>
      </w:pPr>
      <w:r>
        <w:rPr>
          <w:rFonts w:ascii="Arial" w:cs="Arial" w:eastAsia="Arial" w:hAnsi="Arial"/>
          <w:color w:val="1A1A2E"/>
          <w:sz w:val="22"/>
          <w:szCs w:val="22"/>
        </w:rPr>
        <w:t xml:space="preserve">Kafka MSK: 3 brokers per region, cross-region replication via MirrorMaker 2 for DR.</w:t>
      </w:r>
    </w:p>
    <w:p>
      <w:pPr>
        <w:pStyle w:val="ListParagraph"/>
        <w:numPr>
          <w:ilvl w:val="0"/>
          <w:numId w:val="2"/>
        </w:numPr>
        <w:spacing w:before="60" w:after="60"/>
        <w:ind w:left="720" w:hanging="360"/>
      </w:pPr>
      <w:r>
        <w:rPr>
          <w:rFonts w:ascii="Arial" w:cs="Arial" w:eastAsia="Arial" w:hAnsi="Arial"/>
          <w:color w:val="1A1A2E"/>
          <w:sz w:val="22"/>
          <w:szCs w:val="22"/>
        </w:rPr>
        <w:t xml:space="preserve">Neo4j: primary in us-east-1, read replica in eu-west-1 for EU user graph queries (data residency).</w:t>
      </w:r>
    </w:p>
    <w:p>
      <w:pPr>
        <w:pStyle w:val="ListParagraph"/>
        <w:numPr>
          <w:ilvl w:val="0"/>
          <w:numId w:val="2"/>
        </w:numPr>
        <w:spacing w:before="60" w:after="60"/>
        <w:ind w:left="720" w:hanging="360"/>
      </w:pPr>
      <w:r>
        <w:rPr>
          <w:rFonts w:ascii="Arial" w:cs="Arial" w:eastAsia="Arial" w:hAnsi="Arial"/>
          <w:color w:val="1A1A2E"/>
          <w:sz w:val="22"/>
          <w:szCs w:val="22"/>
        </w:rPr>
        <w:t xml:space="preserve">EU users' personal data (behavioral profiles, biometric data) stored exclusively in eu-west-1 to satisfy GDPR Article 46 transfer requirements.</w:t>
      </w:r>
    </w:p>
    <w:p>
      <w:pPr>
        <w:spacing w:before="120" w:after="100"/>
      </w:pPr>
      <w:r>
        <w:t xml:space="preserve"/>
      </w:r>
    </w:p>
    <w:p>
      <w:pPr>
        <w:pStyle w:val="Heading2"/>
        <w:spacing w:before="280" w:after="160"/>
      </w:pPr>
      <w:r>
        <w:rPr>
          <w:rFonts w:ascii="Arial" w:cs="Arial" w:eastAsia="Arial" w:hAnsi="Arial"/>
          <w:b/>
          <w:bCs/>
          <w:color w:val="1B4F8A"/>
          <w:sz w:val="28"/>
          <w:szCs w:val="28"/>
        </w:rPr>
        <w:t xml:space="preserve">11.2  High Availability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600"/>
        <w:gridCol w:w="20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Component</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HA Strategy</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RTO</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RPO</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API Gateway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Multi-AZ ALB, health-check auto-failover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30s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0 (stateless)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Microservices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Kubernetes Deployment, minReplicas=3, HPA on CPU+latency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60s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0 (stateless)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Kafka (MSK)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3-broker cluster, RF=3, ISR=2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60s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5s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Neo4j</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Causal cluster (3 cores), automatic leader election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120s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10s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Redis (ElastiCache)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Multi-AZ replication group, automatic failover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60s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1s</w:t>
            </w:r>
          </w:p>
        </w:tc>
      </w:tr>
      <w:tr>
        <w:trPr>
          <w:tblHeader w:val="false"/>
        </w:trP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Snowflake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Managed SaaS, 99.9% SLA, multi-cluster warehouse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60s</w:t>
            </w:r>
          </w:p>
        </w:tc>
      </w:tr>
    </w:tbl>
    <w:p>
      <w:pPr>
        <w:spacing w:before="120" w:after="100"/>
      </w:pPr>
      <w:r>
        <w:t xml:space="preserve"/>
      </w:r>
    </w:p>
    <w:p>
      <w:pPr>
        <w:pStyle w:val="Heading2"/>
        <w:spacing w:before="280" w:after="160"/>
      </w:pPr>
      <w:r>
        <w:rPr>
          <w:rFonts w:ascii="Arial" w:cs="Arial" w:eastAsia="Arial" w:hAnsi="Arial"/>
          <w:b/>
          <w:bCs/>
          <w:color w:val="1B4F8A"/>
          <w:sz w:val="28"/>
          <w:szCs w:val="28"/>
        </w:rPr>
        <w:t xml:space="preserve">11.3  CI/CD Pipeline</w:t>
      </w:r>
    </w:p>
    <w:p>
      <w:pPr>
        <w:pStyle w:val="ListParagraph"/>
        <w:numPr>
          <w:ilvl w:val="0"/>
          <w:numId w:val="3"/>
        </w:numPr>
        <w:spacing w:before="60" w:after="60"/>
      </w:pPr>
      <w:r>
        <w:rPr>
          <w:rFonts w:ascii="Arial" w:cs="Arial" w:eastAsia="Arial" w:hAnsi="Arial"/>
          <w:color w:val="1A1A2E"/>
          <w:sz w:val="22"/>
          <w:szCs w:val="22"/>
        </w:rPr>
        <w:t xml:space="preserve">Developer pushes to feature branch; GitHub Actions runs unit + integration tests.</w:t>
      </w:r>
    </w:p>
    <w:p>
      <w:pPr>
        <w:pStyle w:val="ListParagraph"/>
        <w:numPr>
          <w:ilvl w:val="0"/>
          <w:numId w:val="3"/>
        </w:numPr>
        <w:spacing w:before="60" w:after="60"/>
      </w:pPr>
      <w:r>
        <w:rPr>
          <w:rFonts w:ascii="Arial" w:cs="Arial" w:eastAsia="Arial" w:hAnsi="Arial"/>
          <w:color w:val="1A1A2E"/>
          <w:sz w:val="22"/>
          <w:szCs w:val="22"/>
        </w:rPr>
        <w:t xml:space="preserve">PR merged to main: container image built, scanned (Trivy), signed (Sigstore/Cosign), pushed to ECR.</w:t>
      </w:r>
    </w:p>
    <w:p>
      <w:pPr>
        <w:pStyle w:val="ListParagraph"/>
        <w:numPr>
          <w:ilvl w:val="0"/>
          <w:numId w:val="3"/>
        </w:numPr>
        <w:spacing w:before="60" w:after="60"/>
      </w:pPr>
      <w:r>
        <w:rPr>
          <w:rFonts w:ascii="Arial" w:cs="Arial" w:eastAsia="Arial" w:hAnsi="Arial"/>
          <w:color w:val="1A1A2E"/>
          <w:sz w:val="22"/>
          <w:szCs w:val="22"/>
        </w:rPr>
        <w:t xml:space="preserve">ArgoCD detects new image tag; applies to staging EKS cluster.</w:t>
      </w:r>
    </w:p>
    <w:p>
      <w:pPr>
        <w:pStyle w:val="ListParagraph"/>
        <w:numPr>
          <w:ilvl w:val="0"/>
          <w:numId w:val="3"/>
        </w:numPr>
        <w:spacing w:before="60" w:after="60"/>
      </w:pPr>
      <w:r>
        <w:rPr>
          <w:rFonts w:ascii="Arial" w:cs="Arial" w:eastAsia="Arial" w:hAnsi="Arial"/>
          <w:color w:val="1A1A2E"/>
          <w:sz w:val="22"/>
          <w:szCs w:val="22"/>
        </w:rPr>
        <w:t xml:space="preserve">Automated E2E and performance tests run against staging.</w:t>
      </w:r>
    </w:p>
    <w:p>
      <w:pPr>
        <w:pStyle w:val="ListParagraph"/>
        <w:numPr>
          <w:ilvl w:val="0"/>
          <w:numId w:val="3"/>
        </w:numPr>
        <w:spacing w:before="60" w:after="60"/>
      </w:pPr>
      <w:r>
        <w:rPr>
          <w:rFonts w:ascii="Arial" w:cs="Arial" w:eastAsia="Arial" w:hAnsi="Arial"/>
          <w:color w:val="1A1A2E"/>
          <w:sz w:val="22"/>
          <w:szCs w:val="22"/>
        </w:rPr>
        <w:t xml:space="preserve">Manual approval gate (senior engineer) for production promotion.</w:t>
      </w:r>
    </w:p>
    <w:p>
      <w:pPr>
        <w:pStyle w:val="ListParagraph"/>
        <w:numPr>
          <w:ilvl w:val="0"/>
          <w:numId w:val="3"/>
        </w:numPr>
        <w:spacing w:before="60" w:after="60"/>
      </w:pPr>
      <w:r>
        <w:rPr>
          <w:rFonts w:ascii="Arial" w:cs="Arial" w:eastAsia="Arial" w:hAnsi="Arial"/>
          <w:color w:val="1A1A2E"/>
          <w:sz w:val="22"/>
          <w:szCs w:val="22"/>
        </w:rPr>
        <w:t xml:space="preserve">ArgoCD progressive delivery (Argo Rollouts): 5% canary → 25% → 100% over 30 minutes, with automatic rollback on error-rate spike.</w:t>
      </w:r>
    </w:p>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12</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Functional Application Patterns</w:t>
            </w:r>
          </w:p>
          <w:p>
            <w:pPr>
              <w:spacing w:before="40"/>
            </w:pPr>
            <w:r>
              <w:rPr>
                <w:rFonts w:ascii="Arial" w:cs="Arial" w:eastAsia="Arial" w:hAnsi="Arial"/>
                <w:color w:val="D0E8FF"/>
                <w:sz w:val="20"/>
                <w:szCs w:val="20"/>
              </w:rPr>
              <w:t xml:space="preserve">Production code blueprints and integration examples</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12.1  Claude API Integration — Liveness Analysis Service</w:t>
      </w:r>
    </w:p>
    <w:p>
      <w:pPr>
        <w:spacing w:before="80" w:after="80"/>
        <w:jc w:val="both"/>
      </w:pPr>
      <w:r>
        <w:rPr>
          <w:rFonts w:ascii="Arial" w:cs="Arial" w:eastAsia="Arial" w:hAnsi="Arial"/>
          <w:color w:val="1A1A2E"/>
          <w:sz w:val="22"/>
          <w:szCs w:val="22"/>
        </w:rPr>
        <w:t xml:space="preserve">The following shows the core integration pattern for calling Claude Opus 4.6 from the Liveness Detection Service. Error handling, retries, and circuit breaking are production requirements.</w:t>
      </w:r>
    </w:p>
    <w:p>
      <w:pPr>
        <w:spacing w:before="80" w:after="100"/>
      </w:pPr>
      <w:r>
        <w:t xml:space="preserve"/>
      </w:r>
    </w:p>
    <w:tbl>
      <w:tblPr>
        <w:tblW w:type="dxa" w:w="9360"/>
        <w:tblBorders>
          <w:top w:val="single" w:color="2E86C1" w:sz="8"/>
          <w:left w:val="single" w:color="2E86C1" w:sz="20"/>
          <w:bottom w:val="single" w:color="2E86C1"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2E86C1"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2E86C1"/>
                <w:sz w:val="21"/>
                <w:szCs w:val="21"/>
              </w:rPr>
              <w:t xml:space="preserve">Python — Liveness Frame Analysis (claude-opus-4-6)</w:t>
            </w:r>
          </w:p>
          <w:p>
            <w:pPr>
              <w:spacing w:before="0" w:after="0"/>
              <w:jc w:val="both"/>
            </w:pPr>
            <w:r>
              <w:rPr>
                <w:rFonts w:ascii="Arial" w:cs="Arial" w:eastAsia="Arial" w:hAnsi="Arial"/>
                <w:color w:val="1A1A2E"/>
                <w:sz w:val="21"/>
                <w:szCs w:val="21"/>
              </w:rPr>
              <w:t xml:space="preserve">async def analyse_liveness(frames: list[str], metadata: dict, risk_score: int) -&gt; LivenessResult:
    model = "claude-opus-4-6" if risk_score &gt; 55 else "claude-sonnet-4-6"
    system_prompt = """You are a biometric liveness verification specialist.
    Analyse the provided facial video frames for presentation attacks.
    Output ONLY valid JSON: {"liveness_score":0-100,"attack_type":null,"confidence":0-1,"key_signals":[],"requires_human_review":false}"""
    content = [{"type":"text","text":f"Device: {metadata['device_type']}, Challenge response: {metadata['challenge_response']}"}]
    for i, frame in enumerate(frames[:5]):  # Max 5 frames to control token cost
        content.append({"type":"image","source":{"type":"base64","media_type":"image/jpeg","data":frame}})
    response = await anthropic_client.messages.create(
        model=model, max_tokens=512,
        system=system_prompt,
        messages=[{"role":"user","content":content}]
    )
    result_json = json.loads(response.content[0].text)
    return LivenessResult(**result_json)</w:t>
            </w:r>
          </w:p>
        </w:tc>
      </w:tr>
    </w:tbl>
    <w:p>
      <w:pPr>
        <w:spacing w:before="120" w:after="100"/>
      </w:pPr>
      <w:r>
        <w:t xml:space="preserve"/>
      </w:r>
    </w:p>
    <w:p>
      <w:pPr>
        <w:pStyle w:val="Heading2"/>
        <w:spacing w:before="280" w:after="160"/>
      </w:pPr>
      <w:r>
        <w:rPr>
          <w:rFonts w:ascii="Arial" w:cs="Arial" w:eastAsia="Arial" w:hAnsi="Arial"/>
          <w:b/>
          <w:bCs/>
          <w:color w:val="1B4F8A"/>
          <w:sz w:val="28"/>
          <w:szCs w:val="28"/>
        </w:rPr>
        <w:t xml:space="preserve">12.2  Device Fingerprint SDK — Web (JavaScript)</w:t>
      </w:r>
    </w:p>
    <w:tbl>
      <w:tblPr>
        <w:tblW w:type="dxa" w:w="9360"/>
        <w:tblBorders>
          <w:top w:val="single" w:color="2E86C1" w:sz="8"/>
          <w:left w:val="single" w:color="2E86C1" w:sz="20"/>
          <w:bottom w:val="single" w:color="2E86C1"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2E86C1"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2E86C1"/>
                <w:sz w:val="21"/>
                <w:szCs w:val="21"/>
              </w:rPr>
              <w:t xml:space="preserve">JavaScript — Core Fingerprint Collection</w:t>
            </w:r>
          </w:p>
          <w:p>
            <w:pPr>
              <w:spacing w:before="0" w:after="0"/>
              <w:jc w:val="both"/>
            </w:pPr>
            <w:r>
              <w:rPr>
                <w:rFonts w:ascii="Arial" w:cs="Arial" w:eastAsia="Arial" w:hAnsi="Arial"/>
                <w:color w:val="1A1A2E"/>
                <w:sz w:val="21"/>
                <w:szCs w:val="21"/>
              </w:rPr>
              <w:t xml:space="preserve">class DeviceFingerprinter {
  async collect() {
    const signals = await Promise.all([
      this.getWebGLFingerprint(),     // GPU renderer hash
      this.getAudioContextHash(),      // Audio processing fingerprint  
      this.getCanvasFontFingerprint(), // Installed font detection
      this.detectIncognito(),          // Private mode detection
      this.measureWebGLTiming(),       // VM timing analysis
      this.detectVirtualCamera(),      // Camera source validation
      navigator.storage.estimate(),    // Storage quota (incognito check)
    ]);
    // Detect virtual camera: check MediaStreamTrack label
    const cameras = await navigator.mediaDevices.enumerateDevices();
    const vcam = cameras.filter(d =&gt; d.kind === 'videoinput' &amp;&amp;
      /obs|manycam|virtual|\d{8}/i.test(d.label));
    if (vcam.length &gt; 0) signals.push({ signal: 'virtual_camera', value: vcam[0].label });
    return this.generateHash(signals);
  }
}</w:t>
            </w:r>
          </w:p>
        </w:tc>
      </w:tr>
    </w:tbl>
    <w:p>
      <w:pPr>
        <w:spacing w:before="120" w:after="100"/>
      </w:pPr>
      <w:r>
        <w:t xml:space="preserve"/>
      </w:r>
    </w:p>
    <w:p>
      <w:pPr>
        <w:pStyle w:val="Heading2"/>
        <w:spacing w:before="280" w:after="160"/>
      </w:pPr>
      <w:r>
        <w:rPr>
          <w:rFonts w:ascii="Arial" w:cs="Arial" w:eastAsia="Arial" w:hAnsi="Arial"/>
          <w:b/>
          <w:bCs/>
          <w:color w:val="1B4F8A"/>
          <w:sz w:val="28"/>
          <w:szCs w:val="28"/>
        </w:rPr>
        <w:t xml:space="preserve">12.3  Neo4j — Fraud Ring Detection (Real-Time)</w:t>
      </w:r>
    </w:p>
    <w:tbl>
      <w:tblPr>
        <w:tblW w:type="dxa" w:w="9360"/>
        <w:tblBorders>
          <w:top w:val="single" w:color="2E86C1" w:sz="8"/>
          <w:left w:val="single" w:color="2E86C1" w:sz="20"/>
          <w:bottom w:val="single" w:color="2E86C1"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2E86C1"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2E86C1"/>
                <w:sz w:val="21"/>
                <w:szCs w:val="21"/>
              </w:rPr>
              <w:t xml:space="preserve">Python + Neo4j Bolt — On-Transaction Query</w:t>
            </w:r>
          </w:p>
          <w:p>
            <w:pPr>
              <w:spacing w:before="0" w:after="0"/>
              <w:jc w:val="both"/>
            </w:pPr>
            <w:r>
              <w:rPr>
                <w:rFonts w:ascii="Arial" w:cs="Arial" w:eastAsia="Arial" w:hAnsi="Arial"/>
                <w:color w:val="1A1A2E"/>
                <w:sz w:val="21"/>
                <w:szCs w:val="21"/>
              </w:rPr>
              <w:t xml:space="preserve">async def check_fraud_ring(account_id: str, driver: AsyncDriver) -&gt; RingResult:
    async with driver.session(database='neo4j') as session:
        result = await session.run(
            '''
            MATCH (a:Account {hash: $hash})-[:SENT]-&gt;(t:Transaction)-[:BENEFITS_TO]-&gt;(b:Account),
                  path = (b)-[:SENT*2..6]-&gt;(a)
            WHERE t.timestamp &gt; timestamp() - 3600000
              AND ALL(r IN relationships(path) WHERE r.timestamp &gt; timestamp() - 3600000)
            RETURN length(path)+1 AS ring_size, count(path) AS patterns
            ''',
            hash=account_id
        )
        records = await result.values()
        if records:
            return RingResult(detected=True, ring_size=records[0][0], risk_contribution=30)
        return RingResult(detected=False)</w:t>
            </w:r>
          </w:p>
        </w:tc>
      </w:tr>
    </w:tbl>
    <w:p>
      <w:pPr>
        <w:spacing w:before="120" w:after="100"/>
      </w:pPr>
      <w:r>
        <w:t xml:space="preserve"/>
      </w:r>
    </w:p>
    <w:p>
      <w:pPr>
        <w:pStyle w:val="Heading2"/>
        <w:spacing w:before="280" w:after="160"/>
      </w:pPr>
      <w:r>
        <w:rPr>
          <w:rFonts w:ascii="Arial" w:cs="Arial" w:eastAsia="Arial" w:hAnsi="Arial"/>
          <w:b/>
          <w:bCs/>
          <w:color w:val="1B4F8A"/>
          <w:sz w:val="28"/>
          <w:szCs w:val="28"/>
        </w:rPr>
        <w:t xml:space="preserve">12.4  Behavioral Anomaly Detection — LSTM Inference</w:t>
      </w:r>
    </w:p>
    <w:tbl>
      <w:tblPr>
        <w:tblW w:type="dxa" w:w="9360"/>
        <w:tblBorders>
          <w:top w:val="single" w:color="2E86C1" w:sz="8"/>
          <w:left w:val="single" w:color="2E86C1" w:sz="20"/>
          <w:bottom w:val="single" w:color="2E86C1" w:sz="2"/>
          <w:right w:val="none" w:color="FFFFFF" w:sz="0"/>
          <w:insideH w:val="single" w:color="auto" w:sz="4"/>
          <w:insideV w:val="single" w:color="auto" w:sz="4"/>
        </w:tblBorders>
      </w:tblPr>
      <w:tblGrid>
        <w:gridCol w:w="200"/>
        <w:gridCol w:w="9160"/>
      </w:tblGrid>
      <w:tr>
        <w:tc>
          <w:tcPr>
            <w:tcW w:type="dxa" w:w="200"/>
            <w:tcBorders>
              <w:top w:val="none"/>
              <w:left w:val="none"/>
              <w:bottom w:val="none"/>
              <w:right w:val="none"/>
            </w:tcBorders>
            <w:shd w:fill="2E86C1" w:val="clear"/>
          </w:tcPr>
          <w:p>
            <w:r>
              <w:rPr>
                <w:sz w:val="22"/>
                <w:szCs w:val="22"/>
              </w:rPr>
              <w:t xml:space="preserve"/>
            </w:r>
          </w:p>
        </w:tc>
        <w:tc>
          <w:tcPr>
            <w:tcW w:type="dxa" w:w="9160"/>
            <w:tcBorders>
              <w:top w:val="none"/>
              <w:left w:val="none"/>
              <w:bottom w:val="none"/>
              <w:right w:val="none"/>
            </w:tcBorders>
            <w:shd w:fill="F2F4F7" w:val="clear"/>
            <w:tcMar>
              <w:top w:type="dxa" w:w="100"/>
              <w:left w:type="dxa" w:w="200"/>
              <w:bottom w:type="dxa" w:w="100"/>
              <w:right w:type="dxa" w:w="200"/>
            </w:tcMar>
          </w:tcPr>
          <w:p>
            <w:pPr>
              <w:spacing w:before="0" w:after="40"/>
            </w:pPr>
            <w:r>
              <w:rPr>
                <w:rFonts w:ascii="Arial" w:cs="Arial" w:eastAsia="Arial" w:hAnsi="Arial"/>
                <w:b/>
                <w:bCs/>
                <w:color w:val="2E86C1"/>
                <w:sz w:val="21"/>
                <w:szCs w:val="21"/>
              </w:rPr>
              <w:t xml:space="preserve">Python — LSTM Behavioural Scoring</w:t>
            </w:r>
          </w:p>
          <w:p>
            <w:pPr>
              <w:spacing w:before="0" w:after="0"/>
              <w:jc w:val="both"/>
            </w:pPr>
            <w:r>
              <w:rPr>
                <w:rFonts w:ascii="Arial" w:cs="Arial" w:eastAsia="Arial" w:hAnsi="Arial"/>
                <w:color w:val="1A1A2E"/>
                <w:sz w:val="21"/>
                <w:szCs w:val="21"/>
              </w:rPr>
              <w:t xml:space="preserve">class BehaviouralAnomalyDetector:
    def __init__(self):
        self.model = tf.saved_model.load('/models/lstm_behavioural/v3')
        self.redis = Redis()
    async def score_session(self, user_hash: str, keystroke_sequence: list) -&gt; float:
        # Load stored profile (256-dim vector)
        profile = await self.redis.get(f'profile:{user_hash}')
        if not profile:
            return 0.3  # No profile yet — neutral score
        # Extract 47 features from current session
        features = self.extract_features(keystroke_sequence)
        profile_vec = np.frombuffer(profile, dtype=np.float32)
        # Mahalanobis distance from user profile
        deviation = mahalanobis(features, profile_vec, self.cov_inv)
        # Normalise to 0-1 risk contribution
        return min(1.0, deviation / 10.0)</w:t>
            </w:r>
          </w:p>
        </w:tc>
      </w:tr>
    </w:tbl>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13</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Monitoring &amp; Observability</w:t>
            </w:r>
          </w:p>
          <w:p>
            <w:pPr>
              <w:spacing w:before="40"/>
            </w:pPr>
            <w:r>
              <w:rPr>
                <w:rFonts w:ascii="Arial" w:cs="Arial" w:eastAsia="Arial" w:hAnsi="Arial"/>
                <w:color w:val="D0E8FF"/>
                <w:sz w:val="20"/>
                <w:szCs w:val="20"/>
              </w:rPr>
              <w:t xml:space="preserve">Metrics, alerting, and model drift detection</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13.1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Metric</w:t>
            </w:r>
          </w:p>
        </w:tc>
        <w:tc>
          <w:tcPr>
            <w:tcW w:type="dxa" w:w="3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Source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Alert Threshold</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P99 risk assessment latency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Prometheus histogram (risk_assess_duration_ms)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&gt; 180ms for 5 min</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Liveness service error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Prometheus counter (liveness_errors_total)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&gt; 1% for 2 min</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Kafka consumer lag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MSK CloudWatch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&gt; 10,000 messages</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False Positive Rate (analyst-confirmed)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Snowflake / daily batch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&gt; 5% over 7-day rolling window</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Model AUROC drift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MLflow model registry comparison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AUROC drop &gt; 0.02 vs. baseline</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Claude API error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SDK retry counter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&gt; 0.5% for 10 min</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Graph query P99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Neo4j metrics (neo4j.db.query.execution_latency)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&gt; 100ms</w:t>
            </w:r>
          </w:p>
        </w:tc>
      </w:tr>
    </w:tbl>
    <w:p>
      <w:pPr>
        <w:spacing w:before="120" w:after="100"/>
      </w:pPr>
      <w:r>
        <w:t xml:space="preserve"/>
      </w:r>
    </w:p>
    <w:p>
      <w:pPr>
        <w:pStyle w:val="Heading2"/>
        <w:spacing w:before="280" w:after="160"/>
      </w:pPr>
      <w:r>
        <w:rPr>
          <w:rFonts w:ascii="Arial" w:cs="Arial" w:eastAsia="Arial" w:hAnsi="Arial"/>
          <w:b/>
          <w:bCs/>
          <w:color w:val="1B4F8A"/>
          <w:sz w:val="28"/>
          <w:szCs w:val="28"/>
        </w:rPr>
        <w:t xml:space="preserve">13.2  Model Drift Detection</w:t>
      </w:r>
    </w:p>
    <w:p>
      <w:pPr>
        <w:pStyle w:val="ListParagraph"/>
        <w:numPr>
          <w:ilvl w:val="0"/>
          <w:numId w:val="2"/>
        </w:numPr>
        <w:spacing w:before="60" w:after="60"/>
        <w:ind w:left="720" w:hanging="360"/>
      </w:pPr>
      <w:r>
        <w:rPr>
          <w:rFonts w:ascii="Arial" w:cs="Arial" w:eastAsia="Arial" w:hAnsi="Arial"/>
          <w:color w:val="1A1A2E"/>
          <w:sz w:val="22"/>
          <w:szCs w:val="22"/>
        </w:rPr>
        <w:t xml:space="preserve">Population Stability Index (PSI): computed daily on incoming feature distributions vs. training distribution. PSI &gt; 0.2 triggers model retraining alert.</w:t>
      </w:r>
    </w:p>
    <w:p>
      <w:pPr>
        <w:pStyle w:val="ListParagraph"/>
        <w:numPr>
          <w:ilvl w:val="0"/>
          <w:numId w:val="2"/>
        </w:numPr>
        <w:spacing w:before="60" w:after="60"/>
        <w:ind w:left="720" w:hanging="360"/>
      </w:pPr>
      <w:r>
        <w:rPr>
          <w:rFonts w:ascii="Arial" w:cs="Arial" w:eastAsia="Arial" w:hAnsi="Arial"/>
          <w:color w:val="1A1A2E"/>
          <w:sz w:val="22"/>
          <w:szCs w:val="22"/>
        </w:rPr>
        <w:t xml:space="preserve">Concept Drift: monitor the ratio of analyst-confirmed fraud to model-predicted fraud over rolling 7-day windows. Divergence &gt; 15% triggers emergency retraining.</w:t>
      </w:r>
    </w:p>
    <w:p>
      <w:pPr>
        <w:pStyle w:val="ListParagraph"/>
        <w:numPr>
          <w:ilvl w:val="0"/>
          <w:numId w:val="2"/>
        </w:numPr>
        <w:spacing w:before="60" w:after="60"/>
        <w:ind w:left="720" w:hanging="360"/>
      </w:pPr>
      <w:r>
        <w:rPr>
          <w:rFonts w:ascii="Arial" w:cs="Arial" w:eastAsia="Arial" w:hAnsi="Arial"/>
          <w:color w:val="1A1A2E"/>
          <w:sz w:val="22"/>
          <w:szCs w:val="22"/>
        </w:rPr>
        <w:t xml:space="preserve">AUROC tracking: each model version's AUROC is logged to MLflow. Shadow mode deployment runs the new model in parallel for 48 hours before promotion.</w:t>
      </w:r>
    </w:p>
    <w:p>
      <w:pPr>
        <w:spacing w:before="120" w:after="100"/>
      </w:pPr>
      <w:r>
        <w:t xml:space="preserve"/>
      </w:r>
    </w:p>
    <w:p>
      <w:pPr>
        <w:pStyle w:val="Heading2"/>
        <w:spacing w:before="280" w:after="160"/>
      </w:pPr>
      <w:r>
        <w:rPr>
          <w:rFonts w:ascii="Arial" w:cs="Arial" w:eastAsia="Arial" w:hAnsi="Arial"/>
          <w:b/>
          <w:bCs/>
          <w:color w:val="1B4F8A"/>
          <w:sz w:val="28"/>
          <w:szCs w:val="28"/>
        </w:rPr>
        <w:t xml:space="preserve">13.3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800"/>
        <w:gridCol w:w="220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Severity</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Definition</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Response Time</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Escalation</w:t>
            </w:r>
          </w:p>
        </w:tc>
      </w:tr>
      <w:tr>
        <w:trPr>
          <w:tblHeader w:val="false"/>
        </w:trP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P0 — 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Fraud system fully down; all transactions passing through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15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CTO + Security Lead, 24/7</w:t>
            </w:r>
          </w:p>
        </w:tc>
      </w:tr>
      <w:tr>
        <w:trPr>
          <w:tblHeader w:val="false"/>
        </w:trP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P1 — 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FAR &gt; 1% sustained; Claude API unavailable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30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Engineering Lead, business hours + on-call</w:t>
            </w:r>
          </w:p>
        </w:tc>
      </w:tr>
      <w:tr>
        <w:trPr>
          <w:tblHeader w:val="false"/>
        </w:trP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P2 — 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P99 latency &gt; 200ms; model drift 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2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Senior engineer, business hours</w:t>
            </w:r>
          </w:p>
        </w:tc>
      </w:tr>
      <w:tr>
        <w:trPr>
          <w:tblHeader w:val="false"/>
        </w:trP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P3 — 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Analytics lag; non-critical dashboard feature broken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Next business 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Standard ticket</w:t>
            </w:r>
          </w:p>
        </w:tc>
      </w:tr>
    </w:tbl>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14</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Risk Register &amp; Mitigations</w:t>
            </w:r>
          </w:p>
          <w:p>
            <w:pPr>
              <w:spacing w:before="40"/>
            </w:pPr>
            <w:r>
              <w:rPr>
                <w:rFonts w:ascii="Arial" w:cs="Arial" w:eastAsia="Arial" w:hAnsi="Arial"/>
                <w:color w:val="D0E8FF"/>
                <w:sz w:val="20"/>
                <w:szCs w:val="20"/>
              </w:rPr>
              <w:t xml:space="preserve">Identified risks with residual risk assessment</w:t>
            </w:r>
          </w:p>
        </w:tc>
      </w:tr>
    </w:tbl>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3360"/>
        <w:gridCol w:w="120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Risk</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Likelihood</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Impact</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Mitigation</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Residual Risk</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Claude API rate limit hit during peak fraud event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Implement exponential backoff, circuit breaker, fallback to Sonnet 4.6 if Opus 4.6 unavailable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Low</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Adversarial ML evasion — fraudster trains counter-model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Ensemble diversity, adversarial retraining, continuous analyst feedback loop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Medium</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GDPR non-compliance — biometric data breach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AES-256 encryption, RBAC, annual pen test, cyber insurance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Low</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Neo4j query timeout during fraud ring 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Query timeout 50ms limit; async fallback to cached last-known community labels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Low</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Virtual camera technique evolves beyond 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Light-flash challenge is session-unique and non-replayable; continuous red-team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Medium</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SDK reverse-engineering exposes fingerprint logic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Obfuscation (ProGuard/Swift Shield), RASP, server-side validation of all signals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Low</w:t>
            </w:r>
          </w:p>
        </w:tc>
      </w:tr>
      <w:tr>
        <w:trPr>
          <w:tblHeader w:val="false"/>
        </w:trP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CCPA Right to Limit — mass opt-out degrades fraud 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Maintain rule-based fallback system; device fingerprinting does not require biometric consent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Medium</w:t>
            </w:r>
          </w:p>
        </w:tc>
      </w:tr>
    </w:tbl>
    <w:p>
      <w:pPr>
        <w:spacing w:before="0" w:after="0"/>
      </w:pPr>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left w:val="none"/>
              <w:bottom w:val="none"/>
              <w:right w:val="none"/>
            </w:tcBorders>
            <w:shd w:fill="0D1B2A"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15</w:t>
            </w:r>
          </w:p>
        </w:tc>
        <w:tc>
          <w:tcPr>
            <w:tcW w:type="dxa" w:w="8160"/>
            <w:tcBorders>
              <w:top w:val="none"/>
              <w:left w:val="none"/>
              <w:bottom w:val="none"/>
              <w:right w:val="none"/>
            </w:tcBorders>
            <w:shd w:fill="1B4F8A" w:val="clear"/>
            <w:tcMar>
              <w:top w:type="dxa" w:w="120"/>
              <w:left w:type="dxa" w:w="240"/>
              <w:bottom w:type="dxa" w:w="120"/>
              <w:right w:type="dxa" w:w="160"/>
            </w:tcMar>
            <w:vAlign w:val="center"/>
          </w:tcPr>
          <w:p>
            <w:r>
              <w:rPr>
                <w:rFonts w:ascii="Arial" w:cs="Arial" w:eastAsia="Arial" w:hAnsi="Arial"/>
                <w:b/>
                <w:bCs/>
                <w:color w:val="FFFFFF"/>
                <w:sz w:val="32"/>
                <w:szCs w:val="32"/>
              </w:rPr>
              <w:t xml:space="preserve">Appendices</w:t>
            </w:r>
          </w:p>
          <w:p>
            <w:pPr>
              <w:spacing w:before="40"/>
            </w:pPr>
            <w:r>
              <w:rPr>
                <w:rFonts w:ascii="Arial" w:cs="Arial" w:eastAsia="Arial" w:hAnsi="Arial"/>
                <w:color w:val="D0E8FF"/>
                <w:sz w:val="20"/>
                <w:szCs w:val="20"/>
              </w:rPr>
              <w:t xml:space="preserve">Glossary · References · Compliance checklist</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Term</w:t>
            </w:r>
          </w:p>
        </w:tc>
        <w:tc>
          <w:tcPr>
            <w:tcW w:type="dxa" w:w="7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Definition</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APCER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Attack Presentation Classification Error Rate — proportion of attack presentations incorrectly classified as bona fide (ISO/IEC 30107-3)</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Account Takeover — unauthorised access to a legitimate user account</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BPCER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Bona Fide Presentation Classification Error Rate — proportion of legitimate presentations incorrectly rejected (ISO/IEC 30107-3)</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Deepfake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AI-generated synthetic video/image of a person, created using generative adversarial networks or diffusion models</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DPIA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Data Protection Impact Assessment — mandatory GDPR Article 35 risk assessment for high-risk data processing</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DSAR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Data Subject Access Request — formal request by an individual to access their personal data under GDPR Art. 15</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False Acceptance Rate — proportion of fraudulent sessions incorrectly approved. Equivalent to APCER in biometric PAD context</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Frida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Dynamic instrumentation toolkit used to hook and modify running mobile application code at runtime</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FRR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False Rejection Rate — proportion of legitimate sessions incorrectly blocked. Equivalent to BPCER</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LSH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Locality-Sensitive Hashing — approximate nearest-neighbour algorithm used to find similar device fingerprints despite minor attribute changes</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Presentation Attack Detection — the technical capability to identify and reject fraudulent biometric samples</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RASP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Runtime Application Self-Protection — in-app security monitoring and response capability</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rPPG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Remote Photoplethysmography — contactless detection of heart rate and blood flow via camera-captured skin colour changes</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Sensitive Personal Information — CCPA/CPRA category including biometric data with enhanced protection requirements</w:t>
            </w:r>
          </w:p>
        </w:tc>
      </w:tr>
      <w:tr>
        <w:trPr>
          <w:tblHeader w:val="false"/>
        </w:trP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ZTA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Zero-Trust Architecture — security model that eliminates implicit trust and continuously verifies every request</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Appendix B —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760"/>
        <w:gridCol w:w="2600"/>
      </w:tblGrid>
      <w:tr>
        <w:trPr>
          <w:tblHeader/>
        </w:trPr>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Requirement</w:t>
            </w:r>
          </w:p>
        </w:tc>
        <w:tc>
          <w:tcPr>
            <w:tcW w:type="dxa" w:w="2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Standard</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Status</w:t>
            </w:r>
          </w:p>
        </w:tc>
      </w:tr>
      <w:tr>
        <w:trPr>
          <w:tblHeader w:val="false"/>
        </w:trP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Explicit opt-in consent for biometric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GDPR Art. 9(2)(a)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Required — CMP implementation mandatory before launch</w:t>
            </w:r>
          </w:p>
        </w:tc>
      </w:tr>
      <w:tr>
        <w:trPr>
          <w:tblHeader w:val="false"/>
        </w:trP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DPIA completed and documented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GDPR Art. 35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Required — must precede production deployment</w:t>
            </w:r>
          </w:p>
        </w:tc>
      </w:tr>
      <w:tr>
        <w:trPr>
          <w:tblHeader w:val="false"/>
        </w:trP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Data minimisation — liveness on risk-threshold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GDPR Art. 5(1)(c)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Enforced by Decision Engine</w:t>
            </w:r>
          </w:p>
        </w:tc>
      </w:tr>
      <w:tr>
        <w:trPr>
          <w:tblHeader w:val="false"/>
        </w:trP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Purpose limitation — no re-use for marketing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GDPR Art. 5(1)(b)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Enforced by Privacy Mediation Layer</w:t>
            </w:r>
          </w:p>
        </w:tc>
      </w:tr>
      <w:tr>
        <w:trPr>
          <w:tblHeader w:val="false"/>
        </w:trP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Data subject rights — access, erasure, portability, objection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GDPR Art. 15–21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DSAR portal + machine unlearning required</w:t>
            </w:r>
          </w:p>
        </w:tc>
      </w:tr>
      <w:tr>
        <w:trPr>
          <w:tblHeader w:val="false"/>
        </w:trP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Encryption at rest and in transit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GDPR Art. 32 + CCPA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AES-256 + TLS 1.3 — implemented</w:t>
            </w:r>
          </w:p>
        </w:tc>
      </w:tr>
      <w:tr>
        <w:trPr>
          <w:tblHeader w:val="false"/>
        </w:trP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Notice at collection for SPI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CCPA/CPRA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SDK must display notice before initialisation</w:t>
            </w:r>
          </w:p>
        </w:tc>
      </w:tr>
      <w:tr>
        <w:trPr>
          <w:tblHeader w:val="false"/>
        </w:trP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Right to limit use of SPI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CCPA/CPRA Sec. 1798.121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Opt-out endpoint required</w:t>
            </w:r>
          </w:p>
        </w:tc>
      </w:tr>
      <w:tr>
        <w:trPr>
          <w:tblHeader w:val="false"/>
        </w:trP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PAD conformance testing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ISO/IEC 30107-3:2023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Third-party lab evaluation required before launch</w:t>
            </w:r>
          </w:p>
        </w:tc>
      </w:tr>
      <w:tr>
        <w:trPr>
          <w:tblHeader w:val="false"/>
        </w:trP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Annual penetration testing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ISO 27001 + CCPA 'reasonable security'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Scheduled in Phase 4</w:t>
            </w:r>
          </w:p>
        </w:tc>
      </w:tr>
    </w:tbl>
    <w:p>
      <w:pPr>
        <w:spacing w:before="160" w:after="100"/>
      </w:pPr>
      <w:r>
        <w:t xml:space="preserve"/>
      </w:r>
    </w:p>
    <w:p>
      <w:pPr>
        <w:pStyle w:val="Heading2"/>
        <w:spacing w:before="280" w:after="160"/>
      </w:pPr>
      <w:r>
        <w:rPr>
          <w:rFonts w:ascii="Arial" w:cs="Arial" w:eastAsia="Arial" w:hAnsi="Arial"/>
          <w:b/>
          <w:bCs/>
          <w:color w:val="1B4F8A"/>
          <w:sz w:val="28"/>
          <w:szCs w:val="28"/>
        </w:rPr>
        <w:t xml:space="preserve">Appendix C — Claude Model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Use Case</w:t>
            </w:r>
          </w:p>
        </w:tc>
        <w:tc>
          <w:tcPr>
            <w:tcW w:type="dxa" w:w="2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Recommended Model</w:t>
            </w:r>
          </w:p>
        </w:tc>
        <w:tc>
          <w:tcPr>
            <w:tcW w:type="dxa" w:w="3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Arial" w:cs="Arial" w:eastAsia="Arial" w:hAnsi="Arial"/>
                <w:b/>
                <w:bCs/>
                <w:color w:val="FFFFFF"/>
                <w:sz w:val="21"/>
                <w:szCs w:val="21"/>
              </w:rPr>
              <w:t xml:space="preserve">Rationale</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Real-time passive liveness (risk 31–55)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claude-sonnet-4-6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&lt; 800ms latency target; cost-efficient for high volume</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Deep liveness analysis (risk &gt; 55)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claude-opus-4-6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Superior vision reasoning; deepfake and 3D mask detection</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Borderline human review flag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claude-opus-4-6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Complex reasoning required for ambiguous cases</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Batch analysis of flagged historical sessions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claude-opus-4-6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Quality over speed for audit and model training</w:t>
            </w:r>
          </w:p>
        </w:tc>
      </w:tr>
      <w:tr>
        <w:trPr>
          <w:tblHeader w:val="false"/>
        </w:trP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Real-time graph anomaly explanation (analyst)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claude-sonnet-4-6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1"/>
                <w:szCs w:val="21"/>
              </w:rPr>
              <w:t xml:space="preserve">Natural language explanation of fraud ring topology</w:t>
            </w:r>
          </w:p>
        </w:tc>
      </w:tr>
    </w:tbl>
    <w:p>
      <w:pPr>
        <w:spacing w:before="200" w:after="100"/>
      </w:pPr>
      <w:r>
        <w:t xml:space="preserve"/>
      </w:r>
    </w:p>
    <w:p>
      <w:pPr>
        <w:pBdr>
          <w:bottom w:val="single" w:color="0D1B2A" w:sz="16" w:space="1"/>
        </w:pBdr>
        <w:spacing w:before="100" w:after="100"/>
      </w:pPr>
    </w:p>
    <w:p>
      <w:pPr>
        <w:spacing w:before="160" w:after="80"/>
        <w:jc w:val="center"/>
      </w:pPr>
      <w:r>
        <w:rPr>
          <w:rFonts w:ascii="Arial" w:cs="Arial" w:eastAsia="Arial" w:hAnsi="Arial"/>
          <w:i/>
          <w:iCs/>
          <w:color w:val="5D6D7E"/>
          <w:sz w:val="18"/>
          <w:szCs w:val="18"/>
        </w:rPr>
        <w:t xml:space="preserve">CONFIDENTIAL — Multi-Device Abuse &amp; Relay Fraud Prevention Framework v1.0</w:t>
      </w:r>
    </w:p>
    <w:p>
      <w:pPr>
        <w:spacing w:before="0" w:after="0"/>
        <w:jc w:val="center"/>
      </w:pPr>
      <w:r>
        <w:rPr>
          <w:rFonts w:ascii="Arial" w:cs="Arial" w:eastAsia="Arial" w:hAnsi="Arial"/>
          <w:color w:val="5D6D7E"/>
          <w:sz w:val="18"/>
          <w:szCs w:val="18"/>
        </w:rPr>
        <w:t xml:space="preserve">Prepared for Anthropic | Claude Sonnet 4.6 &amp; Opus 4.6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pPr>
    <w:r>
      <w:rPr>
        <w:rFonts w:ascii="Arial" w:cs="Arial" w:eastAsia="Arial" w:hAnsi="Arial"/>
        <w:color w:val="5D6D7E"/>
        <w:sz w:val="16"/>
        <w:szCs w:val="16"/>
      </w:rPr>
      <w:t xml:space="preserve">CONFIDENTIAL  |  v1.0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80"/>
    </w:pPr>
    <w:r>
      <w:rPr>
        <w:rFonts w:ascii="Arial" w:cs="Arial" w:eastAsia="Arial" w:hAnsi="Arial"/>
        <w:color w:val="5D6D7E"/>
        <w:sz w:val="18"/>
        <w:szCs w:val="18"/>
      </w:rPr>
      <w:t xml:space="preserve">Multi-Device Abuse &amp; Relay Fraud Prevention Framework</w:t>
    </w:r>
    <w:r>
      <w:rPr>
        <w:rFonts w:ascii="Arial" w:cs="Arial" w:eastAsia="Arial" w:hAnsi="Arial"/>
        <w:color w:val="1B4F8A"/>
        <w:sz w:val="18"/>
        <w:szCs w:val="18"/>
      </w:rPr>
      <w:t xml:space="preserve">  |  Anthropic — Claude Sonnet 4.6 &amp; Opus 4.6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8A"/>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2026-03-02T11:41:08.419Z</dcterms:created>
  <dcterms:modified xsi:type="dcterms:W3CDTF">2026-03-02T11:41:08.420Z</dcterms:modified>
</cp:coreProperties>
</file>

<file path=docProps/custom.xml><?xml version="1.0" encoding="utf-8"?>
<Properties xmlns="http://schemas.openxmlformats.org/officeDocument/2006/custom-properties" xmlns:vt="http://schemas.openxmlformats.org/officeDocument/2006/docPropsVTypes"/>
</file>