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120" w:after="0" w:line="240" w:lineRule="auto"/>
      </w:pPr>
      <w:r>
        <w:rPr>
          <w:rFonts w:ascii="Arial" w:hAnsi="Arial" w:eastAsia="Arial"/>
          <w:b/>
          <w:color w:val="C6232A"/>
          <w:sz w:val="24"/>
        </w:rPr>
        <w:t>7 КРАСНЫХ ЛИНИЙ</w:t>
      </w:r>
    </w:p>
    <w:p>
      <w:pPr>
        <w:keepNext w:val="0"/>
        <w:keepLines w:val="0"/>
        <w:spacing w:before="960" w:after="160" w:line="240" w:lineRule="auto"/>
      </w:pPr>
      <w:r>
        <w:rPr>
          <w:rFonts w:ascii="Arial" w:hAnsi="Arial" w:eastAsia="Arial"/>
          <w:b/>
          <w:color w:val="20252B"/>
          <w:sz w:val="42"/>
        </w:rPr>
        <w:t>КОНЦЕПЦИЯ НОВОГО ПРОДУКТА</w:t>
      </w:r>
    </w:p>
    <w:p>
      <w:pPr>
        <w:keepNext w:val="0"/>
        <w:keepLines w:val="0"/>
        <w:spacing w:before="80" w:after="40" w:line="240" w:lineRule="auto"/>
      </w:pPr>
      <w:r>
        <w:rPr>
          <w:rFonts w:ascii="Arial" w:hAnsi="Arial" w:eastAsia="Arial"/>
          <w:b/>
          <w:color w:val="C6232A"/>
          <w:sz w:val="36"/>
        </w:rPr>
        <w:t>«СтройИнтеллект (Девелопмент)»</w:t>
      </w:r>
    </w:p>
    <w:p>
      <w:pPr>
        <w:keepNext w:val="0"/>
        <w:keepLines w:val="0"/>
        <w:spacing w:before="0" w:after="280" w:line="240" w:lineRule="auto"/>
      </w:pPr>
      <w:r>
        <w:rPr>
          <w:rFonts w:ascii="Arial" w:hAnsi="Arial" w:eastAsia="Arial"/>
          <w:b w:val="0"/>
          <w:color w:val="20252B"/>
          <w:sz w:val="28"/>
        </w:rPr>
        <w:t>Цифровая служба технического заказчика</w:t>
      </w:r>
    </w:p>
    <w:p>
      <w:pPr>
        <w:keepNext w:val="0"/>
        <w:keepLines w:val="0"/>
        <w:spacing w:before="0" w:after="120" w:line="240" w:lineRule="auto"/>
        <w:pBdr>
          <w:bottom w:val="single" w:sz="16" w:space="1" w:color="C6232A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721"/>
            <w:shd w:fill="FBECE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8"/>
              </w:rPr>
              <w:t>Параметр</w:t>
            </w:r>
          </w:p>
        </w:tc>
        <w:tc>
          <w:tcPr>
            <w:tcW w:type="dxa" w:w="6917"/>
            <w:shd w:fill="FBECE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Версия документа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0.1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Дата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11 августа 2026 г.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Инициатор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Коммерческий блок ООО «7 Красных Линий» (7КЛ)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Владелец продукта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Не назначен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Статус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Подготовка первых промышленных внедрений / проверка продуктовой концепции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Режим документа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Деловой; технические разделы — технический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before="400" w:after="0" w:line="240" w:lineRule="auto"/>
        <w:jc w:val="center"/>
      </w:pPr>
      <w:r>
        <w:rPr>
          <w:rFonts w:ascii="Arial" w:hAnsi="Arial" w:eastAsia="Arial"/>
          <w:b/>
          <w:color w:val="5E6670"/>
          <w:sz w:val="18"/>
        </w:rPr>
        <w:t>Внутренний рабочий документ</w:t>
      </w:r>
    </w:p>
    <w:p>
      <w:r>
        <w:br w:type="page"/>
      </w:r>
    </w:p>
    <w:p>
      <w:pPr>
        <w:keepNext/>
        <w:keepLines w:val="0"/>
        <w:spacing w:before="0" w:after="80" w:line="240" w:lineRule="auto"/>
      </w:pPr>
      <w:r>
        <w:rPr>
          <w:rFonts w:ascii="Arial" w:hAnsi="Arial" w:eastAsia="Arial"/>
          <w:b/>
          <w:color w:val="20252B"/>
          <w:sz w:val="26"/>
        </w:rPr>
        <w:t>Назначение документа</w:t>
      </w:r>
    </w:p>
    <w:p>
      <w:pPr>
        <w:keepNext w:val="0"/>
        <w:keepLines w:val="0"/>
        <w:spacing w:before="0" w:after="120" w:line="240" w:lineRule="auto"/>
        <w:pBdr>
          <w:bottom w:val="single" w:sz="7" w:space="1" w:color="C6232A"/>
        </w:pBdr>
      </w:pP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 w:val="0"/>
          <w:color w:val="000000"/>
          <w:sz w:val="20"/>
        </w:rPr>
        <w:t>Концепция фиксирует целевой сегмент, бизнес-проблему, измеримую ценность, состав продукта, модель внедрения, предварительную экономику, способ выхода на рынок и ключевые гипотезы, которые необходимо проверить до масштабирования.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 w:val="0"/>
          <w:color w:val="000000"/>
          <w:sz w:val="20"/>
        </w:rPr>
        <w:t>Главный принцип концепции: СтройИнтеллект рассматривается как тиражируемое интеллектуальное ядро цифровой службы технического заказчика с последующим внедрением, адаптацией и интеграцией в информационно-технологический контур конкретного клиента.</w:t>
      </w:r>
    </w:p>
    <w:p>
      <w:pPr>
        <w:keepNext/>
        <w:keepLines w:val="0"/>
        <w:spacing w:before="120" w:after="60" w:line="240" w:lineRule="auto"/>
      </w:pPr>
      <w:r>
        <w:rPr>
          <w:rFonts w:ascii="Arial" w:hAnsi="Arial" w:eastAsia="Arial"/>
          <w:b/>
          <w:color w:val="20252B"/>
          <w:sz w:val="23"/>
        </w:rPr>
        <w:t>Статусы утверждений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154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7"/>
              </w:rPr>
              <w:t>Статус</w:t>
            </w:r>
          </w:p>
        </w:tc>
        <w:tc>
          <w:tcPr>
            <w:tcW w:type="dxa" w:w="7483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7"/>
              </w:rPr>
              <w:t>Как читать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Факт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Подтвержден внутренними материалами 7КЛ, документом клиента, официальным источником или действующим проектом.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Гипотеза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Предположение о клиенте, ценности, спросе или модели продаж; требует проверки.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Оценка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Предварительный расчёт или диапазон на основе текущих данных.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 определено</w:t>
            </w:r>
          </w:p>
        </w:tc>
        <w:tc>
          <w:tcPr>
            <w:tcW w:type="dxa" w:w="748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Данных недостаточно; решение требуется зафиксировать отдельно.</w:t>
            </w:r>
          </w:p>
        </w:tc>
      </w:tr>
    </w:tbl>
    <w:p>
      <w:pPr>
        <w:spacing w:after="20"/>
      </w:pPr>
    </w:p>
    <w:p>
      <w:pPr>
        <w:keepNext/>
        <w:keepLines w:val="0"/>
        <w:spacing w:before="160" w:after="60" w:line="240" w:lineRule="auto"/>
      </w:pPr>
      <w:r>
        <w:rPr>
          <w:rFonts w:ascii="Arial" w:hAnsi="Arial" w:eastAsia="Arial"/>
          <w:b/>
          <w:color w:val="20252B"/>
          <w:sz w:val="23"/>
        </w:rPr>
        <w:t>Содержание</w:t>
      </w:r>
    </w:p>
    <w:p>
      <w:pPr>
        <w:pStyle w:val="Body"/>
        <w:keepNext w:val="0"/>
        <w:keepLines w:val="0"/>
        <w:spacing w:before="0" w:after="30" w:line="240" w:lineRule="auto"/>
      </w:pPr>
      <w:r>
        <w:rPr>
          <w:rFonts w:ascii="Arial" w:hAnsi="Arial" w:eastAsia="Arial"/>
          <w:b w:val="0"/>
          <w:color w:val="000000"/>
          <w:sz w:val="19"/>
        </w:rPr>
        <w:t>1. Краткое определение продукта</w:t>
      </w:r>
    </w:p>
    <w:p>
      <w:pPr>
        <w:pStyle w:val="Body"/>
        <w:keepNext w:val="0"/>
        <w:keepLines w:val="0"/>
        <w:spacing w:before="0" w:after="30" w:line="240" w:lineRule="auto"/>
      </w:pPr>
      <w:r>
        <w:rPr>
          <w:rFonts w:ascii="Arial" w:hAnsi="Arial" w:eastAsia="Arial"/>
          <w:b w:val="0"/>
          <w:color w:val="000000"/>
          <w:sz w:val="19"/>
        </w:rPr>
        <w:t>2. Проблема и рыночная возможность</w:t>
      </w:r>
    </w:p>
    <w:p>
      <w:pPr>
        <w:pStyle w:val="Body"/>
        <w:keepNext w:val="0"/>
        <w:keepLines w:val="0"/>
        <w:spacing w:before="0" w:after="30" w:line="240" w:lineRule="auto"/>
      </w:pPr>
      <w:r>
        <w:rPr>
          <w:rFonts w:ascii="Arial" w:hAnsi="Arial" w:eastAsia="Arial"/>
          <w:b w:val="0"/>
          <w:color w:val="000000"/>
          <w:sz w:val="19"/>
        </w:rPr>
        <w:t>3. Целевой рынок и клиент</w:t>
      </w:r>
    </w:p>
    <w:p>
      <w:pPr>
        <w:pStyle w:val="Body"/>
        <w:keepNext w:val="0"/>
        <w:keepLines w:val="0"/>
        <w:spacing w:before="0" w:after="30" w:line="240" w:lineRule="auto"/>
      </w:pPr>
      <w:r>
        <w:rPr>
          <w:rFonts w:ascii="Arial" w:hAnsi="Arial" w:eastAsia="Arial"/>
          <w:b w:val="0"/>
          <w:color w:val="000000"/>
          <w:sz w:val="19"/>
        </w:rPr>
        <w:t>4. Ценностное предложение</w:t>
      </w:r>
    </w:p>
    <w:p>
      <w:pPr>
        <w:pStyle w:val="Body"/>
        <w:keepNext w:val="0"/>
        <w:keepLines w:val="0"/>
        <w:spacing w:before="0" w:after="30" w:line="240" w:lineRule="auto"/>
      </w:pPr>
      <w:r>
        <w:rPr>
          <w:rFonts w:ascii="Arial" w:hAnsi="Arial" w:eastAsia="Arial"/>
          <w:b w:val="0"/>
          <w:color w:val="000000"/>
          <w:sz w:val="19"/>
        </w:rPr>
        <w:t>5. Альтернативы, конкуренты и позиционирование</w:t>
      </w:r>
    </w:p>
    <w:p>
      <w:pPr>
        <w:pStyle w:val="Body"/>
        <w:keepNext w:val="0"/>
        <w:keepLines w:val="0"/>
        <w:spacing w:before="0" w:after="30" w:line="240" w:lineRule="auto"/>
      </w:pPr>
      <w:r>
        <w:rPr>
          <w:rFonts w:ascii="Arial" w:hAnsi="Arial" w:eastAsia="Arial"/>
          <w:b w:val="0"/>
          <w:color w:val="000000"/>
          <w:sz w:val="19"/>
        </w:rPr>
        <w:t>6. Продукт и ключевые сценарии</w:t>
      </w:r>
    </w:p>
    <w:p>
      <w:pPr>
        <w:pStyle w:val="Body"/>
        <w:keepNext w:val="0"/>
        <w:keepLines w:val="0"/>
        <w:spacing w:before="0" w:after="30" w:line="240" w:lineRule="auto"/>
      </w:pPr>
      <w:r>
        <w:rPr>
          <w:rFonts w:ascii="Arial" w:hAnsi="Arial" w:eastAsia="Arial"/>
          <w:b w:val="0"/>
          <w:color w:val="000000"/>
          <w:sz w:val="19"/>
        </w:rPr>
        <w:t>7. MVP и пилот</w:t>
      </w:r>
    </w:p>
    <w:p>
      <w:pPr>
        <w:pStyle w:val="Body"/>
        <w:keepNext w:val="0"/>
        <w:keepLines w:val="0"/>
        <w:spacing w:before="0" w:after="30" w:line="240" w:lineRule="auto"/>
      </w:pPr>
      <w:r>
        <w:rPr>
          <w:rFonts w:ascii="Arial" w:hAnsi="Arial" w:eastAsia="Arial"/>
          <w:b w:val="0"/>
          <w:color w:val="000000"/>
          <w:sz w:val="19"/>
        </w:rPr>
        <w:t>8. Бизнес-модель и ценообразование</w:t>
      </w:r>
    </w:p>
    <w:p>
      <w:pPr>
        <w:pStyle w:val="Body"/>
        <w:keepNext w:val="0"/>
        <w:keepLines w:val="0"/>
        <w:spacing w:before="0" w:after="30" w:line="240" w:lineRule="auto"/>
      </w:pPr>
      <w:r>
        <w:rPr>
          <w:rFonts w:ascii="Arial" w:hAnsi="Arial" w:eastAsia="Arial"/>
          <w:b w:val="0"/>
          <w:color w:val="000000"/>
          <w:sz w:val="19"/>
        </w:rPr>
        <w:t>9. Вывод продукта на рынок</w:t>
      </w:r>
    </w:p>
    <w:p>
      <w:pPr>
        <w:pStyle w:val="Body"/>
        <w:keepNext w:val="0"/>
        <w:keepLines w:val="0"/>
        <w:spacing w:before="0" w:after="30" w:line="240" w:lineRule="auto"/>
      </w:pPr>
      <w:r>
        <w:rPr>
          <w:rFonts w:ascii="Arial" w:hAnsi="Arial" w:eastAsia="Arial"/>
          <w:b w:val="0"/>
          <w:color w:val="000000"/>
          <w:sz w:val="19"/>
        </w:rPr>
        <w:t>10. Рынок и потенциал масштабирования</w:t>
      </w:r>
    </w:p>
    <w:p>
      <w:pPr>
        <w:pStyle w:val="Body"/>
        <w:keepNext w:val="0"/>
        <w:keepLines w:val="0"/>
        <w:spacing w:before="0" w:after="30" w:line="240" w:lineRule="auto"/>
      </w:pPr>
      <w:r>
        <w:rPr>
          <w:rFonts w:ascii="Arial" w:hAnsi="Arial" w:eastAsia="Arial"/>
          <w:b w:val="0"/>
          <w:color w:val="000000"/>
          <w:sz w:val="19"/>
        </w:rPr>
        <w:t>11. Готовность к внедрению и эксплуатации</w:t>
      </w:r>
    </w:p>
    <w:p>
      <w:pPr>
        <w:pStyle w:val="Body"/>
        <w:keepNext w:val="0"/>
        <w:keepLines w:val="0"/>
        <w:spacing w:before="0" w:after="30" w:line="240" w:lineRule="auto"/>
      </w:pPr>
      <w:r>
        <w:rPr>
          <w:rFonts w:ascii="Arial" w:hAnsi="Arial" w:eastAsia="Arial"/>
          <w:b w:val="0"/>
          <w:color w:val="000000"/>
          <w:sz w:val="19"/>
        </w:rPr>
        <w:t>12. Ресурсы, поэтапный план и экономика создания</w:t>
      </w:r>
    </w:p>
    <w:p>
      <w:pPr>
        <w:pStyle w:val="Body"/>
        <w:keepNext w:val="0"/>
        <w:keepLines w:val="0"/>
        <w:spacing w:before="0" w:after="30" w:line="240" w:lineRule="auto"/>
      </w:pPr>
      <w:r>
        <w:rPr>
          <w:rFonts w:ascii="Arial" w:hAnsi="Arial" w:eastAsia="Arial"/>
          <w:b w:val="0"/>
          <w:color w:val="000000"/>
          <w:sz w:val="19"/>
        </w:rPr>
        <w:t>13. Ключевые гипотезы и риски</w:t>
      </w:r>
    </w:p>
    <w:p>
      <w:pPr>
        <w:pStyle w:val="Body"/>
        <w:keepNext w:val="0"/>
        <w:keepLines w:val="0"/>
        <w:spacing w:before="0" w:after="30" w:line="240" w:lineRule="auto"/>
      </w:pPr>
      <w:r>
        <w:rPr>
          <w:rFonts w:ascii="Arial" w:hAnsi="Arial" w:eastAsia="Arial"/>
          <w:b w:val="0"/>
          <w:color w:val="000000"/>
          <w:sz w:val="19"/>
        </w:rPr>
        <w:t>14. Итоговое резюме концепции</w:t>
      </w:r>
    </w:p>
    <w:p>
      <w:pPr>
        <w:pStyle w:val="Body"/>
        <w:keepNext w:val="0"/>
        <w:keepLines w:val="0"/>
        <w:spacing w:before="0" w:after="30" w:line="240" w:lineRule="auto"/>
      </w:pPr>
      <w:r>
        <w:rPr>
          <w:rFonts w:ascii="Arial" w:hAnsi="Arial" w:eastAsia="Arial"/>
          <w:b w:val="0"/>
          <w:color w:val="000000"/>
          <w:sz w:val="19"/>
        </w:rPr>
        <w:t>Источники и основания</w:t>
      </w:r>
    </w:p>
    <w:p>
      <w:r>
        <w:br w:type="page"/>
      </w:r>
    </w:p>
    <w:p>
      <w:pPr>
        <w:pStyle w:val="Heading1"/>
        <w:keepNext/>
        <w:keepLines w:val="0"/>
        <w:spacing w:before="200" w:after="60" w:line="240" w:lineRule="auto"/>
      </w:pPr>
      <w:r>
        <w:rPr>
          <w:rFonts w:ascii="Arial" w:hAnsi="Arial" w:eastAsia="Arial"/>
          <w:b/>
          <w:color w:val="20252B"/>
          <w:sz w:val="30"/>
        </w:rPr>
        <w:t>1. КРАТКОЕ ОПРЕДЕЛЕНИЕ ПРОДУКТА</w:t>
      </w:r>
    </w:p>
    <w:p>
      <w:pPr>
        <w:keepNext w:val="0"/>
        <w:keepLines w:val="0"/>
        <w:spacing w:before="0" w:after="120" w:line="240" w:lineRule="auto"/>
        <w:pBdr>
          <w:bottom w:val="single" w:sz="10" w:space="1" w:color="C6232A"/>
        </w:pBdr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1.1. Рабочее название и категория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11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7"/>
              </w:rPr>
              <w:t>Параметр</w:t>
            </w:r>
          </w:p>
        </w:tc>
        <w:tc>
          <w:tcPr>
            <w:tcW w:type="dxa" w:w="6009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7"/>
              </w:rPr>
              <w:t>Формулировка</w:t>
            </w:r>
          </w:p>
        </w:tc>
        <w:tc>
          <w:tcPr>
            <w:tcW w:type="dxa" w:w="1417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Полное название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«СтройИнтеллект (Девелопмент)» — цифровая служба технического заказчика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Факт</w:t>
            </w:r>
          </w:p>
        </w:tc>
      </w:tr>
      <w:tr>
        <w:trPr>
          <w:cantSplit/>
        </w:trPr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Короткое название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СтройИнтеллект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Факт</w:t>
            </w:r>
          </w:p>
        </w:tc>
      </w:tr>
      <w:tr>
        <w:trPr>
          <w:cantSplit/>
        </w:trPr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Категория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Отраслевой корпоративный продукт на базе искусственного интеллекта (ИИ) для финансово-технического управления строительством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Факт</w:t>
            </w:r>
          </w:p>
        </w:tc>
      </w:tr>
      <w:tr>
        <w:trPr>
          <w:cantSplit/>
        </w:trPr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Основная модель размещения</w:t>
            </w:r>
          </w:p>
        </w:tc>
        <w:tc>
          <w:tcPr>
            <w:tcW w:type="dxa" w:w="60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Вычислительная инфраструктура заказчика; коммерчески чувствительные данные обрабатываются локально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Факт</w:t>
            </w:r>
          </w:p>
        </w:tc>
      </w:tr>
    </w:tbl>
    <w:p>
      <w:pPr>
        <w:spacing w:after="20"/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1.2. Определение продукта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C6232A"/>
          <w:sz w:val="16"/>
        </w:rPr>
        <w:t>[ФАКТ]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СтройИнтеллект предназначен для средних и крупных девелоперов, застройщиков и корпоративных заказчиков капитального строительства, которым необходимо контролировать стоимость, подрядчиков, сроки и экономику строительных проектов.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C6232A"/>
          <w:sz w:val="16"/>
        </w:rPr>
        <w:t>[ФАКТ]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Система объединяет девять специализированных ИИ-агентов, собственную расчётно-аналитическую модель стоимости, расчётный модуль, опорную базу и данные заказчика. Она анализирует сметы и коммерческие предложения подрядчиков, рассчитывает экономику объекта, выявляет потенциальные переплаты и договорные риски, контролирует исполнение по доступным данным и формирует рекомендации для специалистов заказчика.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C6232A"/>
          <w:sz w:val="16"/>
        </w:rPr>
        <w:t>[ФАКТ]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Обучающий массив 7КЛ содержит обезличенные нормализованные стоимостные показатели более чем по 250 строительным объектам. При внедрении модель дополнительно адаптируется на исторических данных конкретного заказчика; его данные остаются в его контуре и не используются для обучения моделей, применяемых у третьих лиц.</w:t>
      </w:r>
    </w:p>
    <w:p>
      <w:pPr>
        <w:keepNext w:val="0"/>
        <w:keepLines w:val="0"/>
        <w:spacing w:before="40" w:after="100" w:line="252" w:lineRule="auto"/>
      </w:pPr>
      <w:r>
        <w:rPr>
          <w:rFonts w:ascii="Arial" w:hAnsi="Arial" w:eastAsia="Arial"/>
          <w:b w:val="0"/>
          <w:i/>
          <w:color w:val="5E6670"/>
          <w:sz w:val="17"/>
        </w:rPr>
        <w:t>Источник: коммерческое предложение и техническое задание по проекту АПРИ, 11.08.2026.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1.3. Что продаётся и границы продукта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/>
          <w:color w:val="C6232A"/>
          <w:sz w:val="16"/>
        </w:rPr>
        <w:t>[ФАКТ]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• Готовое интеллектуальное ядро СтройИнтеллекта: девять ИИ-агентов, расчётно-аналитическая модель, расчётный модуль и базовые механизмы работы с документами.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/>
          <w:color w:val="C6232A"/>
          <w:sz w:val="16"/>
        </w:rPr>
        <w:t>[ФАКТ]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• Внедрение: развёртывание в инфраструктуре заказчика, интеграция, настройка опорной базы, адаптация к историческим данным, обучение пользователей.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/>
          <w:color w:val="C6232A"/>
          <w:sz w:val="16"/>
        </w:rPr>
        <w:t>[ФАКТ]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• Продукт не заменяет проектную документацию, экспертизу, юридически значимые решения, главного бухгалтера и обязательный строительный контроль на площадке.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/>
          <w:color w:val="C6232A"/>
          <w:sz w:val="16"/>
        </w:rPr>
        <w:t>[ФАКТ]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• Программный продукт не является техническим заказчиком в смысле п. 22 ст. 1 Градостроительного кодекса Российской Федерации; в документах следует позиционировать его как цифровой инструмент службы технического заказчика.</w:t>
      </w:r>
    </w:p>
    <w:p>
      <w:pPr>
        <w:pStyle w:val="Heading1"/>
        <w:keepNext/>
        <w:keepLines w:val="0"/>
        <w:spacing w:before="200" w:after="60" w:line="240" w:lineRule="auto"/>
      </w:pPr>
      <w:r>
        <w:rPr>
          <w:rFonts w:ascii="Arial" w:hAnsi="Arial" w:eastAsia="Arial"/>
          <w:b/>
          <w:color w:val="20252B"/>
          <w:sz w:val="30"/>
        </w:rPr>
        <w:t>2. ПРОБЛЕМА И РЫНОЧНАЯ ВОЗМОЖНОСТЬ</w:t>
      </w:r>
    </w:p>
    <w:p>
      <w:pPr>
        <w:keepNext w:val="0"/>
        <w:keepLines w:val="0"/>
        <w:spacing w:before="0" w:after="120" w:line="240" w:lineRule="auto"/>
        <w:pBdr>
          <w:bottom w:val="single" w:sz="10" w:space="1" w:color="C6232A"/>
        </w:pBdr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2.1. Текущий процесс клиента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5E6670"/>
          <w:sz w:val="16"/>
        </w:rPr>
        <w:t>[ГИПОТЕЗА]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Функции технического заказчика распределены между проектированием, сметным контролем, производственно-техническим отделом (ПТО), снабжением, закупками, финансами, договорным блоком и руководителями проектов. Информация по одному объекту часто находится в разных системах и документах: сметах, электронных таблицах, 1С, отраслевых платформах, средах общих данных, договорах и локальных реестрах.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28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Этап / вход</w:t>
            </w:r>
          </w:p>
        </w:tc>
        <w:tc>
          <w:tcPr>
            <w:tcW w:type="dxa" w:w="3458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Как выполняется сейчас</w:t>
            </w:r>
          </w:p>
        </w:tc>
        <w:tc>
          <w:tcPr>
            <w:tcW w:type="dxa" w:w="4252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Проблема для бизнеса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Смета и ведомости объёмов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Экспертная проверка сметчиком и инженером; Excel и сметное ПО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Проверка зависит от времени и опыта конкретного специалиста; часть отклонений может остаться незамеченной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Коммерческие предложения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Ручное сопоставление предложений подрядчиков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Разные наименования и единицы измерения затрудняют сравнение; сложно отделить рыночное изменение цены от завышения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Закупки и снабжение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Справочники, коммерческие предложения, личная экспертиза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Исторические данные прошлых объектов используются фрагментарно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Экономика объекта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Финансовые модели, Excel, 1С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Технические изменения и финансовые последствия сводятся с задержкой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Договор и риски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Юридическая проверка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Риски анализируются отдельно от сметы и финансовой модели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Контроль проекта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Отчётность и совещания</w:t>
            </w:r>
          </w:p>
        </w:tc>
        <w:tc>
          <w:tcPr>
            <w:tcW w:type="dxa" w:w="42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Руководителю приходится объединять выводы нескольких функций вручную</w:t>
            </w:r>
          </w:p>
        </w:tc>
      </w:tr>
    </w:tbl>
    <w:p>
      <w:pPr>
        <w:spacing w:after="20"/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2.2. Бизнес-проблема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5E6670"/>
          <w:sz w:val="16"/>
        </w:rPr>
        <w:t>[ГИПОТЕЗА]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Основная проблема — финансово значимые отклонения могут выявляться после выбора подрядчика, принятия обязательства или начала работ. При этом накопленный опыт прошлых объектов не всегда превращён в единую базу для расчёта нового проекта.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Завышенные расценки, двойной учёт и ошибки объёмов увеличивают стоимость проекта.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Раздельная работа технических, финансовых и договорных функций увеличивает время согласования и снижает полноту контроля.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Невыявленные отклонения влияют на себестоимость, маржу, проектное финансирование и возможные кассовые разрывы.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2.3. Масштаб и рыночная возможность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5E6670"/>
          <w:sz w:val="16"/>
        </w:rPr>
        <w:t>[ГИПОТЕЗА]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На внутренней встрече 7КЛ отмечалось, что на крупных строительных объектах ошибки и недостаточный финансово-технический контроль могут приводить к потерям, измеряемым десятками и сотнями миллионов рублей. Это рабочая клиентская гипотеза; средний эффект требуется подтвердить на первых 3–5 внедрениях.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C6232A"/>
          <w:sz w:val="16"/>
        </w:rPr>
        <w:t>[ФАКТ]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По данным Минстроя России, доля застройщиков жилищного строительства, применяющих технологии информационного моделирования (ТИМ), достигла 38% в I квартале 2025 года. Это подтверждает рост цифровой зрелости отрасли и доступность структурированных данных для новых аналитических решений.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C6232A"/>
          <w:sz w:val="16"/>
        </w:rPr>
        <w:t>[ФАКТ]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Стратегическое направление цифровой трансформации строительства до 2030 года закрепляет развитие единой цифровой среды и внедрение отечественного программного обеспечения на этапах жизненного цикла объектов капитального строительства.</w:t>
      </w:r>
    </w:p>
    <w:p>
      <w:pPr>
        <w:keepNext w:val="0"/>
        <w:keepLines w:val="0"/>
        <w:spacing w:before="40" w:after="100" w:line="252" w:lineRule="auto"/>
      </w:pPr>
      <w:r>
        <w:rPr>
          <w:rFonts w:ascii="Arial" w:hAnsi="Arial" w:eastAsia="Arial"/>
          <w:b w:val="0"/>
          <w:i/>
          <w:color w:val="5E6670"/>
          <w:sz w:val="17"/>
        </w:rPr>
        <w:t>Внешние источники: Минстрой России [6]; Правительство Российской Федерации [7].</w:t>
      </w:r>
    </w:p>
    <w:p>
      <w:pPr>
        <w:pStyle w:val="Heading1"/>
        <w:keepNext/>
        <w:keepLines w:val="0"/>
        <w:spacing w:before="200" w:after="60" w:line="240" w:lineRule="auto"/>
      </w:pPr>
      <w:r>
        <w:rPr>
          <w:rFonts w:ascii="Arial" w:hAnsi="Arial" w:eastAsia="Arial"/>
          <w:b/>
          <w:color w:val="20252B"/>
          <w:sz w:val="30"/>
        </w:rPr>
        <w:t>3. ЦЕЛЕВОЙ РЫНОК И КЛИЕНТ</w:t>
      </w:r>
    </w:p>
    <w:p>
      <w:pPr>
        <w:keepNext w:val="0"/>
        <w:keepLines w:val="0"/>
        <w:spacing w:before="0" w:after="120" w:line="240" w:lineRule="auto"/>
        <w:pBdr>
          <w:bottom w:val="single" w:sz="10" w:space="1" w:color="C6232A"/>
        </w:pBdr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3.1. Основной сегмент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7"/>
              </w:rPr>
              <w:t>Параметр</w:t>
            </w:r>
          </w:p>
        </w:tc>
        <w:tc>
          <w:tcPr>
            <w:tcW w:type="dxa" w:w="7257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7"/>
              </w:rPr>
              <w:t>Рабочее определение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Отрасль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Девелопмент, жилищное и коммерческое строительство, корпоративные программы капитального строительства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Тип организации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Средний или крупный застройщик / девелопер / корпоративный заказчик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Масштаб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Несколько параллельных крупных объектов; строительный бюджет, при котором одна существенная ошибка сопоставима или выше стоимости внедрения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География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Российская Федерация; первый приоритет — доступные 7КЛ региональные и федеральные девелоперы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Цифровизация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Есть 1С, среда общих данных, система управления строительством, ТИМ или иные цифровые источники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Данные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Есть история закрытых объектов: сметы, договоры, фактическая себестоимость, данные подрядчиков</w:t>
            </w:r>
          </w:p>
        </w:tc>
      </w:tr>
    </w:tbl>
    <w:p>
      <w:pPr>
        <w:spacing w:after="20"/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3.2. ICP — профиль целевого клиента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5E6670"/>
          <w:sz w:val="16"/>
        </w:rPr>
        <w:t>[ГИПОТЕЗА]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ICP (Ideal Customer Profile — профиль целевого клиента): строительная или девелоперская компания с несколькими крупными объектами, большим подрядным бюджетом и историей закрытых проектов, у которой требуется системный финансово-технический контроль и есть бюджет порядка 20–25 млн ₽ с налогом на добавленную стоимость (НДС) 22% на промышленное внедрение.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5E6670"/>
          <w:sz w:val="16"/>
        </w:rPr>
        <w:t>[ГИПОТЕЗА]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Положительные признаки ICP: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одновременно ведёт несколько крупных объектов;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имеет собственную службу технического заказчика или сопоставимый функциональный блок;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работает с большим количеством подрядчиков и коммерческих предложений;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использует информационные системы, из которых можно получать исходные данные;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имеет историю закрытых объектов и готов предоставить её для калибровки;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стоимость одной потенциальной ошибки заметно выше цены внедрения;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готов разместить систему в своей инфраструктуре и согласовать требования информационной безопасности.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5E6670"/>
          <w:sz w:val="16"/>
        </w:rPr>
        <w:t>[ГИПОТЕЗА]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Стоп-факторы: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один небольшой объект и ограниченный подрядный бюджет;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отсутствие исторических данных для калибровки;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ожидание полной замены обязательных функций технического заказчика программным продуктом;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отсутствие доступа к системам и данным, критичным для расчётов;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экономический эффект заведомо несопоставим со стоимостью внедрения.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3.3. Участники покупки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11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Участник</w:t>
            </w:r>
          </w:p>
        </w:tc>
        <w:tc>
          <w:tcPr>
            <w:tcW w:type="dxa" w:w="3118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Роль в покупке</w:t>
            </w:r>
          </w:p>
        </w:tc>
        <w:tc>
          <w:tcPr>
            <w:tcW w:type="dxa" w:w="4309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Собственная ценность</w:t>
            </w:r>
          </w:p>
        </w:tc>
      </w:tr>
      <w:tr>
        <w:trPr>
          <w:cantSplit/>
        </w:trPr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Собственник / генеральный директор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Экономический покупатель или лицо, принимающее решение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Контроль потерь, маржи и управляемости портфеля объектов</w:t>
            </w:r>
          </w:p>
        </w:tc>
      </w:tr>
      <w:tr>
        <w:trPr>
          <w:cantSplit/>
        </w:trPr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Директор по строительству / руководитель техзаказчика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Владелец процесса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Единый контроль смет, подрядчиков, сроков и отклонений</w:t>
            </w:r>
          </w:p>
        </w:tc>
      </w:tr>
      <w:tr>
        <w:trPr>
          <w:cantSplit/>
        </w:trPr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Сметчик / главный инженер проекта / ПТО / снабжение / экономист / юрист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Пользователи и эксперты при приёмке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Сокращение ручной проверки и единая фактура по объекту</w:t>
            </w:r>
          </w:p>
        </w:tc>
      </w:tr>
      <w:tr>
        <w:trPr>
          <w:cantSplit/>
        </w:trPr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Информационно-технологический блок (ИТ-блок)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Согласует архитектуру и интеграции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Управляемое размещение и подключение к источникам данных</w:t>
            </w:r>
          </w:p>
        </w:tc>
      </w:tr>
      <w:tr>
        <w:trPr>
          <w:cantSplit/>
        </w:trPr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Информационная безопасность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Может заблокировать закупку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Локальная обработка чувствительных данных, журналирование и регламент внешних обращений</w:t>
            </w:r>
          </w:p>
        </w:tc>
      </w:tr>
      <w:tr>
        <w:trPr>
          <w:cantSplit/>
        </w:trPr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Финансовый директор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Проверяет экономику сделки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Подтверждаемый финансовый эффект и прогноз окупаемости</w:t>
            </w:r>
          </w:p>
        </w:tc>
      </w:tr>
    </w:tbl>
    <w:p>
      <w:pPr>
        <w:spacing w:after="20"/>
      </w:pPr>
    </w:p>
    <w:p>
      <w:pPr>
        <w:pStyle w:val="Heading1"/>
        <w:keepNext/>
        <w:keepLines w:val="0"/>
        <w:spacing w:before="200" w:after="60" w:line="240" w:lineRule="auto"/>
      </w:pPr>
      <w:r>
        <w:rPr>
          <w:rFonts w:ascii="Arial" w:hAnsi="Arial" w:eastAsia="Arial"/>
          <w:b/>
          <w:color w:val="20252B"/>
          <w:sz w:val="30"/>
        </w:rPr>
        <w:t>4. ЦЕННОСТНОЕ ПРЕДЛОЖЕНИЕ</w:t>
      </w:r>
    </w:p>
    <w:p>
      <w:pPr>
        <w:keepNext w:val="0"/>
        <w:keepLines w:val="0"/>
        <w:spacing w:before="0" w:after="120" w:line="240" w:lineRule="auto"/>
        <w:pBdr>
          <w:bottom w:val="single" w:sz="10" w:space="1" w:color="C6232A"/>
        </w:pBdr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4.1. Основная ценность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5E6670"/>
          <w:sz w:val="16"/>
        </w:rPr>
        <w:t>[ГИПОТЕЗА]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СтройИнтеллект даёт службе технического заказчика постоянный цифровой контроль стоимости и экономики объекта: проверяет сметы и предложения подрядчиков, сопоставляет их с собственной расчётной оценкой и показывает финансовые отклонения до того, как они становятся потерями.</w:t>
      </w:r>
    </w:p>
    <w:p>
      <w:pPr>
        <w:keepNext w:val="0"/>
        <w:keepLines w:val="0"/>
        <w:spacing w:before="40" w:after="100" w:line="252" w:lineRule="auto"/>
      </w:pPr>
      <w:r>
        <w:rPr>
          <w:rFonts w:ascii="Arial" w:hAnsi="Arial" w:eastAsia="Arial"/>
          <w:b w:val="0"/>
          <w:i/>
          <w:color w:val="5E6670"/>
          <w:sz w:val="17"/>
        </w:rPr>
        <w:t>Главная единица ценности для клиента — предотвращённая потеря или улучшенное финансовое решение, а не количество обработанных документов.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4.2. Уровни ценности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14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Уровень</w:t>
            </w:r>
          </w:p>
        </w:tc>
        <w:tc>
          <w:tcPr>
            <w:tcW w:type="dxa" w:w="4989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Что получает клиент</w:t>
            </w:r>
          </w:p>
        </w:tc>
        <w:tc>
          <w:tcPr>
            <w:tcW w:type="dxa" w:w="2835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Как измерять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Функциональный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Проверка смет, предложений подрядчиков, экономики объекта, договорных рисков и исполнения по данным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Полнота проверок, количество выявленных отклонений, время расчёта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Операционный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Единая логика анализа по девяти функциональным зонам и повторное использование данных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Человеко-часы, срок согласования, число ручных операций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Экономический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Потенциальная переплата, целевая цена переговоров, себестоимость ₽/м², сценарии маржи, кассовые разрывы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Предотвращённые потери и изменение финансовых показателей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Управленческий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Сводный вывод по рискам и действиям с привязкой к рублям и срокам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Доля рисков, выявленных до принятия решения; скорость эскалации</w:t>
            </w:r>
          </w:p>
        </w:tc>
      </w:tr>
    </w:tbl>
    <w:p>
      <w:pPr>
        <w:spacing w:after="20"/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4.3. Предварительный эффект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2268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5"/>
              </w:rPr>
              <w:t>Показатель</w:t>
            </w:r>
          </w:p>
        </w:tc>
        <w:tc>
          <w:tcPr>
            <w:tcW w:type="dxa" w:w="2438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5"/>
              </w:rPr>
              <w:t>Текущее состояние</w:t>
            </w:r>
          </w:p>
        </w:tc>
        <w:tc>
          <w:tcPr>
            <w:tcW w:type="dxa" w:w="3685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5"/>
              </w:rPr>
              <w:t>Целевое состояние / гипотеза</w:t>
            </w:r>
          </w:p>
        </w:tc>
        <w:tc>
          <w:tcPr>
            <w:tcW w:type="dxa" w:w="1247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5"/>
              </w:rPr>
              <w:t>Статус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Точность расчётно-аналитической оценки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Зависит от ручной методики и исходных данных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Ориентир отдельных тестовых расчётов 2–5%; официальный порог фиксируется на данных конкретного заказчика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Факт + ограниченная гипотеза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Трудозатраты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 измерены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Сокращение после внедрения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 определено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Срок проверки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 измерен единообразно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Экспресс до 15 мин; стандарт до 1 ч; эксперт до 5 ч при согласованной инфраструктуре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Факт для текущего ТЗ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Предотвращённые потери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 измерены системно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Должны превышать цену внедрения для ICP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Гипотеза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Окупаемость</w:t>
            </w:r>
          </w:p>
        </w:tc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 рассчитана</w:t>
            </w:r>
          </w:p>
        </w:tc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Определяется по данным первых внедрений</w:t>
            </w:r>
          </w:p>
        </w:tc>
        <w:tc>
          <w:tcPr>
            <w:tcW w:type="dxa" w:w="124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 определено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before="40" w:after="100" w:line="252" w:lineRule="auto"/>
      </w:pPr>
      <w:r>
        <w:rPr>
          <w:rFonts w:ascii="Arial" w:hAnsi="Arial" w:eastAsia="Arial"/>
          <w:b w:val="0"/>
          <w:i/>
          <w:color w:val="5E6670"/>
          <w:sz w:val="17"/>
        </w:rPr>
        <w:t>Показатель 2–5% не является универсальной гарантией качества. Критерий приёмки по точности определяется протоколом на контрольных объектах заказчика.</w:t>
      </w:r>
    </w:p>
    <w:p>
      <w:pPr>
        <w:pStyle w:val="Heading1"/>
        <w:keepNext/>
        <w:keepLines w:val="0"/>
        <w:spacing w:before="200" w:after="60" w:line="240" w:lineRule="auto"/>
      </w:pPr>
      <w:r>
        <w:rPr>
          <w:rFonts w:ascii="Arial" w:hAnsi="Arial" w:eastAsia="Arial"/>
          <w:b/>
          <w:color w:val="20252B"/>
          <w:sz w:val="30"/>
        </w:rPr>
        <w:t>5. АЛЬТЕРНАТИВЫ, КОНКУРЕНТЫ И ПОЗИЦИОНИРОВАНИЕ</w:t>
      </w:r>
    </w:p>
    <w:p>
      <w:pPr>
        <w:keepNext w:val="0"/>
        <w:keepLines w:val="0"/>
        <w:spacing w:before="0" w:after="120" w:line="240" w:lineRule="auto"/>
        <w:pBdr>
          <w:bottom w:val="single" w:sz="10" w:space="1" w:color="C6232A"/>
        </w:pBdr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5.1. Как клиент решает задачу сейчас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5E6670"/>
          <w:sz w:val="16"/>
        </w:rPr>
        <w:t>[ФАКТ + ГИПОТЕЗА]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Реальная альтернатива покупке СтройИнтеллекта — комбинация существующих систем и работы специалистов: 1С / ERP (Enterprise Resource Planning — система управления ресурсами предприятия), среда общих данных, ТИМ/BIM (Building Information Modeling — информационное моделирование), сметное программное обеспечение, электронные таблицы, собственная служба технического заказчика и внешние консультанты.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5.2. Основные альтернативы и конкуренты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84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Альтернатива</w:t>
            </w:r>
          </w:p>
        </w:tc>
        <w:tc>
          <w:tcPr>
            <w:tcW w:type="dxa" w:w="3572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Сильная сторона</w:t>
            </w:r>
          </w:p>
        </w:tc>
        <w:tc>
          <w:tcPr>
            <w:tcW w:type="dxa" w:w="4082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Ограничение относительно концепции СтройИнтеллекта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G-Tech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Единая среда общих данных, проверки BIM-моделей, объёмы, тендеры, стройконтроль, планирование, BI (Business Intelligence — бизнес-аналитика)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Фокус на цифровом управлении строительным процессом; требуется отдельно сравнить глубину независимой стоимостной оценки и межфункционального ИИ-анализа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Exon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Проектная и рабочая документация, стройконтроль, актирование, аналитика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Сильный контур управления строительными процессами; требуется отдельное сравнение с расчётно-аналитической моделью стоимости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Tangl Value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Расчёт объёмов и стоимости по BIM/ТИМ-модели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Сильная работа с информационной моделью; СтройИнтеллект ориентирован также на сметы, предложения подрядчиков, финансы и договорные риски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АЛТИУС — Управление строительством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Управленческий и финансовый учёт, договоры, планирование, взаиморасчёты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Тиражная ERP-система; СтройИнтеллект предполагается как интеллектуальный аналитический слой поверх учётных и проектных систем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Собственная разработка / Excel / эксперты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Полная адаптация к процессам клиента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Высокая зависимость от людей, длительный путь создания модели и накопления сравнительной базы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before="40" w:after="100" w:line="252" w:lineRule="auto"/>
      </w:pPr>
      <w:r>
        <w:rPr>
          <w:rFonts w:ascii="Arial" w:hAnsi="Arial" w:eastAsia="Arial"/>
          <w:b w:val="0"/>
          <w:i/>
          <w:color w:val="5E6670"/>
          <w:sz w:val="17"/>
        </w:rPr>
        <w:t>Внешние источники по конкурентам: G-Tech [9], Exon [10], Tangl [11], АЛТИУС [12].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5.3. Ключевые отличия</w:t>
      </w:r>
    </w:p>
    <w:p>
      <w:pPr>
        <w:pStyle w:val="Body"/>
        <w:keepNext w:val="0"/>
        <w:keepLines w:val="0"/>
        <w:spacing w:before="0" w:after="60" w:line="252" w:lineRule="auto"/>
        <w:ind w:left="340" w:hanging="283"/>
      </w:pPr>
      <w:r>
        <w:rPr>
          <w:rFonts w:ascii="Arial" w:hAnsi="Arial" w:eastAsia="Arial"/>
          <w:b w:val="0"/>
          <w:color w:val="000000"/>
          <w:sz w:val="20"/>
        </w:rPr>
        <w:t>1. Собственная расчётно-аналитическая оценка стоимости, независимая от цены конкретного подрядчика.</w:t>
      </w:r>
    </w:p>
    <w:p>
      <w:pPr>
        <w:pStyle w:val="Body"/>
        <w:keepNext w:val="0"/>
        <w:keepLines w:val="0"/>
        <w:spacing w:before="0" w:after="60" w:line="252" w:lineRule="auto"/>
        <w:ind w:left="340" w:hanging="283"/>
      </w:pPr>
      <w:r>
        <w:rPr>
          <w:rFonts w:ascii="Arial" w:hAnsi="Arial" w:eastAsia="Arial"/>
          <w:b w:val="0"/>
          <w:color w:val="000000"/>
          <w:sz w:val="20"/>
        </w:rPr>
        <w:t>2. Обезличенный обучающий массив более чем по 250 строительным объектам и возможность калибровки на исторических данных клиента.</w:t>
      </w:r>
    </w:p>
    <w:p>
      <w:pPr>
        <w:pStyle w:val="Body"/>
        <w:keepNext w:val="0"/>
        <w:keepLines w:val="0"/>
        <w:spacing w:before="0" w:after="60" w:line="252" w:lineRule="auto"/>
        <w:ind w:left="340" w:hanging="283"/>
      </w:pPr>
      <w:r>
        <w:rPr>
          <w:rFonts w:ascii="Arial" w:hAnsi="Arial" w:eastAsia="Arial"/>
          <w:b w:val="0"/>
          <w:color w:val="000000"/>
          <w:sz w:val="20"/>
        </w:rPr>
        <w:t>3. Девять связанных ИИ-агентов, которые рассматривают объект через техническую, сметную, закупочную, финансовую, договорную и управленческую функции.</w:t>
      </w:r>
    </w:p>
    <w:p>
      <w:pPr>
        <w:pStyle w:val="Body"/>
        <w:keepNext w:val="0"/>
        <w:keepLines w:val="0"/>
        <w:spacing w:before="0" w:after="60" w:line="252" w:lineRule="auto"/>
        <w:ind w:left="340" w:hanging="283"/>
      </w:pPr>
      <w:r>
        <w:rPr>
          <w:rFonts w:ascii="Arial" w:hAnsi="Arial" w:eastAsia="Arial"/>
          <w:b w:val="0"/>
          <w:color w:val="000000"/>
          <w:sz w:val="20"/>
        </w:rPr>
        <w:t>4. Разделение расчёта и интерпретации: числовые показатели вычисляет детерминированный расчётный модуль, а языковые модели анализируют и формулируют выводы.</w:t>
      </w:r>
    </w:p>
    <w:p>
      <w:pPr>
        <w:pStyle w:val="Body"/>
        <w:keepNext w:val="0"/>
        <w:keepLines w:val="0"/>
        <w:spacing w:before="0" w:after="60" w:line="252" w:lineRule="auto"/>
        <w:ind w:left="340" w:hanging="283"/>
      </w:pPr>
      <w:r>
        <w:rPr>
          <w:rFonts w:ascii="Arial" w:hAnsi="Arial" w:eastAsia="Arial"/>
          <w:b w:val="0"/>
          <w:color w:val="000000"/>
          <w:sz w:val="20"/>
        </w:rPr>
        <w:t>5. Локальная обработка коммерчески чувствительных данных и контролируемый внешний контур только для согласованных процессов.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5.4. Позиционирование</w:t>
      </w:r>
    </w:p>
    <w:p>
      <w:pPr>
        <w:keepNext w:val="0"/>
        <w:keepLines w:val="0"/>
        <w:spacing w:before="40" w:after="120" w:line="259" w:lineRule="auto"/>
      </w:pPr>
      <w:r>
        <w:rPr>
          <w:rFonts w:ascii="Arial" w:hAnsi="Arial" w:eastAsia="Arial"/>
          <w:b/>
          <w:color w:val="20252B"/>
          <w:sz w:val="21"/>
        </w:rPr>
        <w:t>Для среднего и крупного застройщика СтройИнтеллект — цифровая служба технического заказчика, которая проверяет стоимость, подрядчиков и экономику строительного объекта на основе накопленной отраслевой модели и данных самого клиента. Система встраивается в существующий ИТ-контур компании и показывает финансовые отклонения до принятия управленческого решения.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5E6670"/>
          <w:sz w:val="16"/>
        </w:rPr>
        <w:t>[ГИПОТЕЗА]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Стратегия развития продукта: занять интеллектуальный финансово-технический слой поверх существующих строительных и учётных систем, не копируя их базовые функции управления документами, моделями и строительным контролем.</w:t>
      </w:r>
    </w:p>
    <w:p>
      <w:pPr>
        <w:pStyle w:val="Heading1"/>
        <w:keepNext/>
        <w:keepLines w:val="0"/>
        <w:spacing w:before="200" w:after="60" w:line="240" w:lineRule="auto"/>
      </w:pPr>
      <w:r>
        <w:rPr>
          <w:rFonts w:ascii="Arial" w:hAnsi="Arial" w:eastAsia="Arial"/>
          <w:b/>
          <w:color w:val="20252B"/>
          <w:sz w:val="30"/>
        </w:rPr>
        <w:t>6. ПРОДУКТ И КЛЮЧЕВЫЕ СЦЕНАРИИ</w:t>
      </w:r>
    </w:p>
    <w:p>
      <w:pPr>
        <w:keepNext w:val="0"/>
        <w:keepLines w:val="0"/>
        <w:spacing w:before="0" w:after="120" w:line="240" w:lineRule="auto"/>
        <w:pBdr>
          <w:bottom w:val="single" w:sz="10" w:space="1" w:color="C6232A"/>
        </w:pBdr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6.1. Основные пользовательские сценарии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</w:trPr>
        <w:tc>
          <w:tcPr>
            <w:tcW w:type="dxa" w:w="1531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4"/>
              </w:rPr>
              <w:t>Сценарий</w:t>
            </w:r>
          </w:p>
        </w:tc>
        <w:tc>
          <w:tcPr>
            <w:tcW w:type="dxa" w:w="1474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4"/>
              </w:rPr>
              <w:t>Пользователь</w:t>
            </w:r>
          </w:p>
        </w:tc>
        <w:tc>
          <w:tcPr>
            <w:tcW w:type="dxa" w:w="1587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4"/>
              </w:rPr>
              <w:t>Действие</w:t>
            </w:r>
          </w:p>
        </w:tc>
        <w:tc>
          <w:tcPr>
            <w:tcW w:type="dxa" w:w="2665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4"/>
              </w:rPr>
              <w:t>Что делает продукт</w:t>
            </w:r>
          </w:p>
        </w:tc>
        <w:tc>
          <w:tcPr>
            <w:tcW w:type="dxa" w:w="1644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4"/>
              </w:rPr>
              <w:t>Результат</w:t>
            </w:r>
          </w:p>
        </w:tc>
        <w:tc>
          <w:tcPr>
            <w:tcW w:type="dxa" w:w="1417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4"/>
              </w:rPr>
              <w:t>Ценность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1. Проверка сметы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Сметчик / инженер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Загружает смету и ведомость объёмов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Система извлекает позиции, проверяет арифметику, коэффициенты и двойной учёт, сопоставляет с опорной базой</w:t>
            </w:r>
          </w:p>
        </w:tc>
        <w:tc>
          <w:tcPr>
            <w:tcW w:type="dxa" w:w="16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Реестр потенциальных переплат и целевая цена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Снижение риска завышенной стоимости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2. Выбор подрядчика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Закупки / руководитель проекта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Загружает несколько предложений по одному объекту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Система приводит позиции к сопоставимому виду, считает разброс и медиану, сравнивает с собственной оценкой</w:t>
            </w:r>
          </w:p>
        </w:tc>
        <w:tc>
          <w:tcPr>
            <w:tcW w:type="dxa" w:w="16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Сравнительная таблица, аномалии, рекомендованный диапазон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Подготовленная позиция для переговоров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3. Экономика объекта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Экономист / финансовый директор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Передаёт параметры финансирования и исходные данные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Расчётный модуль считает себестоимость, маржу, выборку кредита и бюджет движения денежных средств (БДДС)</w:t>
            </w:r>
          </w:p>
        </w:tc>
        <w:tc>
          <w:tcPr>
            <w:tcW w:type="dxa" w:w="16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Три сценария маржи и прогноз кассовых разрывов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Раннее понимание финансовых последствий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4. Договорные риски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Юрист / руководитель проекта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Загружает проект договора подряда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Юридический ИИ-агент анализирует существенные условия с позиции застройщика</w:t>
            </w:r>
          </w:p>
        </w:tc>
        <w:tc>
          <w:tcPr>
            <w:tcW w:type="dxa" w:w="16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Перечень рисков и рекомендации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Снижение риска невыгодных условий</w:t>
            </w:r>
          </w:p>
        </w:tc>
      </w:tr>
      <w:tr>
        <w:trPr>
          <w:cantSplit/>
        </w:trPr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5. Управление проектом</w:t>
            </w:r>
          </w:p>
        </w:tc>
        <w:tc>
          <w:tcPr>
            <w:tcW w:type="dxa" w:w="147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Руководитель проекта / директор по строительству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Запрашивает сводный анализ объекта</w:t>
            </w:r>
          </w:p>
        </w:tc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Руководитель проекта объединяет результаты остальных агентов и план-график по доступным данным</w:t>
            </w:r>
          </w:p>
        </w:tc>
        <w:tc>
          <w:tcPr>
            <w:tcW w:type="dxa" w:w="16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Приоритетные риски, корректирующие меры, влияние на деньги и сроки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Управленческий контроль на одной фактуре</w:t>
            </w:r>
          </w:p>
        </w:tc>
      </w:tr>
    </w:tbl>
    <w:p>
      <w:pPr>
        <w:spacing w:after="20"/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6.2. Функциональный состав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девять ИИ-агентов: главный инженер проекта, сметчик, снабжение, специалист по поиску подрядчиков, экономист, инженер ПТО, юрист, руководитель проекта, администратор;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модель расчётно-аналитической оценки стоимости;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опорная база расценок, материалов, оборудования, параметров финансирования и сравнительных показателей;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расчётный модуль для арифметики и финансовой модели;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разбор и сопоставление документов;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собственная база данных объектов и результатов;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веб-приложение: реестр объектов, карточка объекта, рабочие экраны, очередь задач, журнал;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контур получения данных через StorHaus, программный интерфейс и структурированные файлы;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выгрузки в Excel и Word.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6.3. Использование искусственного интеллекта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324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Задача</w:t>
            </w:r>
          </w:p>
        </w:tc>
        <w:tc>
          <w:tcPr>
            <w:tcW w:type="dxa" w:w="3742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Роль ИИ</w:t>
            </w:r>
          </w:p>
        </w:tc>
        <w:tc>
          <w:tcPr>
            <w:tcW w:type="dxa" w:w="3572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Роль расчётного модуля / человека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Сопоставление и классификация позиций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Сопоставляет наименования, классифицирует отклонения и риски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Пользователь подтверждает спорные сопоставления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Анализ смет и предложений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Выявляет аномалии, объясняет причины, формирует рекомендации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Числовые значения рассчитывает модуль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Договорный анализ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Находит существенные условия и формулирует риски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Юридически значимое решение принимает специалист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Сводный анализ объекта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Объединяет результаты по зонам ответственности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Руководитель принимает решение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Арифметика, проценты, финансовые расчёты</w:t>
            </w:r>
          </w:p>
        </w:tc>
        <w:tc>
          <w:tcPr>
            <w:tcW w:type="dxa" w:w="374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ИИ не используется как источник чисел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Детерминированный расчётный модуль</w:t>
            </w:r>
          </w:p>
        </w:tc>
      </w:tr>
    </w:tbl>
    <w:p>
      <w:pPr>
        <w:spacing w:after="20"/>
      </w:pPr>
    </w:p>
    <w:p>
      <w:pPr>
        <w:pStyle w:val="Heading1"/>
        <w:keepNext/>
        <w:keepLines w:val="0"/>
        <w:spacing w:before="200" w:after="60" w:line="240" w:lineRule="auto"/>
      </w:pPr>
      <w:r>
        <w:rPr>
          <w:rFonts w:ascii="Arial" w:hAnsi="Arial" w:eastAsia="Arial"/>
          <w:b/>
          <w:color w:val="20252B"/>
          <w:sz w:val="30"/>
        </w:rPr>
        <w:t>7. MVP И ПИЛОТ</w:t>
      </w:r>
    </w:p>
    <w:p>
      <w:pPr>
        <w:keepNext w:val="0"/>
        <w:keepLines w:val="0"/>
        <w:spacing w:before="0" w:after="120" w:line="240" w:lineRule="auto"/>
        <w:pBdr>
          <w:bottom w:val="single" w:sz="10" w:space="1" w:color="C6232A"/>
        </w:pBdr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7.1. Ключевая проверяемая гипотеза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5E6670"/>
          <w:sz w:val="16"/>
        </w:rPr>
        <w:t>[ФАКТ + ГИПОТЕЗА]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MVP (Minimum Viable Product — минимально жизнеспособная версия продукта) в части интеллектуального ядра уже существует: модель и агентные сценарии использовались для расчёта строительных объектов. Следующий коммерческий этап следует считать промышленным пилотом и первым внедрением, а не разработкой MVP с нуля.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5E6670"/>
          <w:sz w:val="16"/>
        </w:rPr>
        <w:t>[ГИПОТЕЗА]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Ключевая гипотеза: средний или крупный застройщик будет готов приобрести внедрение стоимостью порядка 20–25 млн ₽ с НДС 22%, если на его закрытых объектах СтройИнтеллект подтвердит качество расчётов и найдёт финансово значимые отклонения.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7.2. Предпродажная проверка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5E6670"/>
          <w:sz w:val="16"/>
        </w:rPr>
        <w:t>[ГИПОТЕЗА]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Коммерческий подход для квалифицированного клиента: «сначала проверить на своих данных, затем принимать решение о покупке». Клиент предоставляет 1–2 закрытых объекта с известным фактическим результатом. 7КЛ выполняет расчёт существующим интеллектуальным ядром и сравнивает результат с фактом.</w:t>
      </w:r>
    </w:p>
    <w:p>
      <w:pPr>
        <w:keepNext w:val="0"/>
        <w:keepLines w:val="0"/>
        <w:spacing w:before="40" w:after="100" w:line="252" w:lineRule="auto"/>
      </w:pPr>
      <w:r>
        <w:rPr>
          <w:rFonts w:ascii="Arial" w:hAnsi="Arial" w:eastAsia="Arial"/>
          <w:b w:val="0"/>
          <w:i/>
          <w:color w:val="5E6670"/>
          <w:sz w:val="17"/>
        </w:rPr>
        <w:t>Предпродажная проверка не равна промышленному пилоту: она не требует полной интеграции и служит для снятия ключевого возражения о качестве расчётной модели.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7.3. Промышленный пилот / первое внедрение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3118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7"/>
              </w:rPr>
              <w:t>Параметр</w:t>
            </w:r>
          </w:p>
        </w:tc>
        <w:tc>
          <w:tcPr>
            <w:tcW w:type="dxa" w:w="6520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7"/>
              </w:rPr>
              <w:t>Текущий ориентир по проекту АПРИ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Продолжительность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135 календарных дней / 4,5 месяца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Объекты при приёмке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 менее 2 реальных объектов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ИИ-агенты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Размещение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 инфраструктуре заказчика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Расчётный модуль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Входит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Сопоставление предложений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Входит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Интеграционный контур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StorHaus + API + структурированные файлы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Гарантийное сопровождение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12 месяцев</w:t>
            </w:r>
          </w:p>
        </w:tc>
      </w:tr>
    </w:tbl>
    <w:p>
      <w:pPr>
        <w:spacing w:after="20"/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7.4. Критерии успешности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061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Критерий</w:t>
            </w:r>
          </w:p>
        </w:tc>
        <w:tc>
          <w:tcPr>
            <w:tcW w:type="dxa" w:w="2608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Текущий ориентир</w:t>
            </w:r>
          </w:p>
        </w:tc>
        <w:tc>
          <w:tcPr>
            <w:tcW w:type="dxa" w:w="3969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Корректное извлечение позиций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≥95%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По контрольному набору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Сходимость сумм разделов с итогом источника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 ₽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Арифметическая проверка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Полнота реестра нарушений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≥70%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Относительно ручного расчёта заказчика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Качество ИИ-агентов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≥80% пунктов чек-листа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По каждому агенту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Точность расчётно-аналитической оценки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Порог фиксируется протоколом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На объектах контрольного набора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Время ответа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до 15 мин / 1 ч / 5 ч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Экспресс / стандарт / эксперт при согласованной инфраструктуре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Коммерческий успех</w:t>
            </w:r>
          </w:p>
        </w:tc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Готовность клиента к промышленной эксплуатации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Критерий продуктовой гипотезы</w:t>
            </w:r>
          </w:p>
        </w:tc>
      </w:tr>
    </w:tbl>
    <w:p>
      <w:pPr>
        <w:spacing w:after="20"/>
      </w:pPr>
    </w:p>
    <w:p>
      <w:pPr>
        <w:pStyle w:val="Heading1"/>
        <w:keepNext/>
        <w:keepLines w:val="0"/>
        <w:spacing w:before="200" w:after="60" w:line="240" w:lineRule="auto"/>
      </w:pPr>
      <w:r>
        <w:rPr>
          <w:rFonts w:ascii="Arial" w:hAnsi="Arial" w:eastAsia="Arial"/>
          <w:b/>
          <w:color w:val="20252B"/>
          <w:sz w:val="30"/>
        </w:rPr>
        <w:t>8. БИЗНЕС-МОДЕЛЬ И ЦЕНООБРАЗОВАНИЕ</w:t>
      </w:r>
    </w:p>
    <w:p>
      <w:pPr>
        <w:keepNext w:val="0"/>
        <w:keepLines w:val="0"/>
        <w:spacing w:before="0" w:after="120" w:line="240" w:lineRule="auto"/>
        <w:pBdr>
          <w:bottom w:val="single" w:sz="10" w:space="1" w:color="C6232A"/>
        </w:pBdr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8.1. За что платит клиент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5E6670"/>
          <w:sz w:val="16"/>
        </w:rPr>
        <w:t>[ГИПОТЕЗА]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Основная единица продажи — внедрение цифровой службы технического заказчика в компанию. Стоимость формируется из развёртывания, адаптации модели, подготовки опорной базы, интеграций, настройки инфраструктуры, калибровки и ввода в бизнес-процесс.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8.2. Текущая подтверждённая цена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969"/>
            <w:shd w:fill="FBECE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7"/>
              </w:rPr>
              <w:t>Показатель</w:t>
            </w:r>
          </w:p>
        </w:tc>
        <w:tc>
          <w:tcPr>
            <w:tcW w:type="dxa" w:w="3572"/>
            <w:shd w:fill="FBECE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7"/>
              </w:rPr>
              <w:t>Значение</w:t>
            </w:r>
          </w:p>
        </w:tc>
        <w:tc>
          <w:tcPr>
            <w:tcW w:type="dxa" w:w="2098"/>
            <w:shd w:fill="FBECE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Стоимость проекта АПРИ без НДС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18 442 623 ₽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Факт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НДС 22%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4 057 377 ₽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Факт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Итого с НДС 22%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22 500 000 ₽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Факт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Отдельная абонентская / лицензионная плата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0 ₽ за право использования созданного решения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Факт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Гарантийное сопровождение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12 месяцев без дополнительной платы</w:t>
            </w:r>
          </w:p>
        </w:tc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Факт</w:t>
            </w:r>
          </w:p>
        </w:tc>
      </w:tr>
    </w:tbl>
    <w:p>
      <w:pPr>
        <w:spacing w:after="20"/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8.3. Предлагаемая продуктовая модель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4309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Предложение</w:t>
            </w:r>
          </w:p>
        </w:tc>
        <w:tc>
          <w:tcPr>
            <w:tcW w:type="dxa" w:w="3288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Ориентир</w:t>
            </w:r>
          </w:p>
        </w:tc>
        <w:tc>
          <w:tcPr>
            <w:tcW w:type="dxa" w:w="2041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Предпродажная проверка 1–2 объектов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 ₽ для квалифицированного клиента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Гипотеза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Типовое промышленное внедрение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20–25 млн ₽ с НДС 22%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Оценка / гипотеза цены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Расширенное внедрение со сложными интеграциями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30–50 млн ₽ с НДС 22%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Оценка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Вычислительная инфраструктура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Около 2,5 млн ₽; зависит от конфигурации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Оценка из рабочей встречи</w:t>
            </w:r>
          </w:p>
        </w:tc>
      </w:tr>
      <w:tr>
        <w:trPr>
          <w:cantSplit/>
        </w:trPr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Расширенная поддержка и развитие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Отдельный договор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Факт модели текущего КП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before="40" w:after="100" w:line="252" w:lineRule="auto"/>
      </w:pPr>
      <w:r>
        <w:rPr>
          <w:rFonts w:ascii="Arial" w:hAnsi="Arial" w:eastAsia="Arial"/>
          <w:b w:val="0"/>
          <w:i/>
          <w:color w:val="5E6670"/>
          <w:sz w:val="17"/>
        </w:rPr>
        <w:t>Все ориентиры цены, кроме проекта АПРИ, требуют проверки рынком. Указанные суммы по продуктовой модели приведены с НДС 22%, если прямо не указано иное.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8.4. Предварительная себестоимость и экономика сделки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3969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7"/>
              </w:rPr>
              <w:t>Элемент</w:t>
            </w:r>
          </w:p>
        </w:tc>
        <w:tc>
          <w:tcPr>
            <w:tcW w:type="dxa" w:w="5669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7"/>
              </w:rPr>
              <w:t>Текущий статус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Разработка тиражируемого ядра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Частично создано; отдельная фактическая себестоимость не выделена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Внедрение и интеграции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Требуется нормировать после 2–3 проектов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Инфраструктура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 основном на стороне клиента; ориентир оборудования обсуждался отдельно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Внешние модели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Допускаются только по согласованным процессам; текущий КП ограничивает внешние расходы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Поддержка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12 месяцев гарантии в текущем предложении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Валовая маржа продукта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 определено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Окупаемость для клиента</w:t>
            </w:r>
          </w:p>
        </w:tc>
        <w:tc>
          <w:tcPr>
            <w:tcW w:type="dxa" w:w="56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 определено; должна считаться на предотвращённых потерях и трудозатратах</w:t>
            </w:r>
          </w:p>
        </w:tc>
      </w:tr>
    </w:tbl>
    <w:p>
      <w:pPr>
        <w:spacing w:after="20"/>
      </w:pPr>
    </w:p>
    <w:p>
      <w:pPr>
        <w:pStyle w:val="Heading1"/>
        <w:keepNext/>
        <w:keepLines w:val="0"/>
        <w:spacing w:before="200" w:after="60" w:line="240" w:lineRule="auto"/>
      </w:pPr>
      <w:r>
        <w:rPr>
          <w:rFonts w:ascii="Arial" w:hAnsi="Arial" w:eastAsia="Arial"/>
          <w:b/>
          <w:color w:val="20252B"/>
          <w:sz w:val="30"/>
        </w:rPr>
        <w:t>9. ВЫВОД ПРОДУКТА НА РЫНОК</w:t>
      </w:r>
    </w:p>
    <w:p>
      <w:pPr>
        <w:keepNext w:val="0"/>
        <w:keepLines w:val="0"/>
        <w:spacing w:before="0" w:after="120" w:line="240" w:lineRule="auto"/>
        <w:pBdr>
          <w:bottom w:val="single" w:sz="10" w:space="1" w:color="C6232A"/>
        </w:pBdr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9.1. Основной путь продажи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5E6670"/>
          <w:sz w:val="16"/>
        </w:rPr>
        <w:t>[ГИПОТЕЗА]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Модель выхода на рынок (go-to-market — способ доведения продукта до целевого клиента): целевой клиент → квалификация → 1–2 закрытых объекта → демонстрационный расчёт → сравнение с фактом → расчёт финансового эффекта → предложение промышленного внедрения → договор → внедрение → референс.</w:t>
      </w:r>
    </w:p>
    <w:p>
      <w:pPr>
        <w:keepNext w:val="0"/>
        <w:keepLines w:val="0"/>
        <w:spacing w:before="40" w:after="100" w:line="252" w:lineRule="auto"/>
      </w:pPr>
      <w:r>
        <w:rPr>
          <w:rFonts w:ascii="Arial" w:hAnsi="Arial" w:eastAsia="Arial"/>
          <w:b w:val="0"/>
          <w:i/>
          <w:color w:val="5E6670"/>
          <w:sz w:val="17"/>
        </w:rPr>
        <w:t>Основной продающий материал на первом контакте — доказательство качества расчёта на данных самого клиента. Интерфейс должен поддерживать продажу, но не заменяет доказательство ценности.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9.2. Каналы привлечения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существующие строительные и девелоперские контакты 7КЛ;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действующая клиентская база 7КЛ;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прямые корпоративные продажи средним и крупным девелоперам;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партнёры по строительному программному обеспечению и интеграциям;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отраслевые мероприятия и экспертный контент после появления первого промышленного референса.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9.3. Первый рынок и пилоты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5E6670"/>
          <w:sz w:val="16"/>
        </w:rPr>
        <w:t>[ФАКТ + ГИПОТЕЗА]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Первый рынок — доступные 7КЛ средние и крупные застройщики, где есть прямой доступ к собственнику, генеральному директору, директору по строительству или руководителю службы технического заказчика. В рабочей встрече зафиксирован потенциальный первый контакт — крупная строительная компания Челябинской области через существующие деловые связи.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9.4. Материалы для продаж</w:t>
      </w:r>
    </w:p>
    <w:p>
      <w:pPr>
        <w:pStyle w:val="Body"/>
        <w:keepNext w:val="0"/>
        <w:keepLines w:val="0"/>
        <w:spacing w:before="0" w:after="60" w:line="252" w:lineRule="auto"/>
        <w:ind w:left="340" w:hanging="283"/>
      </w:pPr>
      <w:r>
        <w:rPr>
          <w:rFonts w:ascii="Arial" w:hAnsi="Arial" w:eastAsia="Arial"/>
          <w:b w:val="0"/>
          <w:color w:val="000000"/>
          <w:sz w:val="20"/>
        </w:rPr>
        <w:t>1. Product One Pager — одностраничное описание продукта и ценности.</w:t>
      </w:r>
    </w:p>
    <w:p>
      <w:pPr>
        <w:pStyle w:val="Body"/>
        <w:keepNext w:val="0"/>
        <w:keepLines w:val="0"/>
        <w:spacing w:before="0" w:after="60" w:line="252" w:lineRule="auto"/>
        <w:ind w:left="340" w:hanging="283"/>
      </w:pPr>
      <w:r>
        <w:rPr>
          <w:rFonts w:ascii="Arial" w:hAnsi="Arial" w:eastAsia="Arial"/>
          <w:b w:val="0"/>
          <w:color w:val="000000"/>
          <w:sz w:val="20"/>
        </w:rPr>
        <w:t>2. Презентация продукта для собственника / генерального директора и отдельный технический блок для ИТ и информационной безопасности.</w:t>
      </w:r>
    </w:p>
    <w:p>
      <w:pPr>
        <w:pStyle w:val="Body"/>
        <w:keepNext w:val="0"/>
        <w:keepLines w:val="0"/>
        <w:spacing w:before="0" w:after="60" w:line="252" w:lineRule="auto"/>
        <w:ind w:left="340" w:hanging="283"/>
      </w:pPr>
      <w:r>
        <w:rPr>
          <w:rFonts w:ascii="Arial" w:hAnsi="Arial" w:eastAsia="Arial"/>
          <w:b w:val="0"/>
          <w:color w:val="000000"/>
          <w:sz w:val="20"/>
        </w:rPr>
        <w:t>3. Сценарий квалификации клиента и перечень данных для предпродажной проверки.</w:t>
      </w:r>
    </w:p>
    <w:p>
      <w:pPr>
        <w:pStyle w:val="Body"/>
        <w:keepNext w:val="0"/>
        <w:keepLines w:val="0"/>
        <w:spacing w:before="0" w:after="60" w:line="252" w:lineRule="auto"/>
        <w:ind w:left="340" w:hanging="283"/>
      </w:pPr>
      <w:r>
        <w:rPr>
          <w:rFonts w:ascii="Arial" w:hAnsi="Arial" w:eastAsia="Arial"/>
          <w:b w:val="0"/>
          <w:color w:val="000000"/>
          <w:sz w:val="20"/>
        </w:rPr>
        <w:t>4. Демонстрационный набор реального объекта с входными данными и результатами.</w:t>
      </w:r>
    </w:p>
    <w:p>
      <w:pPr>
        <w:pStyle w:val="Body"/>
        <w:keepNext w:val="0"/>
        <w:keepLines w:val="0"/>
        <w:spacing w:before="0" w:after="60" w:line="252" w:lineRule="auto"/>
        <w:ind w:left="340" w:hanging="283"/>
      </w:pPr>
      <w:r>
        <w:rPr>
          <w:rFonts w:ascii="Arial" w:hAnsi="Arial" w:eastAsia="Arial"/>
          <w:b w:val="0"/>
          <w:color w:val="000000"/>
          <w:sz w:val="20"/>
        </w:rPr>
        <w:t>5. Калькулятор экономического эффекта: предотвращённые потери, трудозатраты и срок окупаемости.</w:t>
      </w:r>
    </w:p>
    <w:p>
      <w:pPr>
        <w:pStyle w:val="Body"/>
        <w:keepNext w:val="0"/>
        <w:keepLines w:val="0"/>
        <w:spacing w:before="0" w:after="60" w:line="252" w:lineRule="auto"/>
        <w:ind w:left="340" w:hanging="283"/>
      </w:pPr>
      <w:r>
        <w:rPr>
          <w:rFonts w:ascii="Arial" w:hAnsi="Arial" w:eastAsia="Arial"/>
          <w:b w:val="0"/>
          <w:color w:val="000000"/>
          <w:sz w:val="20"/>
        </w:rPr>
        <w:t>6. Типовое коммерческое предложение и техническое описание архитектуры.</w:t>
      </w:r>
    </w:p>
    <w:p>
      <w:pPr>
        <w:pStyle w:val="Body"/>
        <w:keepNext w:val="0"/>
        <w:keepLines w:val="0"/>
        <w:spacing w:before="0" w:after="60" w:line="252" w:lineRule="auto"/>
        <w:ind w:left="340" w:hanging="283"/>
      </w:pPr>
      <w:r>
        <w:rPr>
          <w:rFonts w:ascii="Arial" w:hAnsi="Arial" w:eastAsia="Arial"/>
          <w:b w:val="0"/>
          <w:color w:val="000000"/>
          <w:sz w:val="20"/>
        </w:rPr>
        <w:t>7. Ответы на типовые вопросы по безопасности, данным, интеграциям и правам на результат.</w:t>
      </w:r>
    </w:p>
    <w:p>
      <w:pPr>
        <w:pStyle w:val="Heading1"/>
        <w:keepNext/>
        <w:keepLines w:val="0"/>
        <w:spacing w:before="200" w:after="60" w:line="240" w:lineRule="auto"/>
      </w:pPr>
      <w:r>
        <w:rPr>
          <w:rFonts w:ascii="Arial" w:hAnsi="Arial" w:eastAsia="Arial"/>
          <w:b/>
          <w:color w:val="20252B"/>
          <w:sz w:val="30"/>
        </w:rPr>
        <w:t>10. РЫНОК И ПОТЕНЦИАЛ МАСШТАБИРОВАНИЯ</w:t>
      </w:r>
    </w:p>
    <w:p>
      <w:pPr>
        <w:keepNext w:val="0"/>
        <w:keepLines w:val="0"/>
        <w:spacing w:before="0" w:after="120" w:line="240" w:lineRule="auto"/>
        <w:pBdr>
          <w:bottom w:val="single" w:sz="10" w:space="1" w:color="C6232A"/>
        </w:pBdr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10.1. Рынок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C6232A"/>
          <w:sz w:val="16"/>
        </w:rPr>
        <w:t>[ФАКТ]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По данным Единого ресурса застройщиков (ЕРЗ.РФ), в рейтинге текущего строительства на август 2026 года отражено 2 939 застройщиков. Это верхняя база для дальнейшей сегментации жилищного строительства; она не равна количеству целевых клиентов СтройИнтеллекта.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8A5A00"/>
          <w:sz w:val="16"/>
        </w:rPr>
        <w:t>[ОЦЕНКА]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Рабочая оценка целевого сегмента после отбора по масштабу, числу проектов, цифровой зрелости и способности покупать внедрение стоимостью 20–25 млн ₽ с НДС 22% — 300–700 компаний.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8A5A00"/>
          <w:sz w:val="16"/>
        </w:rPr>
        <w:t>[ОЦЕНКА]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При указанном диапазоне клиентов и чеке теоретический доступный рынок составляет около 6–17,5 млрд ₽ с НДС 22%. Эта величина предназначена только для внутренней оценки и должна быть пересчитана после сегментации базы ЕРЗ.</w:t>
      </w:r>
    </w:p>
    <w:p>
      <w:pPr>
        <w:keepNext w:val="0"/>
        <w:keepLines w:val="0"/>
        <w:spacing w:before="40" w:after="100" w:line="252" w:lineRule="auto"/>
      </w:pPr>
      <w:r>
        <w:rPr>
          <w:rFonts w:ascii="Arial" w:hAnsi="Arial" w:eastAsia="Arial"/>
          <w:b w:val="0"/>
          <w:i/>
          <w:color w:val="5E6670"/>
          <w:sz w:val="17"/>
        </w:rPr>
        <w:t>Источник по числу застройщиков: ЕРЗ.РФ [8], данные на август 2026 года.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10.2. Практически достижимый рынок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1701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Горизонт</w:t>
            </w:r>
          </w:p>
        </w:tc>
        <w:tc>
          <w:tcPr>
            <w:tcW w:type="dxa" w:w="2721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Рабочий сценарий продаж</w:t>
            </w:r>
          </w:p>
        </w:tc>
        <w:tc>
          <w:tcPr>
            <w:tcW w:type="dxa" w:w="3798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Выручка при среднем чеке 22,5 млн ₽ с НДС 22%</w:t>
            </w:r>
          </w:p>
        </w:tc>
        <w:tc>
          <w:tcPr>
            <w:tcW w:type="dxa" w:w="1417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 месяцев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4–6 клиентов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90–135 млн ₽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Оценка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24 месяца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10–15 клиентов в год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225–337,5 млн ₽ в год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Оценка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36 месяцев</w:t>
            </w:r>
          </w:p>
        </w:tc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20–30 клиентов в год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450–675 млн ₽ в год</w:t>
            </w:r>
          </w:p>
        </w:tc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Оценка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before="40" w:after="100" w:line="252" w:lineRule="auto"/>
      </w:pPr>
      <w:r>
        <w:rPr>
          <w:rFonts w:ascii="Arial" w:hAnsi="Arial" w:eastAsia="Arial"/>
          <w:b w:val="0"/>
          <w:i/>
          <w:color w:val="5E6670"/>
          <w:sz w:val="17"/>
        </w:rPr>
        <w:t>Сценарий достижим только при стандартизации внедрения и способности производства вести несколько клиентов параллельно.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10.3. Возможности масштабирования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типовые интеграции с распространёнными строительными и учётными системами;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стандартизированная опорная база и методика калибровки;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портфельный режим по нескольким объектам;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специализированные экраны по КС-2/КС-3, снабжению и договорам;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расширение на промышленное и инфраструктурное строительство;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партнёрские продажи и интеграции через поставщиков строительного ПО.</w:t>
      </w:r>
    </w:p>
    <w:p>
      <w:pPr>
        <w:pStyle w:val="Heading1"/>
        <w:keepNext/>
        <w:keepLines w:val="0"/>
        <w:spacing w:before="200" w:after="60" w:line="240" w:lineRule="auto"/>
      </w:pPr>
      <w:r>
        <w:rPr>
          <w:rFonts w:ascii="Arial" w:hAnsi="Arial" w:eastAsia="Arial"/>
          <w:b/>
          <w:color w:val="20252B"/>
          <w:sz w:val="30"/>
        </w:rPr>
        <w:t>11. ГОТОВНОСТЬ К ВНЕДРЕНИЮ И ЭКСПЛУАТАЦИИ</w:t>
      </w:r>
    </w:p>
    <w:p>
      <w:pPr>
        <w:keepNext w:val="0"/>
        <w:keepLines w:val="0"/>
        <w:spacing w:before="0" w:after="120" w:line="240" w:lineRule="auto"/>
        <w:pBdr>
          <w:bottom w:val="single" w:sz="10" w:space="1" w:color="C6232A"/>
        </w:pBdr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11.1. Архитектурная модель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C6232A"/>
          <w:sz w:val="16"/>
        </w:rPr>
        <w:t>[ФАКТ]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Основная модель — размещение всех базовых компонентов СтройИнтеллекта в инфраструктуре заказчика. Языковые модели с открытыми весами размещаются локально; коммерчески чувствительные документы, опорная база, извлечённые позиции, исторические данные и результаты расчётов обрабатываются внутри контура заказчика.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C6232A"/>
          <w:sz w:val="16"/>
        </w:rPr>
        <w:t>[ФАКТ]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Внешний контур допускается только для процессов, требующих внешних источников или моделей. Передача выполняется после анонимизации и маскирования данных по заранее согласованному регламенту и фиксируется в журнале.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11.2. Интеграции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C6232A"/>
          <w:sz w:val="16"/>
        </w:rPr>
        <w:t>[ФАКТ]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API (Application Programming Interface — программный интерфейс взаимодействия систем) используется для получения и передачи структурированных данных при наличии доступного интерфейса со стороны систем заказчика.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608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Источник / система</w:t>
            </w:r>
          </w:p>
        </w:tc>
        <w:tc>
          <w:tcPr>
            <w:tcW w:type="dxa" w:w="3572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Способ</w:t>
            </w:r>
          </w:p>
        </w:tc>
        <w:tc>
          <w:tcPr>
            <w:tcW w:type="dxa" w:w="3458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Статус текущего продукта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StorHaus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Интеграция через программные интерфейсы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Входит в текущий проект АПРИ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Иные системы заказчика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API при наличии доступной документации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Поддерживается как механизм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Структурированные файлы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Выделенный каталог, проверка структуры, загрузка в базу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Поддерживается</w:t>
            </w:r>
          </w:p>
        </w:tc>
      </w:tr>
      <w:tr>
        <w:trPr>
          <w:cantSplit/>
        </w:trPr>
        <w:tc>
          <w:tcPr>
            <w:tcW w:type="dxa" w:w="2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1С и другие системы</w:t>
            </w:r>
          </w:p>
        </w:tc>
        <w:tc>
          <w:tcPr>
            <w:tcW w:type="dxa" w:w="35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Специализированные коннекторы</w:t>
            </w:r>
          </w:p>
        </w:tc>
        <w:tc>
          <w:tcPr>
            <w:tcW w:type="dxa" w:w="345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Отдельные работы; не входят в текущий базовый объём</w:t>
            </w:r>
          </w:p>
        </w:tc>
      </w:tr>
    </w:tbl>
    <w:p>
      <w:pPr>
        <w:spacing w:after="20"/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11.3. Данные и информационная безопасность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источники: сметы, коммерческие предложения, ведомости объёмов, договоры, данные форм КС-2 и КС-3, параметры финансирования, историческая себестоимость;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данные заказчика и сформированные на них результаты остаются в его контуре;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данные заказчика не используются для обучения моделей, применяемых у третьих лиц;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для внешнего контура обязательны анонимизация, маскирование и журналирование;</w:t>
      </w:r>
    </w:p>
    <w:p>
      <w:pPr>
        <w:pStyle w:val="Bullet"/>
        <w:keepNext w:val="0"/>
        <w:keepLines w:val="0"/>
        <w:spacing w:before="0" w:after="54" w:line="252" w:lineRule="auto"/>
        <w:ind w:left="283" w:hanging="170"/>
      </w:pPr>
      <w:r>
        <w:rPr>
          <w:rFonts w:ascii="Arial" w:hAnsi="Arial" w:eastAsia="Arial"/>
          <w:b w:val="0"/>
          <w:color w:val="000000"/>
          <w:sz w:val="20"/>
        </w:rPr>
        <w:t>• до утверждения регламента передачи данных система работает только во внутреннем контуре.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11.4. Права на продукт и поддержку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5159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Объект права / услуги</w:t>
            </w:r>
          </w:p>
        </w:tc>
        <w:tc>
          <w:tcPr>
            <w:tcW w:type="dxa" w:w="4479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Модель</w:t>
            </w:r>
          </w:p>
        </w:tc>
      </w:tr>
      <w:tr>
        <w:trPr>
          <w:cantSplit/>
        </w:trPr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Тиражируемое ядро, универсальные компоненты кода, алгоритмы, методики, обезличенный обучающий массив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Сохраняются за 7КЛ</w:t>
            </w:r>
          </w:p>
        </w:tc>
      </w:tr>
      <w:tr>
        <w:trPr>
          <w:cantSplit/>
        </w:trPr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Право клиента на внедрённую систему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Бессрочное неисключительное право для собственной хозяйственной деятельности</w:t>
            </w:r>
          </w:p>
        </w:tc>
      </w:tr>
      <w:tr>
        <w:trPr>
          <w:cantSplit/>
        </w:trPr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Данные, документы, результаты обработки и отчёты клиента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Принадлежат клиенту</w:t>
            </w:r>
          </w:p>
        </w:tc>
      </w:tr>
      <w:tr>
        <w:trPr>
          <w:cantSplit/>
        </w:trPr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Опорная база, созданная на материалах клиента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Принадлежит клиенту и остаётся в его контуре</w:t>
            </w:r>
          </w:p>
        </w:tc>
      </w:tr>
      <w:tr>
        <w:trPr>
          <w:cantSplit/>
        </w:trPr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Гарантия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 месяцев с даты приёмки; устранение дефектов и восстановление работоспособности программных компонентов</w:t>
            </w:r>
          </w:p>
        </w:tc>
      </w:tr>
      <w:tr>
        <w:trPr>
          <w:cantSplit/>
        </w:trPr>
        <w:tc>
          <w:tcPr>
            <w:tcW w:type="dxa" w:w="515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Развитие и расширенная поддержка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Отдельный договор</w:t>
            </w:r>
          </w:p>
        </w:tc>
      </w:tr>
    </w:tbl>
    <w:p>
      <w:pPr>
        <w:spacing w:after="20"/>
      </w:pPr>
    </w:p>
    <w:p>
      <w:pPr>
        <w:pStyle w:val="Heading1"/>
        <w:keepNext/>
        <w:keepLines w:val="0"/>
        <w:spacing w:before="200" w:after="60" w:line="240" w:lineRule="auto"/>
      </w:pPr>
      <w:r>
        <w:rPr>
          <w:rFonts w:ascii="Arial" w:hAnsi="Arial" w:eastAsia="Arial"/>
          <w:b/>
          <w:color w:val="20252B"/>
          <w:sz w:val="30"/>
        </w:rPr>
        <w:t>12. РЕСУРСЫ, ПОЭТАПНЫЙ ПЛАН И ЭКОНОМИКА СОЗДАНИЯ</w:t>
      </w:r>
    </w:p>
    <w:p>
      <w:pPr>
        <w:keepNext w:val="0"/>
        <w:keepLines w:val="0"/>
        <w:spacing w:before="0" w:after="120" w:line="240" w:lineRule="auto"/>
        <w:pBdr>
          <w:bottom w:val="single" w:sz="10" w:space="1" w:color="C6232A"/>
        </w:pBdr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12.1. Команда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551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Роль</w:t>
            </w:r>
          </w:p>
        </w:tc>
        <w:tc>
          <w:tcPr>
            <w:tcW w:type="dxa" w:w="5102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Задача</w:t>
            </w:r>
          </w:p>
        </w:tc>
        <w:tc>
          <w:tcPr>
            <w:tcW w:type="dxa" w:w="1984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Статус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Владелец продукта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Приоритеты, экономика, продуктовые решения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Не назначен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Отраслевой руководитель / эксперт техзаказчика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Методология, качество результатов, развитие сценариев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Необходимо закрепить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Бизнес-аналитик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Процессы, требования, данные и сценарии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Необходим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Архитектор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Архитектура продукта и интеграций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Необходим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Разработчики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Приложение, расчётный модуль, интеграции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Необходимы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Данные и машинное обучение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Модель, калибровка, оценка качества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Необходимы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DevOps (практики совместной разработки, поставки и эксплуатации программного обеспечения)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Развёртывание и эксплуатационная готовность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Необходим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Контроль качества и тестирование (QA — Quality Assurance)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Тестирование и регрессия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Необходим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Руководитель проекта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План, зависимости, работа с заказчиком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Необходим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Коммерческий блок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Квалификация, демонстрация, продажи</w:t>
            </w:r>
          </w:p>
        </w:tc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Необходим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before="40" w:after="100" w:line="252" w:lineRule="auto"/>
      </w:pPr>
      <w:r>
        <w:rPr>
          <w:rFonts w:ascii="Arial" w:hAnsi="Arial" w:eastAsia="Arial"/>
          <w:b w:val="0"/>
          <w:i/>
          <w:color w:val="5E6670"/>
          <w:sz w:val="17"/>
        </w:rPr>
        <w:t>Для промышленного продукта требуется независимый экспертный слой по сметам, производственно-технической функции, снабжению и экономике строительства. Это снижает риск зависимости качества от одного отраслевого эксперта.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12.2. Поэтапный план развития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2154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5"/>
              </w:rPr>
              <w:t>Этап</w:t>
            </w:r>
          </w:p>
        </w:tc>
        <w:tc>
          <w:tcPr>
            <w:tcW w:type="dxa" w:w="2551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5"/>
              </w:rPr>
              <w:t>Цель</w:t>
            </w:r>
          </w:p>
        </w:tc>
        <w:tc>
          <w:tcPr>
            <w:tcW w:type="dxa" w:w="2381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5"/>
              </w:rPr>
              <w:t>Срок / условие</w:t>
            </w:r>
          </w:p>
        </w:tc>
        <w:tc>
          <w:tcPr>
            <w:tcW w:type="dxa" w:w="2551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5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1. Коммерческая упаковка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Подготовить продажу на рынок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2–3 недели — оценка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Презентация, одностраничник, демонстрационный сценарий, квалификация, калькулятор эффекта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2. Проверка рынка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Проверить ценность и качество на данных новых компаний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3–5 квалифицированных клиентов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Фактическая точность, найденный эффект, возражения и готовность покупать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3. Первое промышленное внедрение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Встроить продукт в бизнес-процесс клиента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135 календарных дней — текущий ориентир АПРИ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Работающий референс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4. Продуктизация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Разделить стандарт и кастомизацию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После 2–3 внедрений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Типовое ядро, конфигурация клиента, интеграции, норматив трудозатрат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5. Масштабирование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Увеличить число параллельных внедрений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После подтверждения экономики</w:t>
            </w:r>
          </w:p>
        </w:tc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Типовые интеграции, партнёрский канал, серийная модель</w:t>
            </w:r>
          </w:p>
        </w:tc>
      </w:tr>
    </w:tbl>
    <w:p>
      <w:pPr>
        <w:spacing w:after="20"/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12.3. Инвестиции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5E6670"/>
          <w:sz w:val="16"/>
        </w:rPr>
        <w:t>[НЕ ОПРЕДЕЛЕНО]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Отдельный бюджет инвестиций в превращение существующего ядра в тиражируемый продукт не определён. Стоимость проекта АПРИ 22,5 млн ₽ с НДС 22% — это цена клиентского внедрения и не должна использоваться как оценка внутренних инвестиций в продукт.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5E6670"/>
          <w:sz w:val="16"/>
        </w:rPr>
        <w:t>[ГИПОТЕЗА]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Для принятия продуктового решения требуется разделить три группы затрат: уже созданные универсальные компоненты 7КЛ; компоненты, создаваемые для первого заказчика; одноразовые инвестиции в тиражируемую продуктовую версию.</w:t>
      </w:r>
    </w:p>
    <w:p>
      <w:pPr>
        <w:pStyle w:val="Heading1"/>
        <w:keepNext/>
        <w:keepLines w:val="0"/>
        <w:spacing w:before="200" w:after="60" w:line="240" w:lineRule="auto"/>
      </w:pPr>
      <w:r>
        <w:rPr>
          <w:rFonts w:ascii="Arial" w:hAnsi="Arial" w:eastAsia="Arial"/>
          <w:b/>
          <w:color w:val="20252B"/>
          <w:sz w:val="30"/>
        </w:rPr>
        <w:t>13. КЛЮЧЕВЫЕ ГИПОТЕЗЫ И РИСКИ</w:t>
      </w:r>
    </w:p>
    <w:p>
      <w:pPr>
        <w:keepNext w:val="0"/>
        <w:keepLines w:val="0"/>
        <w:spacing w:before="0" w:after="120" w:line="240" w:lineRule="auto"/>
        <w:pBdr>
          <w:bottom w:val="single" w:sz="10" w:space="1" w:color="C6232A"/>
        </w:pBdr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13.1. Основные гипотезы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4139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Гипотеза</w:t>
            </w:r>
          </w:p>
        </w:tc>
        <w:tc>
          <w:tcPr>
            <w:tcW w:type="dxa" w:w="3118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Как проверить</w:t>
            </w:r>
          </w:p>
        </w:tc>
        <w:tc>
          <w:tcPr>
            <w:tcW w:type="dxa" w:w="2381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6"/>
              </w:rPr>
              <w:t>Критерий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Проблема достаточно дорогая, чтобы клиент платил 20–25 млн ₽ с НДС 22%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10–15 интервью и квалифицированных встреч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У клиента есть конкретные подтверждённые потери / трудозатраты и бюджет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Демонстрационный расчёт на данных клиента снимает недоверие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 предпродажных проверок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Переход к обсуждению внедрения после сравнения с фактом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Экономический эффект заметно превышает цену продукта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Считать предотвращённые потери на каждом пилоте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Положительный бизнес-кейс клиента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Модель сохраняет качество на данных разных девелоперов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Контрольные объекты минимум 3 клиентов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Стабильные показатели приёмки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Цена 20–25 млн ₽ оптимальна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Тест коммерческих предложений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Приемлемая конверсия без системного снижения цены</w:t>
            </w:r>
          </w:p>
        </w:tc>
      </w:tr>
      <w:tr>
        <w:trPr>
          <w:cantSplit/>
        </w:trPr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Интеграции можно стандартизировать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Разбор первых 3 внедрений</w:t>
            </w:r>
          </w:p>
        </w:tc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Снижение доли уникальной разработки</w:t>
            </w:r>
          </w:p>
        </w:tc>
      </w:tr>
    </w:tbl>
    <w:p>
      <w:pPr>
        <w:spacing w:after="20"/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13.2. Ключевые риски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</w:trPr>
        <w:tc>
          <w:tcPr>
            <w:tcW w:type="dxa" w:w="3231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5"/>
              </w:rPr>
              <w:t>Риск</w:t>
            </w:r>
          </w:p>
        </w:tc>
        <w:tc>
          <w:tcPr>
            <w:tcW w:type="dxa" w:w="1531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5"/>
              </w:rPr>
              <w:t>Вероятность</w:t>
            </w:r>
          </w:p>
        </w:tc>
        <w:tc>
          <w:tcPr>
            <w:tcW w:type="dxa" w:w="1531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5"/>
              </w:rPr>
              <w:t>Влияние</w:t>
            </w:r>
          </w:p>
        </w:tc>
        <w:tc>
          <w:tcPr>
            <w:tcW w:type="dxa" w:w="3345"/>
            <w:shd w:fill="ECEF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5"/>
              </w:rPr>
              <w:t>Как снижать</w:t>
            </w:r>
          </w:p>
        </w:tc>
      </w:tr>
      <w:tr>
        <w:trPr>
          <w:cantSplit/>
        </w:trPr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Недостаточный платежеспособный спрос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Средняя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Высокое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Проверить 10–15 ICP до масштабной разработки</w:t>
            </w:r>
          </w:p>
        </w:tc>
      </w:tr>
      <w:tr>
        <w:trPr>
          <w:cantSplit/>
        </w:trPr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Экономический эффект ниже цены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Средняя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Высокое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Считать эффект на закрытых объектах до сделки</w:t>
            </w:r>
          </w:p>
        </w:tc>
      </w:tr>
      <w:tr>
        <w:trPr>
          <w:cantSplit/>
        </w:trPr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Точность модели нестабильна между клиентами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Средняя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Высокое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Контрольные наборы, калибровка, экспертная верификация</w:t>
            </w:r>
          </w:p>
        </w:tc>
      </w:tr>
      <w:tr>
        <w:trPr>
          <w:cantSplit/>
        </w:trPr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Высокая стоимость интеграций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Высокая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Высокое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Типовые коннекторы и чёткая граница базового внедрения</w:t>
            </w:r>
          </w:p>
        </w:tc>
      </w:tr>
      <w:tr>
        <w:trPr>
          <w:cantSplit/>
        </w:trPr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Недостаточное качество данных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Высокая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Среднее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Предварительное обследование и требования к исходным данным</w:t>
            </w:r>
          </w:p>
        </w:tc>
      </w:tr>
      <w:tr>
        <w:trPr>
          <w:cantSplit/>
        </w:trPr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Ограничения информационной безопасности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Средняя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Высокое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Локальная архитектура, регламент внешнего контура, журналирование</w:t>
            </w:r>
          </w:p>
        </w:tc>
      </w:tr>
      <w:tr>
        <w:trPr>
          <w:cantSplit/>
        </w:trPr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Слишком длинный цикл корпоративной продажи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Средняя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Высокое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Предпродажный расчёт и работа с экономическим покупателем</w:t>
            </w:r>
          </w:p>
        </w:tc>
      </w:tr>
      <w:tr>
        <w:trPr>
          <w:cantSplit/>
        </w:trPr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Значительная кастомизация каждого внедрения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Высокая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Высокое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После 2–3 проектов стандартизировать ядро и интеграционный слой</w:t>
            </w:r>
          </w:p>
        </w:tc>
      </w:tr>
      <w:tr>
        <w:trPr>
          <w:cantSplit/>
        </w:trPr>
        <w:tc>
          <w:tcPr>
            <w:tcW w:type="dxa" w:w="32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Юридическое смешение с функцией технического заказчика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Средняя</w:t>
            </w:r>
          </w:p>
        </w:tc>
        <w:tc>
          <w:tcPr>
            <w:tcW w:type="dxa" w:w="153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Высокое</w:t>
            </w:r>
          </w:p>
        </w:tc>
        <w:tc>
          <w:tcPr>
            <w:tcW w:type="dxa" w:w="33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5"/>
              </w:rPr>
              <w:t>Во всех материалах фиксировать: продукт — цифровой инструмент службы, не юридический технический заказчик</w:t>
            </w:r>
          </w:p>
        </w:tc>
      </w:tr>
    </w:tbl>
    <w:p>
      <w:pPr>
        <w:spacing w:after="20"/>
      </w:pPr>
    </w:p>
    <w:p>
      <w:pPr>
        <w:keepNext w:val="0"/>
        <w:keepLines w:val="0"/>
        <w:spacing w:before="40" w:after="100" w:line="252" w:lineRule="auto"/>
      </w:pPr>
      <w:r>
        <w:rPr>
          <w:rFonts w:ascii="Arial" w:hAnsi="Arial" w:eastAsia="Arial"/>
          <w:b w:val="0"/>
          <w:i/>
          <w:color w:val="5E6670"/>
          <w:sz w:val="17"/>
        </w:rPr>
        <w:t>Главный технологический риск — принять готовность интеллектуального ядра за готовность серийного промышленного продукта. Главный коммерческий риск — подтвердить точность расчёта, но не подтвердить финансовый эффект.</w:t>
      </w:r>
    </w:p>
    <w:p>
      <w:pPr>
        <w:pStyle w:val="Heading1"/>
        <w:keepNext/>
        <w:keepLines w:val="0"/>
        <w:spacing w:before="200" w:after="60" w:line="240" w:lineRule="auto"/>
      </w:pPr>
      <w:r>
        <w:rPr>
          <w:rFonts w:ascii="Arial" w:hAnsi="Arial" w:eastAsia="Arial"/>
          <w:b/>
          <w:color w:val="20252B"/>
          <w:sz w:val="30"/>
        </w:rPr>
        <w:t>14. ИТОГОВОЕ РЕЗЮМЕ КОНЦЕПЦИИ</w:t>
      </w:r>
    </w:p>
    <w:p>
      <w:pPr>
        <w:keepNext w:val="0"/>
        <w:keepLines w:val="0"/>
        <w:spacing w:before="0" w:after="120" w:line="240" w:lineRule="auto"/>
        <w:pBdr>
          <w:bottom w:val="single" w:sz="10" w:space="1" w:color="C6232A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DE2"/>
          <w:left w:val="single" w:sz="4" w:space="0" w:color="D9DDE2"/>
          <w:bottom w:val="single" w:sz="4" w:space="0" w:color="D9DDE2"/>
          <w:right w:val="single" w:sz="4" w:space="0" w:color="D9DDE2"/>
          <w:insideH w:val="single" w:sz="4" w:space="0" w:color="D9DDE2"/>
          <w:insideV w:val="single" w:sz="4" w:space="0" w:color="D9DDE2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shd w:fill="FBECE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7"/>
              </w:rPr>
              <w:t>Параметр</w:t>
            </w:r>
          </w:p>
        </w:tc>
        <w:tc>
          <w:tcPr>
            <w:tcW w:type="dxa" w:w="7257"/>
            <w:shd w:fill="FBECEE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color w:val="20252B"/>
                <w:sz w:val="17"/>
              </w:rPr>
              <w:t>Резюме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Продукт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СтройИнтеллект — цифровая служба технического заказчика, объединяющая расчётную модель, опорную базу и девять специализированных ИИ-агентов для финансово-технического контроля строительства.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Клиент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Средний и крупный застройщик, девелопер или корпоративный заказчик капитального строительства с несколькими объектами и значительными подрядными бюджетами.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Проблема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Расчётные, технические, финансовые и договорные проверки распределены между подразделениями; опыт прошлых объектов используется фрагментарно; финансово значимые отклонения могут выявляться слишком поздно.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Измеримая ценность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Предотвращённые переплаты и ошибки, сокращение времени экспертной проверки, рост полноты контроля и повышение предсказуемости экономики объекта.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Почему 7КЛ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Существующее интеллектуальное ядро, массив более чем по 250 строительным объектам, собственная расчётно-аналитическая модель, агентная архитектура и опыт корпоративного внедрения ИТ-систем.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Первая продажа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Предпродажный расчёт 1–2 закрытых объектов → подтверждение результата → промышленное внедрение.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Рабочая цена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Типовое внедрение: 20–25 млн ₽ с НДС 22% — гипотеза; текущая подтверждённая цена проекта АПРИ: 22,5 млн ₽ с НДС 22%.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Требуемые инвестиции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Отдельно не определены; требуется выделить универсальную продуктовую разработку из клиентского проекта.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Потенциал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keepNext w:val="0"/>
              <w:keepLines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Рабочий ICP-сегмент: 300–700 компаний; оценка требует сегментации базы ЕРЗ и проверки доступности клиентов для 7КЛ.</w:t>
            </w:r>
          </w:p>
        </w:tc>
      </w:tr>
    </w:tbl>
    <w:p>
      <w:pPr>
        <w:spacing w:after="20"/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14.1. Главные непроверенные гипотезы</w:t>
      </w:r>
    </w:p>
    <w:p>
      <w:pPr>
        <w:pStyle w:val="Body"/>
        <w:keepNext w:val="0"/>
        <w:keepLines w:val="0"/>
        <w:spacing w:before="0" w:after="60" w:line="252" w:lineRule="auto"/>
        <w:ind w:left="340" w:hanging="283"/>
      </w:pPr>
      <w:r>
        <w:rPr>
          <w:rFonts w:ascii="Arial" w:hAnsi="Arial" w:eastAsia="Arial"/>
          <w:b w:val="0"/>
          <w:color w:val="000000"/>
          <w:sz w:val="20"/>
        </w:rPr>
        <w:t>1. Экономический эффект клиента устойчиво превышает стоимость внедрения.</w:t>
      </w:r>
    </w:p>
    <w:p>
      <w:pPr>
        <w:pStyle w:val="Body"/>
        <w:keepNext w:val="0"/>
        <w:keepLines w:val="0"/>
        <w:spacing w:before="0" w:after="60" w:line="252" w:lineRule="auto"/>
        <w:ind w:left="340" w:hanging="283"/>
      </w:pPr>
      <w:r>
        <w:rPr>
          <w:rFonts w:ascii="Arial" w:hAnsi="Arial" w:eastAsia="Arial"/>
          <w:b w:val="0"/>
          <w:color w:val="000000"/>
          <w:sz w:val="20"/>
        </w:rPr>
        <w:t>2. Качество модели воспроизводится на данных различных строительных компаний.</w:t>
      </w:r>
    </w:p>
    <w:p>
      <w:pPr>
        <w:pStyle w:val="Body"/>
        <w:keepNext w:val="0"/>
        <w:keepLines w:val="0"/>
        <w:spacing w:before="0" w:after="60" w:line="252" w:lineRule="auto"/>
        <w:ind w:left="340" w:hanging="283"/>
      </w:pPr>
      <w:r>
        <w:rPr>
          <w:rFonts w:ascii="Arial" w:hAnsi="Arial" w:eastAsia="Arial"/>
          <w:b w:val="0"/>
          <w:color w:val="000000"/>
          <w:sz w:val="20"/>
        </w:rPr>
        <w:t>3. После первых внедрений значительную часть адаптации и интеграции можно стандартизировать.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14.2. Следующее необходимое действие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5E6670"/>
          <w:sz w:val="16"/>
        </w:rPr>
        <w:t>[ГИПОТЕЗА]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Приоритет на ближайший этап — проверка коммерческой гипотезы на 5–10 строительных компаниях: квалификация → 1–2 закрытых объекта → расчёт СтройИнтеллектом → сравнение с фактом → расчёт найденного финансового эффекта → предложение внедрения.</w:t>
      </w:r>
    </w:p>
    <w:p>
      <w:pPr>
        <w:pStyle w:val="Body"/>
        <w:keepNext w:val="0"/>
        <w:keepLines w:val="0"/>
        <w:spacing w:before="0" w:after="100" w:line="259" w:lineRule="auto"/>
      </w:pPr>
      <w:r>
        <w:rPr>
          <w:rFonts w:ascii="Arial" w:hAnsi="Arial" w:eastAsia="Arial"/>
          <w:b/>
          <w:color w:val="5E6670"/>
          <w:sz w:val="16"/>
        </w:rPr>
        <w:t>[ГИПОТЕЗА]</w:t>
      </w:r>
      <w:r>
        <w:t xml:space="preserve"> </w:t>
      </w:r>
      <w:r>
        <w:rPr>
          <w:rFonts w:ascii="Arial" w:hAnsi="Arial" w:eastAsia="Arial"/>
          <w:b w:val="0"/>
          <w:color w:val="000000"/>
          <w:sz w:val="20"/>
        </w:rPr>
        <w:t>Параллельно первое промышленное внедрение должно дать продукту референс, фактические показатели точности, трудозатрат, экономического эффекта и доли уникальной интеграционной разработки.</w:t>
      </w:r>
    </w:p>
    <w:p>
      <w:pPr>
        <w:pStyle w:val="Heading1"/>
        <w:keepNext/>
        <w:keepLines w:val="0"/>
        <w:spacing w:before="200" w:after="60" w:line="240" w:lineRule="auto"/>
      </w:pPr>
      <w:r>
        <w:rPr>
          <w:rFonts w:ascii="Arial" w:hAnsi="Arial" w:eastAsia="Arial"/>
          <w:b/>
          <w:color w:val="20252B"/>
          <w:sz w:val="30"/>
        </w:rPr>
        <w:t>ИСТОЧНИКИ И ОСНОВАНИЯ</w:t>
      </w:r>
    </w:p>
    <w:p>
      <w:pPr>
        <w:keepNext w:val="0"/>
        <w:keepLines w:val="0"/>
        <w:spacing w:before="0" w:after="120" w:line="240" w:lineRule="auto"/>
        <w:pBdr>
          <w:bottom w:val="single" w:sz="10" w:space="1" w:color="C6232A"/>
        </w:pBdr>
      </w:pP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А. Внутренние материалы 7КЛ</w:t>
      </w:r>
    </w:p>
    <w:p>
      <w:pPr>
        <w:pStyle w:val="Body"/>
        <w:keepNext w:val="0"/>
        <w:keepLines w:val="0"/>
        <w:spacing w:before="0" w:after="60" w:line="240" w:lineRule="auto"/>
        <w:ind w:left="340" w:hanging="340"/>
      </w:pPr>
      <w:r>
        <w:rPr>
          <w:rFonts w:ascii="Arial" w:hAnsi="Arial" w:eastAsia="Arial"/>
          <w:b w:val="0"/>
          <w:color w:val="000000"/>
          <w:sz w:val="17"/>
        </w:rPr>
        <w:t>[1] Коммерческое предложение «СтройИнтеллект (Девелопмент)» для ПАО «АПРИ», редакция 3.0, 11.08.2026.</w:t>
      </w:r>
    </w:p>
    <w:p>
      <w:pPr>
        <w:pStyle w:val="Body"/>
        <w:keepNext w:val="0"/>
        <w:keepLines w:val="0"/>
        <w:spacing w:before="0" w:after="60" w:line="240" w:lineRule="auto"/>
        <w:ind w:left="340" w:hanging="340"/>
      </w:pPr>
      <w:r>
        <w:rPr>
          <w:rFonts w:ascii="Arial" w:hAnsi="Arial" w:eastAsia="Arial"/>
          <w:b w:val="0"/>
          <w:color w:val="000000"/>
          <w:sz w:val="17"/>
        </w:rPr>
        <w:t>[2] Техническое задание «СтройИнтеллект (Девелопмент)» — цифровая служба технического заказчика, редакция 2.0, 11.08.2026.</w:t>
      </w:r>
    </w:p>
    <w:p>
      <w:pPr>
        <w:pStyle w:val="Body"/>
        <w:keepNext w:val="0"/>
        <w:keepLines w:val="0"/>
        <w:spacing w:before="0" w:after="60" w:line="240" w:lineRule="auto"/>
        <w:ind w:left="340" w:hanging="340"/>
      </w:pPr>
      <w:r>
        <w:rPr>
          <w:rFonts w:ascii="Arial" w:hAnsi="Arial" w:eastAsia="Arial"/>
          <w:b w:val="0"/>
          <w:color w:val="000000"/>
          <w:sz w:val="17"/>
        </w:rPr>
        <w:t>[3] Транскрипт рабочей встречи «Планёрка по финансам», 11.08.2026: обсуждение переосмысления продукта, ценности, модели продаж и первых пилотов.</w:t>
      </w:r>
    </w:p>
    <w:p>
      <w:pPr>
        <w:pStyle w:val="Body"/>
        <w:keepNext w:val="0"/>
        <w:keepLines w:val="0"/>
        <w:spacing w:before="0" w:after="60" w:line="240" w:lineRule="auto"/>
        <w:ind w:left="340" w:hanging="340"/>
      </w:pPr>
      <w:r>
        <w:rPr>
          <w:rFonts w:ascii="Arial" w:hAnsi="Arial" w:eastAsia="Arial"/>
          <w:b w:val="0"/>
          <w:color w:val="000000"/>
          <w:sz w:val="17"/>
        </w:rPr>
        <w:t>[4] Шаблон «Концепция нового продукта» ООО «7 Красных Линий», 11.08.2026.</w:t>
      </w:r>
    </w:p>
    <w:p>
      <w:pPr>
        <w:pStyle w:val="Body"/>
        <w:keepNext w:val="0"/>
        <w:keepLines w:val="0"/>
        <w:spacing w:before="0" w:after="60" w:line="240" w:lineRule="auto"/>
        <w:ind w:left="340" w:hanging="340"/>
      </w:pPr>
      <w:r>
        <w:rPr>
          <w:rFonts w:ascii="Arial" w:hAnsi="Arial" w:eastAsia="Arial"/>
          <w:b w:val="0"/>
          <w:color w:val="000000"/>
          <w:sz w:val="17"/>
        </w:rPr>
        <w:t>[5] 7KL_DOCUMENT_QUALITY_RULES — единый стандарт качества документов 7КЛ.</w:t>
      </w:r>
    </w:p>
    <w:p>
      <w:pPr>
        <w:pStyle w:val="Heading2"/>
        <w:keepNext/>
        <w:keepLines w:val="0"/>
        <w:spacing w:before="140" w:after="60" w:line="240" w:lineRule="auto"/>
      </w:pPr>
      <w:r>
        <w:rPr>
          <w:rFonts w:ascii="Arial" w:hAnsi="Arial" w:eastAsia="Arial"/>
          <w:b/>
          <w:color w:val="20252B"/>
          <w:sz w:val="23"/>
        </w:rPr>
        <w:t>Б. Внешние источники</w:t>
      </w:r>
    </w:p>
    <w:p>
      <w:pPr>
        <w:pStyle w:val="Body"/>
        <w:keepNext w:val="0"/>
        <w:keepLines w:val="0"/>
        <w:spacing w:before="0" w:after="60" w:line="240" w:lineRule="auto"/>
        <w:ind w:left="340" w:hanging="340"/>
      </w:pPr>
      <w:r>
        <w:rPr>
          <w:rFonts w:ascii="Arial" w:hAnsi="Arial" w:eastAsia="Arial"/>
          <w:b w:val="0"/>
          <w:color w:val="000000"/>
          <w:sz w:val="17"/>
        </w:rPr>
        <w:t>[6] Минстрой России. «Доля работающих с технологиями информационного моделирования застройщиков увеличилась до 38%», 15.04.2025.</w:t>
      </w:r>
      <w:r>
        <w:rPr>
          <w:rFonts w:ascii="Arial" w:hAnsi="Arial" w:eastAsia="Arial"/>
          <w:b w:val="0"/>
          <w:color w:val="5E6670"/>
          <w:sz w:val="17"/>
        </w:rPr>
        <w:t xml:space="preserve"> — данные о распространении ТИМ</w:t>
      </w:r>
      <w:r>
        <w:t xml:space="preserve"> </w:t>
      </w:r>
      <w:hyperlink r:id="rId11">
        <w:r>
          <w:rPr>
            <w:color w:val="C6232A"/>
            <w:u w:val="single"/>
          </w:rPr>
          <w:t>https://www.minstroyrf.gov.ru/press/</w:t>
        </w:r>
      </w:hyperlink>
    </w:p>
    <w:p>
      <w:pPr>
        <w:pStyle w:val="Body"/>
        <w:keepNext w:val="0"/>
        <w:keepLines w:val="0"/>
        <w:spacing w:before="0" w:after="60" w:line="240" w:lineRule="auto"/>
        <w:ind w:left="340" w:hanging="340"/>
      </w:pPr>
      <w:r>
        <w:rPr>
          <w:rFonts w:ascii="Arial" w:hAnsi="Arial" w:eastAsia="Arial"/>
          <w:b w:val="0"/>
          <w:color w:val="000000"/>
          <w:sz w:val="17"/>
        </w:rPr>
        <w:t>[7] Правительство Российской Федерации. Стратегическое направление цифровой трансформации строительной отрасли до 2030 года, распоряжение от 02.03.2026 № 398-р.</w:t>
      </w:r>
      <w:r>
        <w:rPr>
          <w:rFonts w:ascii="Arial" w:hAnsi="Arial" w:eastAsia="Arial"/>
          <w:b w:val="0"/>
          <w:color w:val="5E6670"/>
          <w:sz w:val="17"/>
        </w:rPr>
        <w:t xml:space="preserve"> — цифровая среда и отечественное программное обеспечение</w:t>
      </w:r>
      <w:r>
        <w:t xml:space="preserve"> </w:t>
      </w:r>
      <w:hyperlink r:id="rId12">
        <w:r>
          <w:rPr>
            <w:color w:val="C6232A"/>
            <w:u w:val="single"/>
          </w:rPr>
          <w:t>https://government.ru/docs/all/163630/</w:t>
        </w:r>
      </w:hyperlink>
    </w:p>
    <w:p>
      <w:pPr>
        <w:pStyle w:val="Body"/>
        <w:keepNext w:val="0"/>
        <w:keepLines w:val="0"/>
        <w:spacing w:before="0" w:after="60" w:line="240" w:lineRule="auto"/>
        <w:ind w:left="340" w:hanging="340"/>
      </w:pPr>
      <w:r>
        <w:rPr>
          <w:rFonts w:ascii="Arial" w:hAnsi="Arial" w:eastAsia="Arial"/>
          <w:b w:val="0"/>
          <w:color w:val="000000"/>
          <w:sz w:val="17"/>
        </w:rPr>
        <w:t>[8] ЕРЗ.РФ. ТОП застройщиков Российской Федерации, август 2026.</w:t>
      </w:r>
      <w:r>
        <w:rPr>
          <w:rFonts w:ascii="Arial" w:hAnsi="Arial" w:eastAsia="Arial"/>
          <w:b w:val="0"/>
          <w:color w:val="5E6670"/>
          <w:sz w:val="17"/>
        </w:rPr>
        <w:t xml:space="preserve"> — 2 939 застройщиков в текущем рейтинге</w:t>
      </w:r>
      <w:r>
        <w:t xml:space="preserve"> </w:t>
      </w:r>
      <w:hyperlink r:id="rId13">
        <w:r>
          <w:rPr>
            <w:color w:val="C6232A"/>
            <w:u w:val="single"/>
          </w:rPr>
          <w:t>https://erzrf.ru/top-zastroyshchikov</w:t>
        </w:r>
      </w:hyperlink>
    </w:p>
    <w:p>
      <w:pPr>
        <w:pStyle w:val="Body"/>
        <w:keepNext w:val="0"/>
        <w:keepLines w:val="0"/>
        <w:spacing w:before="0" w:after="60" w:line="240" w:lineRule="auto"/>
        <w:ind w:left="340" w:hanging="340"/>
      </w:pPr>
      <w:r>
        <w:rPr>
          <w:rFonts w:ascii="Arial" w:hAnsi="Arial" w:eastAsia="Arial"/>
          <w:b w:val="0"/>
          <w:color w:val="000000"/>
          <w:sz w:val="17"/>
        </w:rPr>
        <w:t>[9] G-Tech. Официальное описание платформы цифровизации строительства.</w:t>
      </w:r>
      <w:r>
        <w:rPr>
          <w:rFonts w:ascii="Arial" w:hAnsi="Arial" w:eastAsia="Arial"/>
          <w:b w:val="0"/>
          <w:color w:val="5E6670"/>
          <w:sz w:val="17"/>
        </w:rPr>
        <w:t xml:space="preserve"> — среда общих данных, BIM-проверки, объёмы, тендеры, стройконтроль, планирование, бизнес-аналитика</w:t>
      </w:r>
      <w:r>
        <w:t xml:space="preserve"> </w:t>
      </w:r>
      <w:hyperlink r:id="rId14">
        <w:r>
          <w:rPr>
            <w:color w:val="C6232A"/>
            <w:u w:val="single"/>
          </w:rPr>
          <w:t>https://gmini.tech/</w:t>
        </w:r>
      </w:hyperlink>
    </w:p>
    <w:p>
      <w:pPr>
        <w:pStyle w:val="Body"/>
        <w:keepNext w:val="0"/>
        <w:keepLines w:val="0"/>
        <w:spacing w:before="0" w:after="60" w:line="240" w:lineRule="auto"/>
        <w:ind w:left="340" w:hanging="340"/>
      </w:pPr>
      <w:r>
        <w:rPr>
          <w:rFonts w:ascii="Arial" w:hAnsi="Arial" w:eastAsia="Arial"/>
          <w:b w:val="0"/>
          <w:color w:val="000000"/>
          <w:sz w:val="17"/>
        </w:rPr>
        <w:t>[10] Exon. Официальное описание платформы управления строительством.</w:t>
      </w:r>
      <w:r>
        <w:rPr>
          <w:rFonts w:ascii="Arial" w:hAnsi="Arial" w:eastAsia="Arial"/>
          <w:b w:val="0"/>
          <w:color w:val="5E6670"/>
          <w:sz w:val="17"/>
        </w:rPr>
        <w:t xml:space="preserve"> — документация, стройконтроль, актирование, аналитика</w:t>
      </w:r>
      <w:r>
        <w:t xml:space="preserve"> </w:t>
      </w:r>
      <w:hyperlink r:id="rId15">
        <w:r>
          <w:rPr>
            <w:color w:val="C6232A"/>
            <w:u w:val="single"/>
          </w:rPr>
          <w:t>https://1exon.ru/</w:t>
        </w:r>
      </w:hyperlink>
    </w:p>
    <w:p>
      <w:pPr>
        <w:pStyle w:val="Body"/>
        <w:keepNext w:val="0"/>
        <w:keepLines w:val="0"/>
        <w:spacing w:before="0" w:after="60" w:line="240" w:lineRule="auto"/>
        <w:ind w:left="340" w:hanging="340"/>
      </w:pPr>
      <w:r>
        <w:rPr>
          <w:rFonts w:ascii="Arial" w:hAnsi="Arial" w:eastAsia="Arial"/>
          <w:b w:val="0"/>
          <w:color w:val="000000"/>
          <w:sz w:val="17"/>
        </w:rPr>
        <w:t>[11] Tangl Value. Официальное описание продукта.</w:t>
      </w:r>
      <w:r>
        <w:rPr>
          <w:rFonts w:ascii="Arial" w:hAnsi="Arial" w:eastAsia="Arial"/>
          <w:b w:val="0"/>
          <w:color w:val="5E6670"/>
          <w:sz w:val="17"/>
        </w:rPr>
        <w:t xml:space="preserve"> — BIM/ТИМ-данные, объёмы и стоимость</w:t>
      </w:r>
      <w:r>
        <w:t xml:space="preserve"> </w:t>
      </w:r>
      <w:hyperlink r:id="rId16">
        <w:r>
          <w:rPr>
            <w:color w:val="C6232A"/>
            <w:u w:val="single"/>
          </w:rPr>
          <w:t>https://tangl.cloud/products/tangl-value/</w:t>
        </w:r>
      </w:hyperlink>
    </w:p>
    <w:p>
      <w:pPr>
        <w:pStyle w:val="Body"/>
        <w:keepNext w:val="0"/>
        <w:keepLines w:val="0"/>
        <w:spacing w:before="0" w:after="60" w:line="240" w:lineRule="auto"/>
        <w:ind w:left="340" w:hanging="340"/>
      </w:pPr>
      <w:r>
        <w:rPr>
          <w:rFonts w:ascii="Arial" w:hAnsi="Arial" w:eastAsia="Arial"/>
          <w:b w:val="0"/>
          <w:color w:val="000000"/>
          <w:sz w:val="17"/>
        </w:rPr>
        <w:t>[12] АЛТИУС — Управление строительством. Официальные продукты и порядок цен.</w:t>
      </w:r>
      <w:r>
        <w:rPr>
          <w:rFonts w:ascii="Arial" w:hAnsi="Arial" w:eastAsia="Arial"/>
          <w:b w:val="0"/>
          <w:color w:val="5E6670"/>
          <w:sz w:val="17"/>
        </w:rPr>
        <w:t xml:space="preserve"> — управленческий и финансовый учёт строительства</w:t>
      </w:r>
      <w:r>
        <w:t xml:space="preserve"> </w:t>
      </w:r>
      <w:hyperlink r:id="rId17">
        <w:r>
          <w:rPr>
            <w:color w:val="C6232A"/>
            <w:u w:val="single"/>
          </w:rPr>
          <w:t>https://www.altius.ru/program/stroit/</w:t>
        </w:r>
      </w:hyperlink>
    </w:p>
    <w:p>
      <w:pPr>
        <w:pStyle w:val="Body"/>
        <w:keepNext w:val="0"/>
        <w:keepLines w:val="0"/>
        <w:spacing w:before="0" w:after="60" w:line="240" w:lineRule="auto"/>
        <w:ind w:left="340" w:hanging="340"/>
      </w:pPr>
      <w:r>
        <w:rPr>
          <w:rFonts w:ascii="Arial" w:hAnsi="Arial" w:eastAsia="Arial"/>
          <w:b w:val="0"/>
          <w:color w:val="000000"/>
          <w:sz w:val="17"/>
        </w:rPr>
        <w:t>[13] Градостроительный кодекс Российской Федерации, ст. 1, п. 22 — определение технического заказчика.</w:t>
      </w:r>
      <w:r>
        <w:rPr>
          <w:rFonts w:ascii="Arial" w:hAnsi="Arial" w:eastAsia="Arial"/>
          <w:b w:val="0"/>
          <w:color w:val="5E6670"/>
          <w:sz w:val="17"/>
        </w:rPr>
        <w:t xml:space="preserve"> — актуальная редакция на дату подготовки концепции</w:t>
      </w:r>
      <w:r>
        <w:t xml:space="preserve"> </w:t>
      </w:r>
      <w:hyperlink r:id="rId18">
        <w:r>
          <w:rPr>
            <w:color w:val="C6232A"/>
            <w:u w:val="single"/>
          </w:rPr>
          <w:t>https://www.consultant.ru/document/cons_doc_LAW_51040/cdec16ec747f11f3a7a39c7303d03373e0ef91c4/</w:t>
        </w:r>
      </w:hyperlink>
    </w:p>
    <w:p>
      <w:pPr>
        <w:pStyle w:val="Body"/>
        <w:keepNext w:val="0"/>
        <w:keepLines w:val="0"/>
        <w:spacing w:before="0" w:after="60" w:line="240" w:lineRule="auto"/>
        <w:ind w:left="340" w:hanging="340"/>
      </w:pPr>
      <w:r>
        <w:rPr>
          <w:rFonts w:ascii="Arial" w:hAnsi="Arial" w:eastAsia="Arial"/>
          <w:b w:val="0"/>
          <w:color w:val="000000"/>
          <w:sz w:val="17"/>
        </w:rPr>
        <w:t>[14] Предыдущее исследование рынка СтройИнтеллекта, предоставленное пользователем через общую ссылку ChatGPT.</w:t>
      </w:r>
      <w:r>
        <w:rPr>
          <w:rFonts w:ascii="Arial" w:hAnsi="Arial" w:eastAsia="Arial"/>
          <w:b w:val="0"/>
          <w:color w:val="5E6670"/>
          <w:sz w:val="17"/>
        </w:rPr>
        <w:t xml:space="preserve"> — использовано как дополнительное направление исследования; ключевые внешние тезисы проверены независимым поиском</w:t>
      </w:r>
      <w:r>
        <w:t xml:space="preserve"> </w:t>
      </w:r>
      <w:hyperlink r:id="rId19">
        <w:r>
          <w:rPr>
            <w:color w:val="C6232A"/>
            <w:u w:val="single"/>
          </w:rPr>
          <w:t>https://chatgpt.com/share/6a7b1325-e0ac-83eb-a89e-7c8279b1ae82</w:t>
        </w:r>
      </w:hyperlink>
    </w:p>
    <w:p>
      <w:pPr>
        <w:keepNext w:val="0"/>
        <w:keepLines w:val="0"/>
        <w:spacing w:before="40" w:after="100" w:line="252" w:lineRule="auto"/>
      </w:pPr>
      <w:r>
        <w:rPr>
          <w:rFonts w:ascii="Arial" w:hAnsi="Arial" w:eastAsia="Arial"/>
          <w:b w:val="0"/>
          <w:i/>
          <w:color w:val="5E6670"/>
          <w:sz w:val="17"/>
        </w:rPr>
        <w:t>Дата обращения к внешним источникам: 11.08.2026. Перед внешней публикацией рыночные показатели и цены конкурентов следует перепроверить на дату использования.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850" w:left="1020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olor w:val="5E6670"/>
        <w:sz w:val="16"/>
      </w:rPr>
      <w:t>Внутренний документ 7КЛ   |   11.08.2026</w:t>
    </w:r>
    <w:r>
      <w:t xml:space="preserve">                                        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space="2" w:color="D9DDE2"/>
      </w:pBdr>
    </w:pPr>
    <w:r>
      <w:rPr>
        <w:rFonts w:ascii="Arial" w:hAnsi="Arial" w:eastAsia="Arial"/>
        <w:b/>
        <w:color w:val="C6232A"/>
        <w:sz w:val="17"/>
      </w:rPr>
      <w:t>7 КРАСНЫХ ЛИНИЙ</w:t>
    </w:r>
    <w:r>
      <w:rPr>
        <w:rFonts w:ascii="Arial" w:hAnsi="Arial" w:eastAsia="Arial"/>
        <w:b w:val="0"/>
        <w:color w:val="5E6670"/>
        <w:sz w:val="16"/>
      </w:rPr>
      <w:t xml:space="preserve">   |   Концепция нового продукта — СтройИнтеллект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rPr>
      <w:rFonts w:ascii="Arial" w:hAnsi="Arial" w:eastAsia="Arial"/>
      <w:color w:val="000000"/>
      <w:sz w:val="20"/>
    </w:rPr>
  </w:style>
  <w:style w:type="paragraph" w:customStyle="1" w:styleId="Bullet">
    <w:name w:val="Bullet"/>
    <w:rPr>
      <w:rFonts w:ascii="Arial" w:hAnsi="Arial" w:eastAsia="Arial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instroyrf.gov.ru/press/" TargetMode="External"/><Relationship Id="rId12" Type="http://schemas.openxmlformats.org/officeDocument/2006/relationships/hyperlink" Target="https://government.ru/docs/all/163630/" TargetMode="External"/><Relationship Id="rId13" Type="http://schemas.openxmlformats.org/officeDocument/2006/relationships/hyperlink" Target="https://erzrf.ru/top-zastroyshchikov" TargetMode="External"/><Relationship Id="rId14" Type="http://schemas.openxmlformats.org/officeDocument/2006/relationships/hyperlink" Target="https://gmini.tech/" TargetMode="External"/><Relationship Id="rId15" Type="http://schemas.openxmlformats.org/officeDocument/2006/relationships/hyperlink" Target="https://1exon.ru/" TargetMode="External"/><Relationship Id="rId16" Type="http://schemas.openxmlformats.org/officeDocument/2006/relationships/hyperlink" Target="https://tangl.cloud/products/tangl-value/" TargetMode="External"/><Relationship Id="rId17" Type="http://schemas.openxmlformats.org/officeDocument/2006/relationships/hyperlink" Target="https://www.altius.ru/program/stroit/" TargetMode="External"/><Relationship Id="rId18" Type="http://schemas.openxmlformats.org/officeDocument/2006/relationships/hyperlink" Target="https://www.consultant.ru/document/cons_doc_LAW_51040/cdec16ec747f11f3a7a39c7303d03373e0ef91c4/" TargetMode="External"/><Relationship Id="rId19" Type="http://schemas.openxmlformats.org/officeDocument/2006/relationships/hyperlink" Target="https://chatgpt.com/share/6a7b1325-e0ac-83eb-a89e-7c8279b1ae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нового продукта — СтройИнтеллект</dc:title>
  <dc:subject>Цифровая служба технического заказчика</dc:subject>
  <dc:creator>ООО «7 Красных Линий»</dc:creator>
  <cp:keywords>СтройИнтеллект, цифровая служба технического заказчика, 7КЛ, ИИ, строительство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