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800"/>
      </w:pPr>
    </w:p>
    <w:p>
      <w:pPr>
        <w:spacing w:after="240"/>
      </w:pPr>
      <w:r>
        <w:rPr>
          <w:b/>
          <w:bCs/>
          <w:color w:val="1F2937"/>
          <w:sz w:val="72"/>
          <w:szCs w:val="72"/>
        </w:rPr>
        <w:t xml:space="preserve">ПРИЛОЖЕНИЕ</w:t>
      </w:r>
    </w:p>
    <w:p>
      <w:pPr>
        <w:pBdr>
          <w:bottom w:val="single" w:sz="12" w:space="6" w:color="991B1B"/>
        </w:pBdr>
        <w:spacing w:after="240"/>
      </w:pPr>
    </w:p>
    <w:p>
      <w:pPr>
        <w:spacing w:after="80"/>
      </w:pPr>
      <w:r>
        <w:rPr>
          <w:color w:val="991B1B"/>
          <w:sz w:val="32"/>
          <w:szCs w:val="32"/>
        </w:rPr>
        <w:t xml:space="preserve">Техническое задание</w:t>
      </w:r>
    </w:p>
    <w:p>
      <w:pPr>
        <w:spacing w:after="80"/>
      </w:pPr>
      <w:r>
        <w:rPr>
          <w:color w:val="991B1B"/>
          <w:sz w:val="32"/>
          <w:szCs w:val="32"/>
        </w:rPr>
        <w:t xml:space="preserve">Система «СтройИнтеллект (Девелопмент)» — цифровая служба технического заказчика</w:t>
      </w:r>
    </w:p>
    <w:p>
      <w:pPr>
        <w:spacing w:after="300"/>
      </w:pPr>
    </w:p>
    <w:p>
      <w:pPr>
        <w:spacing w:after="80"/>
      </w:pPr>
      <w:r>
        <w:rPr>
          <w:color w:val="6B7280"/>
        </w:rPr>
        <w:t xml:space="preserve">Приложение: </w:t>
      </w:r>
      <w:r>
        <w:rPr>
          <w:b/>
          <w:bCs/>
          <w:color w:val="1F2937"/>
        </w:rPr>
        <w:t xml:space="preserve">№ 1 к коммерческому предложению</w:t>
      </w:r>
    </w:p>
    <w:p>
      <w:pPr>
        <w:spacing w:after="80"/>
      </w:pPr>
      <w:r>
        <w:rPr>
          <w:color w:val="6B7280"/>
        </w:rPr>
        <w:t xml:space="preserve">Для компании: </w:t>
      </w:r>
      <w:r>
        <w:rPr>
          <w:b/>
          <w:bCs/>
          <w:color w:val="1F2937"/>
        </w:rPr>
        <w:t xml:space="preserve">ПАО «АПРИ»</w:t>
      </w:r>
    </w:p>
    <w:p>
      <w:pPr>
        <w:spacing w:after="80"/>
      </w:pPr>
      <w:r>
        <w:rPr>
          <w:color w:val="6B7280"/>
        </w:rPr>
        <w:t xml:space="preserve">Дата: </w:t>
      </w:r>
      <w:r>
        <w:rPr>
          <w:b/>
          <w:bCs/>
          <w:color w:val="1F2937"/>
        </w:rPr>
        <w:t xml:space="preserve">11 августа 2026</w:t>
      </w:r>
    </w:p>
    <w:p>
      <w:pPr>
        <w:spacing w:after="80"/>
      </w:pPr>
      <w:r>
        <w:rPr>
          <w:color w:val="6B7280"/>
        </w:rPr>
        <w:t xml:space="preserve">Редакция: </w:t>
      </w:r>
      <w:r>
        <w:rPr>
          <w:b/>
          <w:bCs/>
          <w:color w:val="1F2937"/>
        </w:rPr>
        <w:t xml:space="preserve">2.0</w:t>
      </w:r>
    </w:p>
    <w:p>
      <w:pPr>
        <w:spacing w:after="80"/>
      </w:pPr>
      <w:r>
        <w:rPr>
          <w:color w:val="6B7280"/>
        </w:rPr>
        <w:t xml:space="preserve">Подготовил: </w:t>
      </w:r>
      <w:r>
        <w:rPr>
          <w:b/>
          <w:bCs/>
          <w:color w:val="1F2937"/>
        </w:rPr>
        <w:t xml:space="preserve">ООО «7 Красных Линий»</w:t>
      </w:r>
    </w:p>
    <w:p>
      <w:pPr>
        <w:spacing w:after="0"/>
      </w:pPr>
      <w:r>
        <w:rPr>
          <w:i/>
          <w:iCs/>
          <w:color w:val="6B7280"/>
        </w:rPr>
        <w:t xml:space="preserve">Конфиденциально</w:t>
      </w:r>
    </w:p>
    <w:p>
      <w:pPr>
        <w:pageBreakBefore/>
        <w:spacing w:after="0"/>
      </w:pPr>
    </w:p>
    <w:p>
      <w:pPr>
        <w:spacing w:after="200"/>
        <w:jc w:val="both"/>
      </w:pPr>
      <w:r>
        <w:t xml:space="preserve">Исполнитель — ООО «7 Красных Линий» (7КЛ). Заказчик — ПАО «АПРИ». Настоящее Техническое задание является Приложением № 1 к коммерческому предложению, определяет самостоятельный состав технических требований и может быть использовано как приложение к договору без изменения технического содержания.</w:t>
      </w: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1. Термины</w:t>
      </w:r>
    </w:p>
    <w:p>
      <w:pPr>
        <w:spacing w:after="120"/>
      </w:pP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425"/>
        <w:gridCol w:w="7681"/>
      </w:tblGrid>
      <w:tr>
        <w:trPr>
          <w:tblHeader w:val="true"/>
          <w:cantSplit/>
        </w:trPr>
        <w:tc>
          <w:tcPr>
            <w:tcW w:type="dxa" w:w="2425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Термин</w:t>
            </w:r>
          </w:p>
        </w:tc>
        <w:tc>
          <w:tcPr>
            <w:tcW w:type="dxa" w:w="768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Программный комплекс «СтройИнтеллект (Девелопмент)», разворачиваемый в контуре Заказчика: веб-приложение, расчётный модуль, собственная база данных, опорная база, модель расчётно-аналитической оценки и компонент языковых моделей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Контур Заказчика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Вычислительная и сетевая инфраструктура ПАО «АПРИ», в которой размещаются все компоненты Системы и обрабатываемые данные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ИИ-агент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Функциональный компонент Системы, решающий определённый класс аналитических задач и формирующий результат по своей зоне ответственности. Перечень агентов — раздел 5.1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Узел вывода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Вычислительный узел в контуре Заказчика, на котором размещаются языковые модели с открытыми весами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Опорная база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Структурированный набор расценок, цен, нормативов и сравнительных значений, используемый расчётным модулем и агентами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Обучающий массив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Обезличенный нормализованный набор стоимостных показателей, накопленный практикой Исполнителя более чем по 250 объектам строительства и приведённый к сопоставимым единицам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Расчётно-аналитическая оценка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Собственная оценка стоимости, формируемая Системой независимо от полученных предложений подрядчиков, на основе обучающего массива, опорной базы и исторических данных Заказчика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Внутренний контур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Режим обработки, при котором сведения, составляющие коммерческую тайну Заказчика, обрабатываются исключительно локальными моделями внутри контура Заказчика. Режим по умолчанию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Внешний контур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Режим обработки процессов, требующих обращения к внешним источникам и моделям. Допускается только для данных, прошедших анонимизацию и маскирование в соответствии с Регламентом передачи данных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Регламент передачи данных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Документ, согласуемый сторонами и фиксируемый протоколом на этапе 1: перечень процессов внешнего контура, состав передаваемых данных, правила анонимизации и маскирования, порядок журналирования передач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Расчётный модуль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Программный компонент, выполняющий арифметические расчёты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Эталонный образец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Проверка, выполненная на реальном объекте Заказчика и признанная им образцом качества ответа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Проверка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Один пользовательский запрос по одному объекту, одному комплекту исходных данных и одному выбранному режиму глубины ответа. Внутренние обращения Системы к языковым моделям, анализ несколькими агентами и формирование выгрузок в рамках такого запроса отдельными Проверками не считаются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Выгрузка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Файл Excel или Word, сформированный по результату проверки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Чек-лист качества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Согласованный сторонами перечень требований к результату каждого агента, по которому проводится приёмка</w:t>
            </w:r>
          </w:p>
        </w:tc>
      </w:tr>
      <w:tr>
        <w:trPr>
          <w:cantSplit/>
        </w:trPr>
        <w:tc>
          <w:tcPr>
            <w:tcW w:type="dxa" w:w="242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Вне объёма задания</w:t>
            </w:r>
          </w:p>
        </w:tc>
        <w:tc>
          <w:tcPr>
            <w:tcW w:type="dxa" w:w="768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Функциональность, не входящая в настоящее задание (раздел 14)</w:t>
            </w:r>
          </w:p>
        </w:tc>
      </w:tr>
    </w:tbl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2. Назначение</w:t>
      </w:r>
    </w:p>
    <w:p>
      <w:pPr>
        <w:spacing w:after="120"/>
      </w:pPr>
    </w:p>
    <w:p>
      <w:pPr>
        <w:spacing w:after="120"/>
        <w:jc w:val="both"/>
      </w:pPr>
      <w:r>
        <w:t xml:space="preserve">Система выполняет финансово-технический контроль строительства на стороне застройщика: анализирует смету и коммерческие предложения подрядчиков по одному объекту, формирует собственную расчётно-аналитическую оценку стоимости, выявляет отклонения и аномалии, рассчитывает себестоимость в рублях за квадратный метр, моделирует движение денежных средств с учётом эскроу и проектного финансирования, выявляет существенные условия и риски в тексте договора до его подписания и оплаты.</w:t>
      </w:r>
    </w:p>
    <w:p>
      <w:pPr>
        <w:spacing w:after="120"/>
        <w:jc w:val="both"/>
      </w:pPr>
      <w:r>
        <w:t xml:space="preserve">Девять ИИ-агентов решают свои классы задач; результаты объединяются в единое заключение по объекту. Различия в оценках агентов показываются пользователю. Совокупный результат работы агентов формирует цифровую информационную модель объекта: связанный набор технических, стоимостных и финансовых показателей с указанием источника каждого значения.</w:t>
      </w:r>
    </w:p>
    <w:p>
      <w:pPr>
        <w:spacing w:after="120"/>
        <w:jc w:val="both"/>
      </w:pPr>
      <w:r>
        <w:t xml:space="preserve">Результаты работы Системы отражаются в расчётных показателях: потенциальная переплата подрядчику в рублях, отклонение предложений от собственной оценки Системы, себестоимость в рублях за квадратный метр в сравнении со значениями опорной базы и историческими данными Заказчика, объём невыбранного проектного кредита, возможное изменение даты ввода объекта и раскрытия эскроу.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3. Границы</w:t>
      </w:r>
    </w:p>
    <w:p>
      <w:pPr>
        <w:spacing w:after="120"/>
      </w:pPr>
    </w:p>
    <w:p>
      <w:pPr>
        <w:pStyle w:val="2"/>
        <w:keepNext/>
        <w:keepLines/>
        <w:spacing w:before="200" w:after="80"/>
      </w:pPr>
      <w:r>
        <w:t xml:space="preserve">3.1 Что Система делает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Формирует результаты по девяти агентам раздела 5.1 на запросы пользователя по объекту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 рамках одной Проверки принимает смету, коммерческие предложения подрядчиков по одному объекту, ведомость объёмов и договор подряда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Проверяет сходимость сумм, находит двойной счёт, завышенные коэффициенты и расценки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Приводит позиции разных предложений к сопоставимому виду и показывает разброс цен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Формирует собственную расчётно-аналитическую оценку и сопоставляет с ней предложения подрядчиков, выделяя аномалии и объясняя их природу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Сверяет позиции с опорной базой, рассчитывает отклонение в рублях и целевую цену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Рассчитывает себестоимость в рублях за квадратный метр по элементам и финансовую модель проекта в трёх сценариях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Строит график выборки проектного кредита и помесячный бюджет движения денежных средств (БДДС), выполняет прогнозирование возможных кассовых разрывов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Формирует сводный вывод по бюджету с корректирующими мерами, рисками и диапазоном расчётной погрешности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Принимает данные через интеграцию со StorHaus, программный интерфейс и структурированные файлы согласованного формата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Выгружает результат в Excel с рабочими формулами и в Word</w:t>
      </w:r>
    </w:p>
    <w:p>
      <w:pPr>
        <w:pStyle w:val="2"/>
        <w:keepNext/>
        <w:keepLines/>
        <w:spacing w:before="200" w:after="80"/>
      </w:pPr>
      <w:r>
        <w:t xml:space="preserve">3.2 Что Система не делает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заменяет проектную документацию, экспертизу и подписанные решения проектной организации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заменяет юриста и главного бухгалтера. По правовым, налоговым вопросам и вопросам подписания документов формирует рекомендации с указанием на необходимость заключения профильного специалиста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принимает управленческих решений. Выдаёт рекомендацию с вариантами; решение принимает пользователь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изменяет марку, класс и спецификацию материала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выполняет построчную сверку актов по форме КС-2 и справок по форме КС-3 с проектной документацией, а также визуальный контроль факта выполненных работ на площадке. По загруженным данным оценивается только финансовое влияние выявленного расхождения на выборку кредита и маржу проекта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прогнозирует цену продажи и спрос. Величины принимаются как входные от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выполняет глубокую двустороннюю интеграцию с 1С, информационными моделями зданий (BIM) и иными внешними учётными системами, включая разработку специализированных коннекторов, обратную запись результатов и встраивание интерфейсов Системы внутрь систем Заказчика. Интеграция со StorHaus в объём работ входит и выполняется по разделу 8.2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включает поставку, монтаж и сопровождение вычислительного оборудования</w:t>
      </w:r>
    </w:p>
    <w:p>
      <w:pPr>
        <w:pStyle w:val="2"/>
        <w:keepNext/>
        <w:keepLines/>
        <w:spacing w:before="200" w:after="80"/>
      </w:pPr>
      <w:r>
        <w:t xml:space="preserve">3.3 Изменение объёма работ</w:t>
      </w:r>
    </w:p>
    <w:p>
      <w:pPr>
        <w:spacing w:after="120"/>
        <w:jc w:val="both"/>
      </w:pPr>
      <w:r>
        <w:t xml:space="preserve">Изменение состава функций, входных данных, форматов, критериев или результатов оформляется письменным запросом на изменение объёма работ. До согласования изменений Исполнитель выполняет утверждённый объём. Согласованные изменения могут повлиять на стоимость и сроки.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4. Пользователи</w:t>
      </w:r>
    </w:p>
    <w:p>
      <w:pPr>
        <w:spacing w:after="120"/>
      </w:pP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223"/>
        <w:gridCol w:w="7883"/>
      </w:tblGrid>
      <w:tr>
        <w:trPr>
          <w:tblHeader w:val="true"/>
          <w:cantSplit/>
        </w:trPr>
        <w:tc>
          <w:tcPr>
            <w:tcW w:type="dxa" w:w="222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Роль</w:t>
            </w:r>
          </w:p>
        </w:tc>
        <w:tc>
          <w:tcPr>
            <w:tcW w:type="dxa" w:w="788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Права</w:t>
            </w:r>
          </w:p>
        </w:tc>
      </w:tr>
      <w:tr>
        <w:trPr>
          <w:cantSplit/>
        </w:trPr>
        <w:tc>
          <w:tcPr>
            <w:tcW w:type="dxa" w:w="222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Пользователь</w:t>
            </w:r>
          </w:p>
        </w:tc>
        <w:tc>
          <w:tcPr>
            <w:tcW w:type="dxa" w:w="788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Загрузка документов, запуск проверок, просмотр и выгрузка результатов, редактирование параметров расчёта</w:t>
            </w:r>
          </w:p>
        </w:tc>
      </w:tr>
      <w:tr>
        <w:trPr>
          <w:cantSplit/>
        </w:trPr>
        <w:tc>
          <w:tcPr>
            <w:tcW w:type="dxa" w:w="222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788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То же плюс управление пользователями, загрузка опорной базы, настройка каналов получения данных, просмотр журнала</w:t>
            </w:r>
          </w:p>
        </w:tc>
      </w:tr>
    </w:tbl>
    <w:p>
      <w:pPr>
        <w:spacing w:after="0"/>
        <w:jc w:val="both"/>
      </w:pPr>
      <w:r>
        <w:t xml:space="preserve">Ограничение на число пользователей и на число выполняемых проверок не устанавливается. Число одновременно выполняемых проверок определяется производительностью выделенных Заказчиком вычислительных мощностей и фиксируется протоколом на этапе 1.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5. Функциональные требования</w:t>
      </w:r>
    </w:p>
    <w:p>
      <w:pPr>
        <w:spacing w:after="120"/>
      </w:pPr>
    </w:p>
    <w:p>
      <w:pPr>
        <w:pStyle w:val="2"/>
        <w:keepNext/>
        <w:keepLines/>
        <w:spacing w:before="200" w:after="80"/>
      </w:pPr>
      <w:r>
        <w:t xml:space="preserve">5.1 Девять ИИ-агентов</w:t>
      </w:r>
    </w:p>
    <w:p>
      <w:pPr>
        <w:spacing w:after="120"/>
        <w:jc w:val="both"/>
      </w:pPr>
      <w:r>
        <w:t xml:space="preserve">Анализ выполняется в последовательности: технические параметры, объёмы, стоимость, финансовые последствия, риски и итоговый вывод.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021"/>
        <w:gridCol w:w="4244"/>
        <w:gridCol w:w="3841"/>
      </w:tblGrid>
      <w:tr>
        <w:trPr>
          <w:tblHeader w:val="true"/>
          <w:cantSplit/>
        </w:trPr>
        <w:tc>
          <w:tcPr>
            <w:tcW w:type="dxa" w:w="202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ИИ-агент</w:t>
            </w:r>
          </w:p>
        </w:tc>
        <w:tc>
          <w:tcPr>
            <w:tcW w:type="dxa" w:w="4244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384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Главный инженер проекта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Проверяет объёмы подрядчика по геометрическим параметрам и ведомости объёмов, сопоставляет состав документов «проект — смета — задание», указывает статус нормативных требований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Работы, не подтверждённые документами; отдельный список допущений; перечень вопросов для уточнения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Сметчик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Выполняет построчный анализ сметы: сходимость до рубля, двойной учёт, коэффициенты и расценки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Реестр потенциальных переплат, сумма отклонений и целевая цена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Снабжение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Сверяет значимые позиции с опорной базой и рыночными ориентирами, учитывает расстояние и стоимость доставки, определяет крайние сроки заказа позиций с длительным сроком поставки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Отклонения в рублях, влияние доставки, критические сроки заказа. Специализированный календарный экран в объём не входит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Специалист по поиску подрядчиков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Принимает коммерческие предложения подрядчиков по одному объекту, приводит позиции к сопоставимому виду, сопоставляет их между собой и с расчётно-аналитической оценкой Системы. Поиск и подбор подрядчиков во внешних источниках выполняется во внешнем контуре по разделу 8.3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Сравнительная таблица, разброс и медиана цен, аномалии с суммой влияния, собственная оценка и рекомендованный диапазон цены, оценка риска невыполнения работ по заявленной цене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Экономист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Рассчитывает себестоимость по элементам, маржу проекта в трёх сценариях, график выборки кредита, помесячный БДДС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Себестоимость ₽/м², сценарии маржи, прогноз возможных кассовых разрывов и дата раскрытия эскроу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Инженер ПТО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загруженным данным форм КС-2 и КС-3 оценивает финансовое влияние расхождений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Влияние на бюджет и маржу проекта. Построчная сверка с проектной документацией, визуальный контроль и специализированный экран в объём не входят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Юрист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Анализирует текст договора подряда с позиции застройщика: аванс, гарантийное удержание, твёрдая цена, штрафы, приёмка и гарантии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Перечень рисков и рекомендаций. Специализированный экран договорного аудита в объём не входит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Руководитель проекта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Сводит результаты остальных агентов и экономику объекта в целом, контролирует исполнение работ и их соответствие план-графику по загруженным данным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Сводный вывод по бюджету, базовая маржа и маржа после корректирующих мер, матрица вариантов, влияние мер в рублях, критический порог, отклонения от план-графика и их влияние на сроки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4244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Обеспечивает сбор данных по объекту и их структуризацию, ведёт паспорт объекта, реестр открытых вопросов и контрольные даты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Структурированный набор данных по объекту, идентификатор объекта, реестр «что, от кого, к какому сроку», контрольные даты</w:t>
            </w:r>
          </w:p>
        </w:tc>
      </w:tr>
    </w:tbl>
    <w:p>
      <w:pPr>
        <w:pStyle w:val="2"/>
        <w:keepNext/>
        <w:keepLines/>
        <w:spacing w:before="200" w:after="80"/>
      </w:pPr>
      <w:r>
        <w:t xml:space="preserve">5.2 Сопоставление предложений подрядчиков и расчётно-аналитическая оценка</w:t>
      </w:r>
    </w:p>
    <w:p>
      <w:pPr>
        <w:spacing w:after="120"/>
        <w:jc w:val="both"/>
      </w:pPr>
      <w:r>
        <w:t xml:space="preserve">Система формирует собственную оценку стоимости по объекту и по каждой значимой позиции независимо от полученных предложений подрядчиков. Требования: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Приём и разбор коммерческих предложений подрядчиков по одному объекту в рамках одной Проверки; ограничение на число предложений не устанавливается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Приведение позиций разных предложений к сопоставимому виду: сопоставление наименований, единиц измерения, объёмов и состава работ; несопоставимые позиции выделяются отдельно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Сравнительная таблица с расчётом разброса, медианы и отклонения каждого предложения от расчётно-аналитической оценки Системы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Классификация выявленных отклонений: рыночное движение цен, особенность технического решения, ошибка в объёмах, завышение расценки, двойной учёт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Выделение аномалий с указанием суммы влияния в рублях и основания расчёта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Формирование рекомендованного диапазона цены и целевой цены для переговоров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Указание источников исходных числовых значений, на которых построена оценка</w:t>
      </w:r>
    </w:p>
    <w:p>
      <w:pPr>
        <w:spacing w:after="120"/>
        <w:jc w:val="both"/>
      </w:pPr>
      <w:r>
        <w:t xml:space="preserve">Сопоставление выполняется по позициям, относящимся к сопоставимому предмету работ в рамках объекта; несопоставимые позиции выделяются отдельно и в расчёт разброса не включаются.</w:t>
      </w:r>
    </w:p>
    <w:p>
      <w:pPr>
        <w:spacing w:after="120"/>
        <w:jc w:val="both"/>
      </w:pPr>
      <w:r>
        <w:t xml:space="preserve">Расчётно-аналитическая оценка строится на обучающем массиве Исполнителя, опорной базе и исторических данных Заказчика. Массив приведён к сопоставимым единицам по видам работ, конструктивам, регионам и периодам. Исходные документы третьих лиц Заказчику не передаются и в Систему не загружаются. На этапах 1 и 3 модель дообогащается данными АПРИ; данные Заказчика остаются в его контуре и не используются для обучения моделей, применяемых у третьих лиц. Достигнутая точность оценки фиксируется протоколом при приёмке и переизмеряется при каждом цикле актуализации опорной базы.</w:t>
      </w:r>
    </w:p>
    <w:p>
      <w:pPr>
        <w:pStyle w:val="2"/>
        <w:keepNext/>
        <w:keepLines/>
        <w:spacing w:before="200" w:after="80"/>
      </w:pPr>
      <w:r>
        <w:t xml:space="preserve">5.3 Сквозная оценка бюджета</w:t>
      </w:r>
    </w:p>
    <w:p>
      <w:pPr>
        <w:spacing w:after="120"/>
        <w:jc w:val="both"/>
      </w:pPr>
      <w:r>
        <w:t xml:space="preserve">По команде пользователя Система выполняет анализ всеми относящимися к запросу агентами и формирует сводный вывод: оценка соблюдения бюджета, базовая маржа и маржа после корректирующих мер, диапазон расчётной погрешности, критический порог, три основных риска в рублях, три основные корректирующие меры в рублях и условия продолжения проекта.</w:t>
      </w:r>
    </w:p>
    <w:p>
      <w:pPr>
        <w:pStyle w:val="2"/>
        <w:keepNext/>
        <w:keepLines/>
        <w:spacing w:before="200" w:after="80"/>
      </w:pPr>
      <w:r>
        <w:t xml:space="preserve">5.4 Глубина ответа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1616"/>
        <w:gridCol w:w="5861"/>
        <w:gridCol w:w="2629"/>
      </w:tblGrid>
      <w:tr>
        <w:trPr>
          <w:tblHeader w:val="true"/>
          <w:cantSplit/>
        </w:trPr>
        <w:tc>
          <w:tcPr>
            <w:tcW w:type="dxa" w:w="1616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Режим</w:t>
            </w:r>
          </w:p>
        </w:tc>
        <w:tc>
          <w:tcPr>
            <w:tcW w:type="dxa" w:w="586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Формат ответа</w:t>
            </w:r>
          </w:p>
        </w:tc>
        <w:tc>
          <w:tcPr>
            <w:tcW w:type="dxa" w:w="2629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Конфигурация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Экспресс</w:t>
            </w:r>
          </w:p>
        </w:tc>
        <w:tc>
          <w:tcPr>
            <w:tcW w:type="dxa" w:w="586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Вывод, ключевая цифра, рекомендация. До 15 строк, без таблиц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Определяется Исполнителем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Стандарт</w:t>
            </w:r>
          </w:p>
        </w:tc>
        <w:tc>
          <w:tcPr>
            <w:tcW w:type="dxa" w:w="586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Полный формат с источником по каждой цифре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Определяется Исполнителем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Эксперт</w:t>
            </w:r>
          </w:p>
        </w:tc>
        <w:tc>
          <w:tcPr>
            <w:tcW w:type="dxa" w:w="586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Стандарт плюс три и более варианта с матрицей, разбор причин возможного отклонения и пороговые значения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Определяется Исполнителем</w:t>
            </w:r>
          </w:p>
        </w:tc>
      </w:tr>
    </w:tbl>
    <w:p>
      <w:pPr>
        <w:spacing w:after="0"/>
        <w:jc w:val="both"/>
      </w:pPr>
      <w:r>
        <w:t xml:space="preserve">Режим по умолчанию — «стандарт». Соответствие режима внутренней конфигурации моделей определяется Исполнителем и может изменяться без изменения прикладного кода.</w:t>
      </w:r>
    </w:p>
    <w:p>
      <w:pPr>
        <w:pStyle w:val="2"/>
        <w:keepNext/>
        <w:keepLines/>
        <w:spacing w:before="200" w:after="80"/>
      </w:pPr>
      <w:r>
        <w:t xml:space="preserve">5.5 Экраны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Реестр объектов — список, статус, дата последней проверки, сводный вывод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Карточка объекта — паспорт, тип продукта, регион, параметры финансирования, загруженные документы, история проверок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Загрузка и разбор — загрузка файлов, предпросмотр извлечённых позиций, ручная правка строк, сверка суммы с итогом документа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Сравнительный экран предложений — сопоставление предложений подрядчиков, разброс, аномалии, расчётно-аналитическая оценка и рекомендованный диапазон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Рабочий экран — выбор агента или свободный запрос, выбор режима, результат и выгрузка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Журнал — записи о переданных документах и полученных результатах (доступен администратору)</w:t>
      </w:r>
    </w:p>
    <w:p>
      <w:pPr>
        <w:spacing w:after="0"/>
        <w:jc w:val="both"/>
      </w:pPr>
      <w:r>
        <w:t xml:space="preserve">Опорная база загружается администратором из файла установленной структуры. Редактирование опорной базы через интерфейс Системы в текущий объём работ не входит.</w:t>
      </w:r>
    </w:p>
    <w:p>
      <w:pPr>
        <w:pStyle w:val="2"/>
        <w:keepNext/>
        <w:keepLines/>
        <w:spacing w:before="200" w:after="80"/>
      </w:pPr>
      <w:r>
        <w:t xml:space="preserve">5.6 Асинхронное выполнение</w:t>
      </w:r>
    </w:p>
    <w:p>
      <w:pPr>
        <w:spacing w:after="120"/>
        <w:jc w:val="both"/>
      </w:pPr>
      <w:r>
        <w:t xml:space="preserve">Проверки в режимах «стандарт» и «эксперт» выполняются асинхронно. Интерфейс не блокирует пользователя на время расчёта.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Запущенная проверка помещается в очередь со статусом: в очереди, выполняется, завершена, ошибка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Пользователь видит очередь своих проверок и переходит к другим задачам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 завершении Система уведомляет пользователя в интерфейсе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Результат сохраняется в карточке объекта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Прерванная проверка допускает повторный запуск без повторной загрузки документов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Режим «эксперт» запускается подтверждением с указанием ожидаемого времени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6. Архитектура</w:t>
      </w:r>
    </w:p>
    <w:p>
      <w:pPr>
        <w:spacing w:after="120"/>
      </w:pPr>
    </w:p>
    <w:p>
      <w:pPr>
        <w:pStyle w:val="2"/>
        <w:keepNext/>
        <w:keepLines/>
        <w:spacing w:before="200" w:after="80"/>
      </w:pPr>
      <w:r>
        <w:t xml:space="preserve">6.1 Состав и размещение</w:t>
      </w:r>
    </w:p>
    <w:p>
      <w:pPr>
        <w:spacing w:after="120"/>
        <w:jc w:val="both"/>
      </w:pPr>
      <w:r>
        <w:t xml:space="preserve">Все компоненты Системы размещаются и эксплуатируются в контуре Заказчика на его вычислительных мощностях. Языковые модели используются с открытыми весами и разворачиваются локально на узле вывода. Пользователи Заказчика получают доступ к Системе через веб-интерфейс по внутренней сети.</w:t>
      </w:r>
    </w:p>
    <w:p>
      <w:pPr>
        <w:spacing w:after="120"/>
        <w:jc w:val="both"/>
      </w:pPr>
      <w:r>
        <w:t xml:space="preserve">Система работает в двух контурах обработки. Внутренний контур является режимом по умолчанию: сведения, составляющие коммерческую тайну Заказчика, обрабатываются исключительно локальными моделями внутри его контура. Внешний контур применяется к бизнес-процессам, которые требуют обращения к внешним источникам и моделям для расчёта производных параметров. Если такой процесс использует на входе сведения, составляющие коммерческую тайну, они проходят анонимизацию и маскирование до запуска процесса — в объёме, исключающем их соотнесение с Заказчиком и его проектом.</w:t>
      </w:r>
    </w:p>
    <w:p>
      <w:pPr>
        <w:spacing w:after="120"/>
        <w:jc w:val="both"/>
      </w:pPr>
      <w:r>
        <w:t xml:space="preserve">Передача данных между контурами выполняется по Регламенту передачи данных, который согласуется сторонами и фиксируется протоколом на этапе 1. Требования к содержанию Регламента и к работе контуров установлены разделом 8.3.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829"/>
        <w:gridCol w:w="7277"/>
      </w:tblGrid>
      <w:tr>
        <w:trPr>
          <w:tblHeader w:val="true"/>
          <w:cantSplit/>
        </w:trPr>
        <w:tc>
          <w:tcPr>
            <w:tcW w:type="dxa" w:w="2829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7277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Веб-приложение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Интерфейс, авторизация, две роли, хранение файлов и результатов, очередь задач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Собственная база данных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Хранение объектов, документов, извлечённых позиций, результатов проверок и исторических данных Заказчика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Разбор документов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Извлечение позиций из сметы и коммерческих предложений подрядчиков в рамках одной Проверки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Модуль сопоставления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Приведение позиций разных предложений к сопоставимому виду, расчёт разброса и отклонений, выявление аномалий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Модель расчётно-аналитической оценки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Формирование собственной оценки стоимости на обучающем массиве, опорной базе и исторических данных Заказчика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Опорная база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Загрузка из файла заданной структуры, хранение, доступ расчётного модуля и агентов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Расчётный модуль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Арифметика по разделу 6.4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Компонент языковых моделей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Локальное размещение семейства моделей с открытыми весами на узле вывода, обращение через внутренний программный интерфейс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Контур получения данных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Интеграция со StorHaus, приём данных через программный интерфейс и через структурированные файлы согласованного формата в выделенном каталоге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Модуль анонимизации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Анонимизация и маскирование данных перед их передачей во внешний контур в соответствии с Регламентом передачи данных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Генератор выгрузок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Excel с рабочими формулами, Word по заданной структуре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Журнал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Записи о пользовательских запросах, переданных документах и результатах</w:t>
            </w:r>
          </w:p>
        </w:tc>
      </w:tr>
    </w:tbl>
    <w:p>
      <w:pPr>
        <w:pStyle w:val="2"/>
        <w:keepNext/>
        <w:keepLines/>
        <w:spacing w:before="200" w:after="80"/>
      </w:pPr>
      <w:r>
        <w:t xml:space="preserve">6.2 Требования к инфраструктуре Заказчика</w:t>
      </w:r>
    </w:p>
    <w:p>
      <w:pPr>
        <w:spacing w:after="120"/>
        <w:jc w:val="both"/>
      </w:pPr>
      <w:r>
        <w:t xml:space="preserve">Приведены минимальные требования, достаточные для начала работ. Итоговая конфигурация уточняется и фиксируется протоколом на этапе 1 по результатам выбора семейства моделей и замера нагрузки на документах Заказчика. Показатели времени ответа раздела 11 и пороги приёмки раздела 12 действуют при конфигурации не ниже зафиксированной протоколом.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829"/>
        <w:gridCol w:w="7277"/>
      </w:tblGrid>
      <w:tr>
        <w:trPr>
          <w:tblHeader w:val="true"/>
          <w:cantSplit/>
        </w:trPr>
        <w:tc>
          <w:tcPr>
            <w:tcW w:type="dxa" w:w="2829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Узел</w:t>
            </w:r>
          </w:p>
        </w:tc>
        <w:tc>
          <w:tcPr>
            <w:tcW w:type="dxa" w:w="7277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Минимальные требования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Узел вывода моделей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Ускорители вычислений с объёмом видеопамяти на один чип не менее 80 ГБ; ЦП не менее 32 ядер; ОЗУ не менее 256 ГБ; дисковая подсистема NVMe не менее 4 ТБ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Сервер приложения и базы данных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ЦП не менее 16 ядер; ОЗУ не менее 64 ГБ; дисковая подсистема NVMe не менее 2 ТБ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Сеть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Канал между узлами не менее 10 Гбит/с; доступ пользователей к веб-интерфейсу по внутренней сети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Программная среда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ОС семейства Linux; контейнерная среда исполнения; выделенные учётные записи и защищённый удалённый доступ для специалистов Исполнителя на период работ</w:t>
            </w:r>
          </w:p>
        </w:tc>
      </w:tr>
      <w:tr>
        <w:trPr>
          <w:cantSplit/>
        </w:trPr>
        <w:tc>
          <w:tcPr>
            <w:tcW w:type="dxa" w:w="28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Эксплуатация</w:t>
            </w:r>
          </w:p>
        </w:tc>
        <w:tc>
          <w:tcPr>
            <w:tcW w:type="dxa" w:w="7277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Резервное копирование, мониторинг, обновление операционных систем и сопровождение оборудования обеспечиваются силами Заказчика</w:t>
            </w:r>
          </w:p>
        </w:tc>
      </w:tr>
    </w:tbl>
    <w:p>
      <w:pPr>
        <w:pStyle w:val="2"/>
        <w:keepNext/>
        <w:keepLines/>
        <w:spacing w:before="200" w:after="80"/>
      </w:pPr>
      <w:r>
        <w:t xml:space="preserve">6.3 Компонент языковых моделей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Во внутреннем контуре используются модели с открытыми весами, размещённые на узле вывода в контуре Заказчика. Предполагается семейство моделей, подобранных под классы задач отдельных агентов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Во внешнем контуре допускается обращение к внешним моделям исключительно по процессам, включённым в Регламент передачи данных, и исключительно на анонимизированных и маскированных данных. Отнесение процесса к контуру выполняется Системой автоматически по правилам конфигурации и отображается пользователю в результате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Состав семейства, версии и параметры запуска фиксируются протоколом на этапе 1 по результатам тестирования на документах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Обращение к моделям выполняется через внутренний программный интерфейс Системы; смена и обновление модели выполняются изменением конфигурации без изменения прикладного кода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Системные инструкции агентов хранятся в файлах с контролем версий и могут изменяться без пересборки Системы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Настройка глубины анализа передаётся с каждым запросом в соответствии с разделом 5.4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Системные инструкции, опорная база и эталонные образцы могут передаваться с использованием кэширования — повторного использования неизменной части данных для сокращения времени обработки</w:t>
      </w:r>
    </w:p>
    <w:p>
      <w:pPr>
        <w:pStyle w:val="2"/>
        <w:keepNext/>
        <w:keepLines/>
        <w:spacing w:before="200" w:after="80"/>
      </w:pPr>
      <w:r>
        <w:t xml:space="preserve">6.4 Разделение расчёта и интерпретации</w:t>
      </w:r>
    </w:p>
    <w:p>
      <w:pPr>
        <w:spacing w:after="120"/>
        <w:jc w:val="both"/>
      </w:pPr>
      <w:r>
        <w:t xml:space="preserve">Числовые значения, включаемые в выгрузки Excel и Word, вычисляет расчётный модуль. Языковые модели используются для анализа и формулирования выводов, но не рассчитывают эти значения.</w:t>
      </w:r>
    </w:p>
    <w:p>
      <w:pPr>
        <w:spacing w:after="120"/>
        <w:jc w:val="both"/>
      </w:pPr>
      <w:r>
        <w:t xml:space="preserve">Перечень расчётов, закреплённых за модулем: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Сходимость: сумма разделов против итога источника, расхождение в рублях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Позиция сметы: объём × цена, суммы по разделам и итог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Отклонение между ценой подрядчика, значением опорной базы и расчётно-аналитической оценкой: на единицу и на объём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Разброс, минимум, максимум и медиана цен по сопоставимым позициям набора предложений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Себестоимость по элементам и себестоимость в рублях за квадратный метр; сравнение со значениями опорной базы и историческими данными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Проценты по проектному кредиту и график выборки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Помесячный БДДС проекта, прогноз возможных кассовых разрывов с указанием периода и суммы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Три сценария маржи проекта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Крайний срок заказа, рассчитанный от даты ввода объекта и срока поставки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Обратный расчёт срока: дни = объём ÷ (выработка × численность бригады)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Пеня в рублях за день от ключевой ставки</w:t>
      </w:r>
    </w:p>
    <w:p>
      <w:pPr>
        <w:spacing w:after="120"/>
        <w:jc w:val="both"/>
      </w:pPr>
      <w:r>
        <w:t xml:space="preserve">Языковые модели классифицируют расхождение, сопоставляют наименование позиции со справочником опорной базы, оценивают существенность расхождения, выявляют риски в тексте договора и формулируют выводы и рекомендации.</w:t>
      </w:r>
    </w:p>
    <w:p>
      <w:pPr>
        <w:spacing w:after="120"/>
        <w:jc w:val="both"/>
      </w:pPr>
      <w:r>
        <w:t xml:space="preserve">Ставка налога на добавленную стоимость и ключевая ставка задаются параметром с датой, начиная с которой значение действует. Единственное значение в коде не зашивается.</w:t>
      </w:r>
    </w:p>
    <w:p>
      <w:pPr>
        <w:pStyle w:val="2"/>
        <w:keepNext/>
        <w:keepLines/>
        <w:spacing w:before="200" w:after="80"/>
      </w:pPr>
      <w:r>
        <w:t xml:space="preserve">6.5 Эталонные образцы</w:t>
      </w:r>
    </w:p>
    <w:p>
      <w:pPr>
        <w:spacing w:after="120"/>
        <w:jc w:val="both"/>
      </w:pPr>
      <w:r>
        <w:t xml:space="preserve">В рабочий контекст агентов включаются проверки, выполненные на реальных объектах Заказчика и признанные образцами качества ответа. Эталонные образцы определяют формат, глубину и содержание результата каждого агента.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Формируются на этапе 1 совместно с Заказчиком, не менее чем по двум объектам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Служат основой чек-листа качества (раздел 12.2)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Не используются как готовый ответ на новый запрос: числа одного объекта на другой не переносятся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7. Опорная база</w:t>
      </w:r>
    </w:p>
    <w:p>
      <w:pPr>
        <w:spacing w:after="120"/>
      </w:pPr>
    </w:p>
    <w:p>
      <w:pPr>
        <w:spacing w:after="120"/>
        <w:jc w:val="both"/>
      </w:pPr>
      <w:r>
        <w:t xml:space="preserve">Опорная база ведётся в файле установленной структуры и загружается администратором. Наименования полей обязательны, поскольку расчётный модуль использует их при выполнении расчётов.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3233"/>
        <w:gridCol w:w="6873"/>
      </w:tblGrid>
      <w:tr>
        <w:trPr>
          <w:tblHeader w:val="true"/>
          <w:cantSplit/>
        </w:trPr>
        <w:tc>
          <w:tcPr>
            <w:tcW w:type="dxa" w:w="323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Раздел</w:t>
            </w:r>
          </w:p>
        </w:tc>
        <w:tc>
          <w:tcPr>
            <w:tcW w:type="dxa" w:w="687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01. Расценки на работы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Единичные расценки на строительно-монтажные работы по видам и регионам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02. Материалы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Бетон, ЖБИ, арматура, кладочные, фасадные, кровля, трубы, кабель, отделка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03. Оборудование с длительным сроком поставки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Лифты, витражи, тепловые пункты, насосные, вентиляция: цены и сроки поставки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04. Себестоимость ₽/м²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Сравнительные значения по типам продукта и регионам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05. Параметры финансирования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Ставки проектного кредита, аванс, гарантийное удержание, механика эскроу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06. Ставки труда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Оклады и ставки по специальностям и регионам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07. Нормативы выработки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Человеко-часы на единицу и выработка по операциям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08. Алгоритмы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Формулы расчёта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09. Нормативная база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Документ, редакция, статус действия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10. Реестр объектов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Происхождение значений: объект, регион, год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11. Уроки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Зафиксированные ошибки прошлых расчётов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12. Сверка расчёта с фактом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Плановое значение против фактического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13. Подрядчики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Сведения о подрядчиках из документов Заказчика; внешняя оценка подрядчиков в объём не входит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14. Сопоставление предложений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Накопленные результаты сравнения предложений подрядчиков по объектам Заказчика</w:t>
            </w:r>
          </w:p>
        </w:tc>
      </w:tr>
    </w:tbl>
    <w:p>
      <w:pPr>
        <w:spacing w:after="120"/>
        <w:jc w:val="both"/>
      </w:pPr>
      <w:r>
        <w:t xml:space="preserve">Обязательные поля строки с числовым значением: значение · единица измерения · год · источник · статус (факт, ориентир, нет данных) · дата проверки. Значения старше 90 дней Система помечает как требующие проверки и выводит признак в каждом расчёте, где такое значение использовано.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8. Входные данные</w:t>
      </w:r>
    </w:p>
    <w:p>
      <w:pPr>
        <w:spacing w:after="120"/>
      </w:pPr>
    </w:p>
    <w:p>
      <w:pPr>
        <w:pStyle w:val="2"/>
        <w:keepNext/>
        <w:keepLines/>
        <w:spacing w:before="200" w:after="80"/>
      </w:pPr>
      <w:r>
        <w:t xml:space="preserve">8.1 Форматы документов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3233"/>
        <w:gridCol w:w="6873"/>
      </w:tblGrid>
      <w:tr>
        <w:trPr>
          <w:tblHeader w:val="true"/>
          <w:cantSplit/>
        </w:trPr>
        <w:tc>
          <w:tcPr>
            <w:tcW w:type="dxa" w:w="323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Формат</w:t>
            </w:r>
          </w:p>
        </w:tc>
        <w:tc>
          <w:tcPr>
            <w:tcW w:type="dxa" w:w="6873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Обработка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Excel (.xlsx, .xls)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Извлечение позиций, определение структуры таблицы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ГРАНД-Смета (XML)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Разбор по структуре формата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Word (.docx)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Извлечение таблиц и текста договоров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PDF с текстовым слоем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Передача текста агентам без структурного разбора</w:t>
            </w:r>
          </w:p>
        </w:tc>
      </w:tr>
      <w:tr>
        <w:trPr>
          <w:cantSplit/>
        </w:trPr>
        <w:tc>
          <w:tcPr>
            <w:tcW w:type="dxa" w:w="323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CSV и иные структурированные файлы согласованного формата</w:t>
            </w:r>
          </w:p>
        </w:tc>
        <w:tc>
          <w:tcPr>
            <w:tcW w:type="dxa" w:w="6873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Приём через выделенный каталог, валидация структуры, загрузка в базу данных Системы</w:t>
            </w:r>
          </w:p>
        </w:tc>
      </w:tr>
    </w:tbl>
    <w:p>
      <w:pPr>
        <w:spacing w:after="120"/>
        <w:jc w:val="both"/>
      </w:pPr>
      <w:r>
        <w:t xml:space="preserve">Формат АРПС и оптическое распознавание текста в PDF-сканах в текущий объём работ не входят.</w:t>
      </w:r>
    </w:p>
    <w:p>
      <w:pPr>
        <w:spacing w:after="120"/>
        <w:jc w:val="both"/>
      </w:pPr>
      <w:r>
        <w:t xml:space="preserve">Требования к разбору: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Результат выводится пользователю для подтверждения до запуска расчёта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Позиции с неполными данными помечаются и допускают ручную правку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Сумма извлечённых позиций сверяется с итогом документа, расхождение выводится пользователю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При загрузке нескольких предложений результат сопоставления позиций выводится пользователю с возможностью подтвердить или исправить сопоставление</w:t>
      </w:r>
    </w:p>
    <w:p>
      <w:pPr>
        <w:pStyle w:val="2"/>
        <w:keepNext/>
        <w:keepLines/>
        <w:spacing w:before="200" w:after="80"/>
      </w:pPr>
      <w:r>
        <w:t xml:space="preserve">8.2 Получение данных из систем Заказчика</w:t>
      </w:r>
    </w:p>
    <w:p>
      <w:pPr>
        <w:spacing w:after="120"/>
        <w:jc w:val="both"/>
      </w:pPr>
      <w:r>
        <w:t xml:space="preserve">Система имеет собственную базу данных и не требует размещения своих данных в учётных системах Заказчика. Наполнение Системы данными и её работа обеспечиваются интеграцией со StorHaus. Получение исходных данных предусматривается тремя способами: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Интеграция со StorHaus. Входит в объём работ и выполняется на этапе 4. Обмен предусматривает приём исходных данных по объектам и передачу результатов обработки в согласованном составе. Конкретный состав полей, направления обмена, формат и периодичность согласуются и фиксируются протоколом на этапе 1 на основании технической документации и описания программных интерфейсов StorHaus, предоставляемых Заказчиком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Через программный интерфейс Системы — при наличии доступного интерфейса со стороны иных систем Заказчика. Состав передаваемых полей, формат и периодичность согласуются и фиксируются протоколом на этапе 1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Через структурированные файлы согласованного формата, размещаемые в выделенном каталоге. Система контролирует поступление файлов, проверяет структуру, загружает данные и протоколирует результат загрузки, включая отклонённые записи с указанием причины</w:t>
      </w:r>
    </w:p>
    <w:p>
      <w:pPr>
        <w:spacing w:after="120"/>
        <w:jc w:val="both"/>
      </w:pPr>
      <w:r>
        <w:t xml:space="preserve">Ручной перенос данных пользователем в промежуточный файл для передачи в Систему не требуется. Интеграция с иными внешними системами — 1С, информационными моделями зданий и прочими, — включая разработку специализированных коннекторов, обратную запись результатов и встраивание интерфейсов Системы внутрь систем Заказчика, в текущий объём работ не входит и выполняется отдельным этапом.</w:t>
      </w:r>
    </w:p>
    <w:p>
      <w:pPr>
        <w:spacing w:after="120"/>
        <w:jc w:val="both"/>
      </w:pPr>
      <w:r>
        <w:t xml:space="preserve">Непредоставление технической документации и описания программных интерфейсов StorHaus в срок, установленный разделом 15.1, делает невозможной проверку критерия 12.1к; в этом случае обмен реализуется через структурированные файлы согласованного формата, а сроки зависимых работ сдвигаются в порядке раздела 15.3.</w:t>
      </w:r>
    </w:p>
    <w:p>
      <w:pPr>
        <w:pStyle w:val="2"/>
        <w:keepNext/>
        <w:keepLines/>
        <w:spacing w:before="200" w:after="80"/>
      </w:pPr>
      <w:r>
        <w:t xml:space="preserve">8.3 Обработка данных</w:t>
      </w:r>
    </w:p>
    <w:p>
      <w:pPr>
        <w:spacing w:after="120"/>
        <w:jc w:val="both"/>
      </w:pPr>
      <w:r>
        <w:t xml:space="preserve">Система предназначена для работы со сведениями, составляющими коммерческую тайну Заказчика, включая сметы и коммерческие предложения подрядчиков, ведомости объёмов, параметры бюджета и финансовой модели.</w:t>
      </w:r>
    </w:p>
    <w:p>
      <w:pPr>
        <w:spacing w:after="120"/>
        <w:jc w:val="both"/>
      </w:pPr>
      <w:r>
        <w:t xml:space="preserve">Обработка данных выполняется в двух контурах.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Внутренний контур — режим по умолчанию. Документы, опорная база, извлечённые позиции, исторические данные и результаты расчётов, составляющие коммерческую тайну Заказчика, обрабатываются исключительно локальными моделями и хранятся в контуре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Внешний контур — процессы, требующие обращения к внешним источникам и моделям для расчёта производных параметров, в частности поиск и подбор подрядчиков под объект. Если такой процесс использует на входе сведения, составляющие коммерческую тайну, эти сведения проходят анонимизацию и маскирование до запуска процесса</w:t>
      </w:r>
    </w:p>
    <w:p>
      <w:pPr>
        <w:spacing w:after="120"/>
        <w:jc w:val="both"/>
      </w:pPr>
      <w:r>
        <w:t xml:space="preserve">Порядок взаимодействия контуров закрепляется Регламентом передачи данных. Регламент разрабатывается Исполнителем, согласуется Заказчиком и фиксируется протоколом на этапе 1. Регламент устанавливает перечень процессов внешнего контура, состав передаваемых данных по каждому процессу, правила анонимизации и маскирования, порядок журналирования передач и порядок внесения изменений. До утверждения Регламента Система работает исключительно во внутреннем контуре. Изменение Регламента выполняется в порядке раздела 3.3 и не требует изменения настоящего задания.</w:t>
      </w:r>
    </w:p>
    <w:p>
      <w:pPr>
        <w:spacing w:after="120"/>
        <w:jc w:val="both"/>
      </w:pPr>
      <w:r>
        <w:t xml:space="preserve">Требования к передаче данных во внешний контур: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Анонимизация и маскирование выполняются до запуска процесса. Система удаляет или заменяет наименование объекта, наименование и реквизиты Заказчика, адресные данные и иные реквизиты, позволяющие соотнести передаваемые данные с Заказчиком и его проектом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Стоимостные показатели передаются только в объёме, необходимом для выполнения процесса, и в маскированном виде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Процесс, не включённый в Регламент, во внешнем контуре не выполняется; при отсутствии применимого правила анонимизации передача блокируется, а пользователю выводится причина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Каждая передача во внешний контур фиксируется в журнале с указанием процесса, состава переданных данных и применённых правил анонимизации и маскирования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Результат, полученный из внешнего контура, сопровождается признаком его происхождения и отображается пользователю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Документы, опорная база, исторические данные и результаты обработки хранятся в контуре Заказчика и за его пределы не передаются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Сведения, составляющие коммерческую тайну Заказчика, в исходном виде за пределы его контура не передаются ни при каких режимах работы Системы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Данные Заказчика не используются для обучения моделей, применяемых у третьих лиц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Ведётся журнал операций: пользователь, дата, переданный документ и полученный результат; доступ к журналу предоставляется Заказчику и уполномоченным им аудиторам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Режим коммерческой тайны на обрабатываемые сведения обеспечивается средствами Заказчика в его контуре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9. Требования к результату</w:t>
      </w:r>
    </w:p>
    <w:p>
      <w:pPr>
        <w:spacing w:after="120"/>
      </w:pP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Каждое число сопровождается маркером статуса: подтверждено источником, оценка, нет данных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Каждая ссылка на нормативный документ сопровождается статусом действия на дату ответа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Формулировка «требуется уточнить» допускается только с указанием, у кого и к какому сроку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Расхождение между результатами агентов выводится явно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Расчётно-аналитическая оценка сопровождается перечнем источников исходных значений и объяснением выявленных отклонений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Результат содержит конкретную рекомендацию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Оценка помечается признаком точности: без сметы ±10–15%, со сметой ±3–5%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10. Выгрузки</w:t>
      </w:r>
    </w:p>
    <w:p>
      <w:pPr>
        <w:spacing w:after="120"/>
      </w:pP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3031"/>
        <w:gridCol w:w="7075"/>
      </w:tblGrid>
      <w:tr>
        <w:trPr>
          <w:tblHeader w:val="true"/>
          <w:cantSplit/>
        </w:trPr>
        <w:tc>
          <w:tcPr>
            <w:tcW w:type="dxa" w:w="303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7075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Расчёт (Excel)</w:t>
            </w:r>
          </w:p>
        </w:tc>
        <w:tc>
          <w:tcPr>
            <w:tcW w:type="dxa" w:w="707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Рабочие формулы, лист параметров, входные значения выделены цветом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Записка (Word)</w:t>
            </w:r>
          </w:p>
        </w:tc>
        <w:tc>
          <w:tcPr>
            <w:tcW w:type="dxa" w:w="707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Паспорт объекта, разделы по агентам, сводный вывод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Реестр нарушений (Excel)</w:t>
            </w:r>
          </w:p>
        </w:tc>
        <w:tc>
          <w:tcPr>
            <w:tcW w:type="dxa" w:w="707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Позиция, характер нарушения, сумма, основание, путь урегулирования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Сравнение предложений (Excel)</w:t>
            </w:r>
          </w:p>
        </w:tc>
        <w:tc>
          <w:tcPr>
            <w:tcW w:type="dxa" w:w="707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Сопоставимые позиции, цены по каждому предложению подрядчика, разброс, оценка Системы, отклонения и аномалии</w:t>
            </w:r>
          </w:p>
        </w:tc>
      </w:tr>
    </w:tbl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11. Нефункциональные требования</w:t>
      </w:r>
    </w:p>
    <w:p>
      <w:pPr>
        <w:spacing w:after="120"/>
      </w:pP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4648"/>
        <w:gridCol w:w="5458"/>
      </w:tblGrid>
      <w:tr>
        <w:trPr>
          <w:tblHeader w:val="true"/>
          <w:cantSplit/>
        </w:trPr>
        <w:tc>
          <w:tcPr>
            <w:tcW w:type="dxa" w:w="4648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5458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Время ответа в режиме «экспресс»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более 15 минут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Время ответа в режиме «стандарт»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более 1 часа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Время ответа в режиме «эксперт»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более 5 часов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Объём обрабатываемой сметы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2 000 позиций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Число сопоставляемых предложений в одной Проверке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ограничивается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Ограничение на число проверок, объектов и пользователей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устанавливается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Доступность в рабочие часы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99% при условии исправности инфраструктуры Заказчика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Размещение и хранение данных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контур Заказчика; во внешний контур передаются только анонимизированные и маскированные данные по Регламенту передачи данных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Журнал</w:t>
            </w:r>
          </w:p>
        </w:tc>
        <w:tc>
          <w:tcPr>
            <w:tcW w:type="dxa" w:w="545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глубина не менее 12 месяцев</w:t>
            </w:r>
          </w:p>
        </w:tc>
      </w:tr>
    </w:tbl>
    <w:p>
      <w:pPr>
        <w:spacing w:after="0"/>
        <w:jc w:val="both"/>
      </w:pPr>
      <w:r>
        <w:t xml:space="preserve">Показатели времени ответа действуют при конфигурации оборудования не ниже зафиксированной протоколом на этапе 1 в соответствии с разделом 6.2. Резервное копирование, мониторинг и эксплуатационная доступность инфраструктуры обеспечиваются Заказчиком.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12. Критерии приёмки</w:t>
      </w:r>
    </w:p>
    <w:p>
      <w:pPr>
        <w:spacing w:after="120"/>
      </w:pPr>
    </w:p>
    <w:p>
      <w:pPr>
        <w:spacing w:after="120"/>
        <w:jc w:val="both"/>
      </w:pPr>
      <w:r>
        <w:t xml:space="preserve">Приёмка проводится на контрольном наборе согласованных объектов Заказчика, но не менее чем на двух. По каждому объекту предоставляется расчёт, выполненный специалистами Заказчика вручную, и набор коммерческих предложений подрядчиков — не менее трёх.</w:t>
      </w:r>
    </w:p>
    <w:p>
      <w:pPr>
        <w:pStyle w:val="2"/>
        <w:keepNext/>
        <w:keepLines/>
        <w:spacing w:before="200" w:after="80"/>
      </w:pPr>
      <w:r>
        <w:t xml:space="preserve">12.1 Числовые и функциональные критерии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505"/>
        <w:gridCol w:w="4749"/>
        <w:gridCol w:w="4852"/>
      </w:tblGrid>
      <w:tr>
        <w:trPr>
          <w:tblHeader w:val="true"/>
          <w:cantSplit/>
        </w:trPr>
        <w:tc>
          <w:tcPr>
            <w:tcW w:type="dxa" w:w="505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4749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4852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Доля корректно извлечённых позиций из документов контрольного набора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95%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б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Расхождение суммы разделов с итогом источника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₽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Полнота реестра нарушений относительно ручного расчёта Заказчика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70%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Расхождение себестоимости ₽/м² с расчётом Заказчика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пределах порога, зафиксированного протоколом на этапе 2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Числа без маркера статуса источника в выгрузках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е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Время ответа по режимам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пределах раздела 11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ж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Сопоставление предложений подрядчиков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Система принимает и сопоставляет коммерческие предложения подрядчиков по одному объекту без ограничения их числа и формирует единый сравнительный результат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Обоснованность расчётно-аналитической оценки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каждой значимой позиции указаны источники исходных значений и объяснение выявленных отклонений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Отклонение расчётно-аналитической оценки от фактической стоимости по объектам контрольного набора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пределах порога, зафиксированного протоколом по итогам этапа 3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Получение данных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тестовый набор загружается через интеграцию со StorHaus, согласованный программный интерфейс или структурированный файловый канал без ручного переноса в промежуточный файл</w:t>
            </w:r>
          </w:p>
        </w:tc>
      </w:tr>
      <w:tr>
        <w:trPr>
          <w:cantSplit/>
        </w:trPr>
        <w:tc>
          <w:tcPr>
            <w:tcW w:type="dxa" w:w="505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</w:t>
            </w:r>
          </w:p>
        </w:tc>
        <w:tc>
          <w:tcPr>
            <w:tcW w:type="dxa" w:w="474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Размещение и разделение контуров</w:t>
            </w:r>
          </w:p>
        </w:tc>
        <w:tc>
          <w:tcPr>
            <w:tcW w:type="dxa" w:w="4852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все компоненты Системы работают в контуре Заказчика; сведения, составляющие коммерческую тайну, обрабатываются локальными моделями; обращение к внешним моделям происходит только по процессам Регламента передачи данных и только после анонимизации и маскирования, что подтверждается записями журнала</w:t>
            </w:r>
          </w:p>
        </w:tc>
      </w:tr>
    </w:tbl>
    <w:p>
      <w:pPr>
        <w:pStyle w:val="2"/>
        <w:keepNext/>
        <w:keepLines/>
        <w:spacing w:before="200" w:after="80"/>
      </w:pPr>
      <w:r>
        <w:t xml:space="preserve">12.2 Качество работы девяти агентов</w:t>
      </w:r>
    </w:p>
    <w:p>
      <w:pPr>
        <w:spacing w:after="120"/>
        <w:jc w:val="both"/>
      </w:pPr>
      <w:r>
        <w:t xml:space="preserve">По каждому из девяти агентов раздела 5.1 Система выдаёт результат, пригодный для работы службы заказчика в соответствующей функциональной зоне. Оценку проводят специалисты Заказчика по чек-листу качества. Чек-лист формируется совместно на этапе 1 на основе эталонных образцов и фиксируется протоколом: по каждому агенту — перечень требований к содержанию результата.</w:t>
      </w:r>
    </w:p>
    <w:p>
      <w:pPr>
        <w:spacing w:after="120"/>
        <w:jc w:val="both"/>
      </w:pPr>
      <w:r>
        <w:t xml:space="preserve">Критерий приёмки: по каждому агенту выполнено не менее 80% пунктов чек-листа на контрольном наборе. Значения критериев 12.1а, 12.1в, 12.1и и порог чек-листа подлежат калибровке по итогам этапов 1 и 3 и фиксируются протоколом до начала приёмки.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13. Этапы</w:t>
      </w:r>
    </w:p>
    <w:p>
      <w:pPr>
        <w:spacing w:after="120"/>
      </w:pPr>
    </w:p>
    <w:p>
      <w:pPr>
        <w:spacing w:after="120"/>
        <w:jc w:val="both"/>
      </w:pPr>
      <w:r>
        <w:t xml:space="preserve">Общий срок проекта составляет 135 календарных дней и включает четыре последовательных этапа. Агенты начинают формировать результаты к окончанию первого этапа; далее результаты дополняются расчётами, сравнительным контуром и получением данных из систем Заказчика.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606"/>
        <w:gridCol w:w="606"/>
        <w:gridCol w:w="4446"/>
        <w:gridCol w:w="4448"/>
      </w:tblGrid>
      <w:tr>
        <w:trPr>
          <w:tblHeader w:val="true"/>
          <w:cantSplit/>
        </w:trPr>
        <w:tc>
          <w:tcPr>
            <w:tcW w:type="dxa" w:w="606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Этап</w:t>
            </w:r>
          </w:p>
        </w:tc>
        <w:tc>
          <w:tcPr>
            <w:tcW w:type="dxa" w:w="606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Дней</w:t>
            </w:r>
          </w:p>
        </w:tc>
        <w:tc>
          <w:tcPr>
            <w:tcW w:type="dxa" w:w="4446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Работы</w:t>
            </w:r>
          </w:p>
        </w:tc>
        <w:tc>
          <w:tcPr>
            <w:tcW w:type="dxa" w:w="4448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Развёртывание Системы в контуре Заказчика, установка и настройка локальных моделей с открытыми весами, создание базы данных, настройка девяти агентов и трёх режимов глубины ответа. Наполнение опорной базы по объектам Заказчика, дообогащение модели оценки его историческими данными. Согласование состава полей, направлений обмена со StorHaus и каналов получения данных. Разработка и согласование Регламента передачи данных между контурами. Подготовка эталонных образцов и чек-листа качества</w:t>
            </w:r>
          </w:p>
        </w:tc>
        <w:tc>
          <w:tcPr>
            <w:tcW w:type="dxa" w:w="44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Система работает в контуре Заказчика на локальных моделях. Агенты формируют результаты на объектах Заказчика. Опорная база наполнена не менее чем по трём объектам и подтверждена. Конфигурация оборудования, состав семейства моделей, форматы обмена и чек-лист качества, форматы обмена со StorHaus и Регламент передачи данных между контурами зафиксированы протоколом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Разработка расчётного модуля по разделу 6.4, настройка разбора входных документов, формирование выгрузок Excel и Word</w:t>
            </w:r>
          </w:p>
        </w:tc>
        <w:tc>
          <w:tcPr>
            <w:tcW w:type="dxa" w:w="44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Расчётный модуль вычисляет значения для результатов и выгрузок. На реальной смете Система формирует реестр расхождений, рассчитывает себестоимость ₽/м² и финансовую модель в трёх сценариях с прогнозом возможных кассовых разрывов. Порог расхождения себестоимости зафиксирован протоколом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Разработка модуля сопоставления предложений, приведения позиций к сопоставимому виду, модели расчётно-аналитической оценки и выявления аномалий; дообогащение модели историческими данными Заказчика</w:t>
            </w:r>
          </w:p>
        </w:tc>
        <w:tc>
          <w:tcPr>
            <w:tcW w:type="dxa" w:w="44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На реальном наборе предложений Система формирует сравнительный результат, показывает разброс и аномалии, выдаёт собственную оценку и рекомендованный диапазон. Достигнутая точность зафиксирована протоколом</w:t>
            </w:r>
          </w:p>
        </w:tc>
      </w:tr>
      <w:tr>
        <w:trPr>
          <w:cantSplit/>
        </w:trPr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60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Разработка экранов, очереди задач и журнала, реализация интеграции со StorHaus и контура получения данных через программный интерфейс и структурированные файлы, проведение приёмки, обучение пользователей</w:t>
            </w:r>
          </w:p>
        </w:tc>
        <w:tc>
          <w:tcPr>
            <w:tcW w:type="dxa" w:w="4448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Система принята по разделу 12, пользователи обучены</w:t>
            </w:r>
          </w:p>
        </w:tc>
      </w:tr>
    </w:tbl>
    <w:p>
      <w:pPr>
        <w:spacing w:after="120"/>
        <w:jc w:val="both"/>
      </w:pPr>
      <w:r>
        <w:t xml:space="preserve">Результат каждого этапа передаётся Заказчику для промежуточной проверки. Заказчик в течение одного рабочего дня согласовывает результат или направляет мотивированные замечания со ссылкой на требования настоящего ТЗ. Если в указанный срок замечания не поступили, результат этапа считается согласованным. Задержка согласования сдвигает сроки зависимых работ и последующих этапов на период задержки.</w:t>
      </w:r>
    </w:p>
    <w:p>
      <w:pPr>
        <w:spacing w:after="120"/>
        <w:jc w:val="both"/>
      </w:pPr>
      <w:r>
        <w:t xml:space="preserve">Стоимость и порядок оплаты определяются коммерческим предложением, а после заключения договора — договором.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14. Функциональность вне объёма задания</w:t>
      </w:r>
    </w:p>
    <w:p>
      <w:pPr>
        <w:spacing w:after="120"/>
      </w:pPr>
    </w:p>
    <w:p>
      <w:pPr>
        <w:spacing w:after="120"/>
        <w:jc w:val="both"/>
      </w:pPr>
      <w:r>
        <w:t xml:space="preserve">Перечисленная ниже функциональность не входит в текущий объём работ. Включение любой позиции возможно только после письменного согласования сторон с учётом изменения стоимости и сроков.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Редактирование опорной базы через интерфейс и её автоматическое пополнение из закрытых документов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Форматы АРПС и распознавание PDF-сканов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Отдельные специализированные экраны: построчный контроль форм КС-2 и КС-3, календарь позиций с длительным сроком поставки, договорный аудит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Накопление и ведение статистики исполнения договоров подрядчиками и построение на её основе рейтинга подрядчиков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Разграничение прав свыше двух ролей, права по объектам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Портфельный режим: сводка по нескольким объектам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Интеграция с внешними системами помимо StorHaus, включая 1С и информационные модели зданий: разработка специализированных коннекторов, обратная запись результатов, встраивание интерфейсов Системы внутрь систем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Поставка, монтаж и сопровождение вычислительного оборудования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15. Обязательства сторон</w:t>
      </w:r>
    </w:p>
    <w:p>
      <w:pPr>
        <w:spacing w:after="120"/>
      </w:pPr>
    </w:p>
    <w:p>
      <w:pPr>
        <w:pStyle w:val="2"/>
        <w:keepNext/>
        <w:keepLines/>
        <w:spacing w:before="200" w:after="80"/>
      </w:pPr>
      <w:r>
        <w:t xml:space="preserve">15.1 Что предоставляет Заказчик</w:t>
      </w:r>
    </w:p>
    <w:p>
      <w:pPr>
        <w:spacing w:after="120"/>
        <w:jc w:val="both"/>
      </w:pPr>
      <w:r>
        <w:t xml:space="preserve">Срок проекта и соответствующего этапа начинает исчисляться с рабочего дня, следующего за датой поступления оплаты и предоставления инфраструктуры, доступов, исходных данных, технической информации и иных материалов, объективно необходимых для начала работ по этому этапу. Отсутствие материалов, не требующихся для текущих задач, не препятствует началу работ.</w:t>
      </w:r>
    </w:p>
    <w:tbl>
      <w:tblPr>
        <w:tblW w:type="dxa" w:w="10106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4446"/>
        <w:gridCol w:w="3031"/>
        <w:gridCol w:w="2629"/>
      </w:tblGrid>
      <w:tr>
        <w:trPr>
          <w:tblHeader w:val="true"/>
          <w:cantSplit/>
        </w:trPr>
        <w:tc>
          <w:tcPr>
            <w:tcW w:type="dxa" w:w="4446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Материал</w:t>
            </w:r>
          </w:p>
        </w:tc>
        <w:tc>
          <w:tcPr>
            <w:tcW w:type="dxa" w:w="3031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Объём</w:t>
            </w:r>
          </w:p>
        </w:tc>
        <w:tc>
          <w:tcPr>
            <w:tcW w:type="dxa" w:w="2629"/>
            <w:shd w:val="clear" w:fill="E9EBEE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Вычислительная инфраструктура по разделу 6.2 с предоставленными доступами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узел вывода, сервер приложения и базы данных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 начала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Закрытые объекты: сметы, акты КС-2 и КС-3, ведомости объёмов, договоры подряда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3 объектов, охватывающих типы продукта Заказчика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течение первых 10 рабочих дней этапа 1; комплект по одному объекту — до начала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Сметы и коммерческие предложения подрядчиков для настройки разбора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10 комплектов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течение первых 10 рабочих дней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Наборы коммерческих предложений подрядчиков по одному объекту для настройки сопоставления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5 наборов, в каждом не менее 3 предложений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 начала этапа 3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Исторические данные для дообогащения модели оценки: фактическая себестоимость, реализованные договоры и сметы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переданным объектам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этапы 1 и 3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Параметры проектного финансирования по переданным объектам: ставка, аванс, гарантийное удержание, график выборки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каждому объекту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вместе с документами объекта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Площадь и продуктовая матрица по переданным объектам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каждому объекту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вместе с документами объекта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Техническая документация, описание программных интерфейсов StorHaus, тестовый контур и доступы для интеграции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полный комплект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течение первых 15 рабочих дней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Техническая документация и описание иных доступных программных интерфейсов систем Заказчика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 согласованному перечню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 течение первых 15 рабочих дней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Согласование Регламента передачи данных между контурами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этап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Участие специалистов в подготовке эталонных образцов и чек-листа качества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2 объектов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этап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Объекты контрольного набора с ручным расчётом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 менее 2 объектов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 начала этапа 4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Ответственный за передачу документов, согласованный список пользователей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 начала этапа 1</w:t>
            </w:r>
          </w:p>
        </w:tc>
      </w:tr>
      <w:tr>
        <w:trPr>
          <w:cantSplit/>
        </w:trPr>
        <w:tc>
          <w:tcPr>
            <w:tcW w:type="dxa" w:w="4446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Режим коммерческой тайны на передаваемые сведения с утверждённым перечнем</w:t>
            </w:r>
          </w:p>
        </w:tc>
        <w:tc>
          <w:tcPr>
            <w:tcW w:type="dxa" w:w="3031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29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 передачи первых документов</w:t>
            </w:r>
          </w:p>
        </w:tc>
      </w:tr>
    </w:tbl>
    <w:p>
      <w:pPr>
        <w:pStyle w:val="2"/>
        <w:keepNext/>
        <w:keepLines/>
        <w:spacing w:before="200" w:after="80"/>
      </w:pPr>
      <w:r>
        <w:t xml:space="preserve">15.2 Что делает Исполнитель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Разворачивает Систему и локальные модели в контуре Заказчика и выполняет пуско-наладку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Разбирает переданные документы и переносит значения в структуру раздела 7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Проставляет по каждому значению источник, год и статус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Сводит себестоимость в рублях за квадратный метр по типам продукта Заказчика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Заполняет параметры финансирования и реестр объектов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Дообогащает модель расчётно-аналитической оценки историческими данными Заказчика и фиксирует достигнутую точность протоколом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Готовит проект чек-листа качества по девяти агентам и согласовывает его с Заказчиком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Передаёт заполненную базу Заказчику на подтверждение до начала этапа 2</w:t>
      </w:r>
    </w:p>
    <w:p>
      <w:pPr>
        <w:pStyle w:val="2"/>
        <w:keepNext/>
        <w:keepLines/>
        <w:spacing w:before="200" w:after="80"/>
      </w:pPr>
      <w:r>
        <w:t xml:space="preserve">15.3 Последствия задержки</w:t>
      </w:r>
    </w:p>
    <w:p>
      <w:pPr>
        <w:spacing w:after="120"/>
        <w:jc w:val="both"/>
      </w:pPr>
      <w:r>
        <w:t xml:space="preserve">Задержка предоставления инфраструктуры, доступов, документов и сведений сверх сроков раздела 15.1 сдвигает сроки зависимых работ и соответствующих этапов на период задержки; Исполнитель не отвечает за вызванное этим изменение сроков. Наполнение базы менее чем по трём объектам делает калибровку критерия 12.1г невозможной; в этом случае порог устанавливается по итогам работы с фактически переданными материалами. Непредоставление наборов предложений подрядчиков делает невозможной калибровку критерия 12.1и. Непредоставление технической документации, тестового контура и доступов StorHaus в срок делает невозможной проверку критерия 12.1к в части интеграции.</w:t>
      </w:r>
    </w:p>
    <w:p>
      <w:pPr>
        <w:spacing w:after="200"/>
      </w:pPr>
    </w:p>
    <w:p>
      <w:pPr>
        <w:pStyle w:val="1"/>
        <w:keepNext/>
        <w:keepLines/>
        <w:pBdr>
          <w:bottom w:val="single" w:sz="8" w:space="6" w:color="991B1B"/>
        </w:pBdr>
        <w:spacing w:after="0"/>
      </w:pPr>
      <w:r>
        <w:t xml:space="preserve">16. Права на результат и гарантия</w:t>
      </w:r>
    </w:p>
    <w:p>
      <w:pPr>
        <w:spacing w:after="120"/>
      </w:pP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Заказчик получает бессрочное неисключительное право использования созданного для него решения в собственной хозяйственной деятельности. Право входит в стоимость проекта; отдельная абонентская или лицензионная плата за использование не взимается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Данные Заказчика, переданные документы, результаты обработки, сформированные отчёты и опорная база, созданная на материалах Заказчика, принадлежат Заказчику и остаются в его контуре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Базовая технологическая платформа, универсальные компоненты программного кода, алгоритмы, методики общего назначения и обучающий массив Исполнителя сохраняются за Исполнителем</w:t>
      </w:r>
    </w:p>
    <w:p>
      <w:pPr>
        <w:spacing w:after="120"/>
        <w:jc w:val="both"/>
      </w:pPr>
      <w:r>
        <w:t xml:space="preserve">Гарантийное сопровождение предоставляется в течение 12 месяцев с даты подписания акта приёмки и дополнительной платой не облагается. Срок реакции — не более 24 астрономических часов, при этом суббота и воскресенье в срок не включаются. Гарантия покрывает устранение несоответствий работы Системы настоящему заданию и восстановление работоспособности её программных компонентов.</w:t>
      </w:r>
    </w:p>
    <w:p>
      <w:pPr>
        <w:spacing w:after="0"/>
        <w:jc w:val="both"/>
      </w:pPr>
      <w:r>
        <w:t xml:space="preserve">Гарантия не покрывает: изменение и развитие функциональности; актуализацию и пополнение опорной базы; дообучение модели на новых данных; обучение новых пользователей и консультационное сопровождение эксплуатации; сопровождение оборудования, операционных систем и сетевой инфраструктуры Заказчика; восстановление работоспособности после изменений в контуре Заказчика, выполненных без согласования с Исполнителем. Указанные работы выполняются по отдельному договору на расширенную техническую поддержку и развитие.</w:t>
      </w:r>
    </w:p>
    <w:sectPr w:rsidR="00D623DD">
      <w:headerReference w:type="default" r:id="rId7"/>
      <w:footerReference w:type="default" r:id="rId8"/>
      <w:pgSz w:w="11906" w:h="16838"/>
      <w:pgMar w:top="500" w:right="900" w:bottom="720" w:left="900" w:header="34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A7E4" w14:textId="77777777" w:rsidR="00A11DE4" w:rsidRDefault="00A11DE4">
      <w:r>
        <w:separator/>
      </w:r>
    </w:p>
  </w:endnote>
  <w:endnote w:type="continuationSeparator" w:id="0">
    <w:p w14:paraId="39965EF9" w14:textId="77777777" w:rsidR="00A11DE4" w:rsidRDefault="00A1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E7CF" w14:textId="77777777" w:rsidR="0036057B" w:rsidRDefault="00000000">
    <w:pPr>
      <w:jc w:val="center"/>
    </w:pPr>
    <w:r>
      <w:rPr>
        <w:b/>
        <w:bCs/>
        <w:color w:val="DC2626"/>
        <w:sz w:val="18"/>
        <w:szCs w:val="18"/>
      </w:rPr>
      <w:t xml:space="preserve">&gt; </w:t>
    </w:r>
    <w:r>
      <w:rPr>
        <w:b/>
        <w:bCs/>
        <w:color w:val="000000"/>
        <w:sz w:val="18"/>
        <w:szCs w:val="18"/>
      </w:rPr>
      <w:t xml:space="preserve">7 </w:t>
    </w:r>
    <w:r>
      <w:rPr>
        <w:b/>
        <w:bCs/>
        <w:color w:val="DC2626"/>
        <w:sz w:val="18"/>
        <w:szCs w:val="18"/>
      </w:rPr>
      <w:t xml:space="preserve">КРАСНЫХ </w:t>
    </w:r>
    <w:proofErr w:type="gramStart"/>
    <w:r>
      <w:rPr>
        <w:b/>
        <w:bCs/>
        <w:color w:val="000000"/>
        <w:sz w:val="18"/>
        <w:szCs w:val="18"/>
      </w:rPr>
      <w:t>ЛИНИЙ</w:t>
    </w:r>
    <w:r>
      <w:rPr>
        <w:color w:val="6B7280"/>
        <w:sz w:val="18"/>
        <w:szCs w:val="18"/>
      </w:rPr>
      <w:t xml:space="preserve">  +</w:t>
    </w:r>
    <w:proofErr w:type="gramEnd"/>
    <w:r>
      <w:rPr>
        <w:color w:val="6B7280"/>
        <w:sz w:val="18"/>
        <w:szCs w:val="18"/>
      </w:rPr>
      <w:t xml:space="preserve">7 (495) 198-14-77 | info@7rlines.com | 7rlines.ru | Москва, Шаболовка, 23к3    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A6D7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10D9" w14:textId="77777777" w:rsidR="00A11DE4" w:rsidRDefault="00A11DE4">
      <w:r>
        <w:separator/>
      </w:r>
    </w:p>
  </w:footnote>
  <w:footnote w:type="continuationSeparator" w:id="0">
    <w:p w14:paraId="1822F944" w14:textId="77777777" w:rsidR="00A11DE4" w:rsidRDefault="00A11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FD4B" w14:textId="77777777" w:rsidR="0036057B" w:rsidRDefault="00000000">
    <w:pPr>
      <w:jc w:val="right"/>
    </w:pPr>
    <w:r>
      <w:rPr>
        <w:b/>
        <w:bCs/>
        <w:color w:val="000000"/>
      </w:rPr>
      <w:t xml:space="preserve">7 </w:t>
    </w:r>
    <w:r>
      <w:rPr>
        <w:b/>
        <w:bCs/>
        <w:color w:val="DC2626"/>
      </w:rPr>
      <w:t xml:space="preserve">КРАСНЫХ </w:t>
    </w:r>
    <w:r>
      <w:rPr>
        <w:b/>
        <w:bCs/>
        <w:color w:val="000000"/>
      </w:rPr>
      <w:t>ЛИНИЙ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13A0"/>
    <w:multiLevelType w:val="hybridMultilevel"/>
    <w:tmpl w:val="414431FC"/>
    <w:lvl w:ilvl="0" w:tplc="FF007184">
      <w:start w:val="1"/>
      <w:numFmt w:val="bullet"/>
      <w:lvlText w:val="•"/>
      <w:lvlJc w:val="left"/>
      <w:pPr>
        <w:ind w:left="360" w:hanging="280"/>
      </w:pPr>
    </w:lvl>
    <w:lvl w:ilvl="1" w:tplc="677EC364">
      <w:numFmt w:val="decimal"/>
      <w:lvlText w:val=""/>
      <w:lvlJc w:val="left"/>
    </w:lvl>
    <w:lvl w:ilvl="2" w:tplc="77822544">
      <w:numFmt w:val="decimal"/>
      <w:lvlText w:val=""/>
      <w:lvlJc w:val="left"/>
    </w:lvl>
    <w:lvl w:ilvl="3" w:tplc="28F803AC">
      <w:numFmt w:val="decimal"/>
      <w:lvlText w:val=""/>
      <w:lvlJc w:val="left"/>
    </w:lvl>
    <w:lvl w:ilvl="4" w:tplc="30B05356">
      <w:numFmt w:val="decimal"/>
      <w:lvlText w:val=""/>
      <w:lvlJc w:val="left"/>
    </w:lvl>
    <w:lvl w:ilvl="5" w:tplc="903CD320">
      <w:numFmt w:val="decimal"/>
      <w:lvlText w:val=""/>
      <w:lvlJc w:val="left"/>
    </w:lvl>
    <w:lvl w:ilvl="6" w:tplc="296A1C40">
      <w:numFmt w:val="decimal"/>
      <w:lvlText w:val=""/>
      <w:lvlJc w:val="left"/>
    </w:lvl>
    <w:lvl w:ilvl="7" w:tplc="428413EE">
      <w:numFmt w:val="decimal"/>
      <w:lvlText w:val=""/>
      <w:lvlJc w:val="left"/>
    </w:lvl>
    <w:lvl w:ilvl="8" w:tplc="E75E877E">
      <w:numFmt w:val="decimal"/>
      <w:lvlText w:val=""/>
      <w:lvlJc w:val="left"/>
    </w:lvl>
  </w:abstractNum>
  <w:abstractNum w:abstractNumId="1" w15:restartNumberingAfterBreak="0">
    <w:nsid w:val="72AA232F"/>
    <w:multiLevelType w:val="hybridMultilevel"/>
    <w:tmpl w:val="E66A2EE4"/>
    <w:lvl w:ilvl="0" w:tplc="634E1796">
      <w:start w:val="1"/>
      <w:numFmt w:val="bullet"/>
      <w:lvlText w:val="●"/>
      <w:lvlJc w:val="left"/>
      <w:pPr>
        <w:ind w:left="720" w:hanging="360"/>
      </w:pPr>
    </w:lvl>
    <w:lvl w:ilvl="1" w:tplc="565A3B70">
      <w:start w:val="1"/>
      <w:numFmt w:val="bullet"/>
      <w:lvlText w:val="○"/>
      <w:lvlJc w:val="left"/>
      <w:pPr>
        <w:ind w:left="1440" w:hanging="360"/>
      </w:pPr>
    </w:lvl>
    <w:lvl w:ilvl="2" w:tplc="9E78CFF6">
      <w:start w:val="1"/>
      <w:numFmt w:val="bullet"/>
      <w:lvlText w:val="■"/>
      <w:lvlJc w:val="left"/>
      <w:pPr>
        <w:ind w:left="2160" w:hanging="360"/>
      </w:pPr>
    </w:lvl>
    <w:lvl w:ilvl="3" w:tplc="A03EF502">
      <w:start w:val="1"/>
      <w:numFmt w:val="bullet"/>
      <w:lvlText w:val="●"/>
      <w:lvlJc w:val="left"/>
      <w:pPr>
        <w:ind w:left="2880" w:hanging="360"/>
      </w:pPr>
    </w:lvl>
    <w:lvl w:ilvl="4" w:tplc="FAEA7F68">
      <w:start w:val="1"/>
      <w:numFmt w:val="bullet"/>
      <w:lvlText w:val="○"/>
      <w:lvlJc w:val="left"/>
      <w:pPr>
        <w:ind w:left="3600" w:hanging="360"/>
      </w:pPr>
    </w:lvl>
    <w:lvl w:ilvl="5" w:tplc="38F09994">
      <w:start w:val="1"/>
      <w:numFmt w:val="bullet"/>
      <w:lvlText w:val="■"/>
      <w:lvlJc w:val="left"/>
      <w:pPr>
        <w:ind w:left="4320" w:hanging="360"/>
      </w:pPr>
    </w:lvl>
    <w:lvl w:ilvl="6" w:tplc="67DAB26C">
      <w:start w:val="1"/>
      <w:numFmt w:val="bullet"/>
      <w:lvlText w:val="●"/>
      <w:lvlJc w:val="left"/>
      <w:pPr>
        <w:ind w:left="5040" w:hanging="360"/>
      </w:pPr>
    </w:lvl>
    <w:lvl w:ilvl="7" w:tplc="883CED02">
      <w:start w:val="1"/>
      <w:numFmt w:val="bullet"/>
      <w:lvlText w:val="●"/>
      <w:lvlJc w:val="left"/>
      <w:pPr>
        <w:ind w:left="5760" w:hanging="360"/>
      </w:pPr>
    </w:lvl>
    <w:lvl w:ilvl="8" w:tplc="0FB87CF4">
      <w:start w:val="1"/>
      <w:numFmt w:val="bullet"/>
      <w:lvlText w:val="●"/>
      <w:lvlJc w:val="left"/>
      <w:pPr>
        <w:ind w:left="6480" w:hanging="360"/>
      </w:pPr>
    </w:lvl>
  </w:abstractNum>
  <w:num w:numId="1" w16cid:durableId="809328082">
    <w:abstractNumId w:val="1"/>
    <w:lvlOverride w:ilvl="0">
      <w:startOverride w:val="1"/>
    </w:lvlOverride>
  </w:num>
  <w:num w:numId="2" w16cid:durableId="245697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57B"/>
    <w:rsid w:val="00240A03"/>
    <w:rsid w:val="00260753"/>
    <w:rsid w:val="0036057B"/>
    <w:rsid w:val="0042309F"/>
    <w:rsid w:val="00475D32"/>
    <w:rsid w:val="009638C9"/>
    <w:rsid w:val="009F52E3"/>
    <w:rsid w:val="00A11DE4"/>
    <w:rsid w:val="00B83E64"/>
    <w:rsid w:val="00C816C1"/>
    <w:rsid w:val="00D623DD"/>
    <w:rsid w:val="00DA6D70"/>
    <w:rsid w:val="00E0526F"/>
    <w:rsid w:val="00E7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E5C8F"/>
  <w15:docId w15:val="{79B6A2D9-123A-459B-96A0-2136940E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2937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F293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2015</Words>
  <Characters>11490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v320</cp:lastModifiedBy>
  <cp:revision>3</cp:revision>
  <dcterms:created xsi:type="dcterms:W3CDTF">2026-08-04T11:20:00Z</dcterms:created>
  <dcterms:modified xsi:type="dcterms:W3CDTF">2026-08-04T14:08:00Z</dcterms:modified>
  <dc:title>ТЗ СтройИнтеллект, Приложение № 1, редакция 2.0</dc:title>
  <dc:subject>Коммерческое предложение для ПАО АПРИ с учетом замечаний встречи 10.08.2026</dc:subject>
</cp:coreProperties>
</file>