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50"/>
      </w:pPr>
    </w:p>
    <w:p>
      <w:pPr>
        <w:keepNext w:val="false"/>
        <w:spacing w:after="40" w:before="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B0242A"/>
          <w:sz w:val="14"/>
          <w:szCs w:val="14"/>
        </w:rPr>
        <w:t xml:space="preserve">7 RED LINES · ДОКУМЕНТ БИЗНЕС-ТРЕБОВАНИЙ</w:t>
      </w:r>
    </w:p>
    <w:p>
      <w:pPr>
        <w:keepNext w:val="false"/>
        <w:spacing w:after="12" w:before="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52"/>
          <w:szCs w:val="52"/>
        </w:rPr>
        <w:t xml:space="preserve">СтройИнтеллект</w:t>
      </w:r>
    </w:p>
    <w:p>
      <w:pPr>
        <w:keepNext w:val="false"/>
        <w:spacing w:after="8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75B"/>
          <w:sz w:val="17"/>
          <w:szCs w:val="17"/>
        </w:rPr>
        <w:t xml:space="preserve">BRD v4.0 — консолидированные бизнес-требования, техническое задание и функциональные требования</w:t>
      </w:r>
    </w:p>
    <w:p>
      <w:pPr>
        <w:keepNext w:val="false"/>
        <w:spacing w:after="10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B7085"/>
          <w:sz w:val="14"/>
          <w:szCs w:val="14"/>
        </w:rPr>
        <w:t xml:space="preserve">Единый ИИ-инженер (9 линз) · on-premise · масштабирование до платформы</w:t>
      </w:r>
    </w:p>
    <w:tbl>
      <w:tblPr>
        <w:tblW w:type="dxa" w:w="9906"/>
        <w:tblBorders>
          <w:top w:val="single" w:color="C7D2DD" w:sz="4"/>
          <w:left w:val="single" w:color="C7D2DD" w:sz="4"/>
          <w:bottom w:val="single" w:color="C7D2DD" w:sz="4"/>
          <w:right w:val="single" w:color="C7D2DD" w:sz="4"/>
          <w:insideH w:val="single" w:color="C7D2DD" w:sz="4"/>
          <w:insideV w:val="single" w:color="C7D2DD" w:sz="4"/>
        </w:tblBorders>
      </w:tblPr>
      <w:tblGrid>
        <w:gridCol w:w="2600"/>
        <w:gridCol w:w="7306"/>
      </w:tblGrid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3A5B"/>
                <w:sz w:val="17"/>
                <w:szCs w:val="17"/>
              </w:rPr>
              <w:t xml:space="preserve">Продукт</w:t>
            </w:r>
          </w:p>
        </w:tc>
        <w:tc>
          <w:tcPr>
            <w:tcW w:type="dxa" w:w="7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СтройИнтеллект — ИИ-инженер / ИИ-команда управления строительными проектами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3A5B"/>
                <w:sz w:val="17"/>
                <w:szCs w:val="17"/>
              </w:rPr>
              <w:t xml:space="preserve">Версия</w:t>
            </w:r>
          </w:p>
        </w:tc>
        <w:tc>
          <w:tcPr>
            <w:tcW w:type="dxa" w:w="7306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v4.0 (заменяет v3.0). Гибрид BRD + ТЗ + функциональные требования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3A5B"/>
                <w:sz w:val="17"/>
                <w:szCs w:val="17"/>
              </w:rPr>
              <w:t xml:space="preserve">Основание</w:t>
            </w:r>
          </w:p>
        </w:tc>
        <w:tc>
          <w:tcPr>
            <w:tcW w:type="dxa" w:w="7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Решения продуктовой сессии и переговоров, июль 2026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3A5B"/>
                <w:sz w:val="17"/>
                <w:szCs w:val="17"/>
              </w:rPr>
              <w:t xml:space="preserve">Тип</w:t>
            </w:r>
          </w:p>
        </w:tc>
        <w:tc>
          <w:tcPr>
            <w:tcW w:type="dxa" w:w="7306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Внутренний документ разработки и продукта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3A5B"/>
                <w:sz w:val="17"/>
                <w:szCs w:val="17"/>
              </w:rPr>
              <w:t xml:space="preserve">Владелец</w:t>
            </w:r>
          </w:p>
        </w:tc>
        <w:tc>
          <w:tcPr>
            <w:tcW w:type="dxa" w:w="7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Андрей Кузнецов, ООО «7 Красных Линий»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3A5B"/>
                <w:sz w:val="17"/>
                <w:szCs w:val="17"/>
              </w:rPr>
              <w:t xml:space="preserve">Дата</w:t>
            </w:r>
          </w:p>
        </w:tc>
        <w:tc>
          <w:tcPr>
            <w:tcW w:type="dxa" w:w="7306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Июль 2026 г.</w:t>
            </w:r>
          </w:p>
        </w:tc>
      </w:tr>
    </w:tbl>
    <w:p>
      <w:pPr>
        <w:spacing w:after="280"/>
      </w:pPr>
    </w:p>
    <w:p>
      <w:pPr>
        <w:keepNext w:val="false"/>
        <w:spacing w:after="9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A9AAB"/>
          <w:sz w:val="13"/>
          <w:szCs w:val="13"/>
        </w:rPr>
        <w:t xml:space="preserve">info@7rlines.com · 7rlines.ru</w:t>
      </w:r>
    </w:p>
    <w:p>
      <w:pPr>
        <w:sectPr>
          <w:pgSz w:w="11906" w:h="16838" w:orient="portrait"/>
          <w:pgMar w:top="1100" w:right="1000" w:bottom="1100" w:left="100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00 · Что изменилось: v3.0 → v4.0</w:t>
      </w:r>
    </w:p>
    <w:p>
      <w:pPr>
        <w:keepNext w:val="false"/>
        <w:spacing w:after="9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v4.0 фиксирует архитектурный разворот и решения, принятые за последнюю продуктовую сессию. Ключевые изменения: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Разворот на единого инженера.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Герой продукта — один ИИ-инженер с девятью линзами в одной голове, а не оркестр из девяти отдельных агентов. Оркестр стал верхней конфигурацией роста.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Три конфигурации по глубине внедрения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A (единый инженер), B (промышленная сборка), C (полная платформа).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Детерминированный расчётный слой вне модели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зафиксирован как обязательный элемент архитектуры для локальных open-weight моделей.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Локальное развёртывание (on-premise)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на модели заказчика — базовое требование; данные не покидают периметр.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План поставки — 5 этапов за 6 месяцев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с точками приёмки и демонстрируемым результатом каждого.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Модель масштабирования — переиспользуемый движок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+ доменные решения (опорная база + настройка + валидация), новый домен ≈ месяц.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Экспертное сопровождение практиками отрасли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как встроенный процесс валидации (in-the-loop).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Каталог образов результата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(вердикт, финмодель, смета против рынка, лид-таймы, кросс-валидация) как функциональные выходы.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Требования мультитенантности, модель-агностичности и региональной конфигурируемости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(СНГ + MENA) — новые нефункциональные требования.</w:t>
      </w:r>
    </w:p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01 · Назначение продукта</w:t>
      </w:r>
    </w:p>
    <w:p>
      <w:pPr>
        <w:pBdr>
          <w:top w:val="single" w:color="EEF4FB" w:sz="2" w:space="6"/>
          <w:bottom w:val="single" w:color="EEF4FB" w:sz="2" w:space="6"/>
          <w:left w:val="single" w:color="1B3A5B" w:sz="24" w:space="8"/>
          <w:right w:val="single" w:color="EEF4FB" w:sz="2" w:space="6"/>
        </w:pBdr>
        <w:shd w:fill="EEF4FB" w:color="auto" w:val="clear"/>
        <w:spacing w:after="120" w:before="6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СтройИнтеллект — инструмент предпроектной оценки и управления строительными проектами.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На один запрос он думает девятью инженерными компетенциями и выдаёт обоснованное решение: вердикт «брать / не брать», маржу, кассовый разрыв, риски в рублях, крайние сроки заказа. То, на что у сметно-договорного блока уходят дни, — за часы.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7085"/>
          <w:sz w:val="22"/>
          <w:szCs w:val="22"/>
        </w:rPr>
        <w:t xml:space="preserve">Глоссарий</w:t>
      </w:r>
    </w:p>
    <w:tbl>
      <w:tblPr>
        <w:tblW w:type="dxa" w:w="9906"/>
        <w:tblBorders>
          <w:top w:val="single" w:color="C7D2DD" w:sz="4"/>
          <w:left w:val="single" w:color="C7D2DD" w:sz="4"/>
          <w:bottom w:val="single" w:color="C7D2DD" w:sz="4"/>
          <w:right w:val="single" w:color="C7D2DD" w:sz="4"/>
          <w:insideH w:val="single" w:color="C7D2DD" w:sz="4"/>
          <w:insideV w:val="single" w:color="C7D2DD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Термин</w:t>
            </w:r>
          </w:p>
        </w:tc>
        <w:tc>
          <w:tcPr>
            <w:tcW w:type="dxa" w:w="4953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Значение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Линза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Одна из девяти инженерных компетенций, которую агент применяет к запросу (не отдельный сервис)</w:t>
            </w:r>
          </w:p>
        </w:tc>
      </w:tr>
      <w:tr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Единый инженер</w:t>
            </w:r>
          </w:p>
        </w:tc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Один агент, реализующий все девять линз в одном контуре (конфигурации A/B)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Оркестр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Девять отдельных агентов с перекрёстной проверкой зон (конфигурация C)</w:t>
            </w:r>
          </w:p>
        </w:tc>
      </w:tr>
      <w:tr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Опорная база</w:t>
            </w:r>
          </w:p>
        </w:tc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База данных предметной области (прайсы, ставки, нормативы, нормы) — движок расчёта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Доменное решение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Отраслевое направление на общем движке: опорная база + настройка + валидация</w:t>
            </w:r>
          </w:p>
        </w:tc>
      </w:tr>
      <w:tr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Детерминированный слой</w:t>
            </w:r>
          </w:p>
        </w:tc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Расчётный и файловый слой вне модели, обеспечивающий воспроизводимость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Образ результата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Готовый выходной артефакт (вердикт, финмодель, смета-рынок, лид-таймы, кросс-валидация)</w:t>
            </w:r>
          </w:p>
        </w:tc>
      </w:tr>
    </w:tbl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02 · Бизнес-контекст и проблема</w:t>
      </w:r>
    </w:p>
    <w:p>
      <w:pPr>
        <w:keepNext w:val="false"/>
        <w:spacing w:after="9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Данные у застройщика есть, но обрабатываются медленно и вразнобой: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Смета и рынок живут раздельно — расхождение цен замечают уже на стройке.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Проработка идёт по очереди (финансист → сметчик → юрист → снабженец) — недели вместо часов.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Кассовый разрыв виден поздно — за недели, а не месяцы до события.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Исполнительная документация собирается в последний момент — предписания, штрафы, перенос сроков.</w:t>
      </w:r>
    </w:p>
    <w:p>
      <w:pPr>
        <w:keepNext w:val="false"/>
        <w:spacing w:after="9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Обычный ИИ-ассистент проблему не решает: один на всё, поверхностен в каждой зоне, не проверяет собственный ответ и считает деньги на необоснованных данных.</w:t>
      </w:r>
    </w:p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03 · Видение и архитектурный принцип</w:t>
      </w:r>
    </w:p>
    <w:p>
      <w:pPr>
        <w:pBdr>
          <w:top w:val="single" w:color="EEF4FB" w:sz="2" w:space="6"/>
          <w:bottom w:val="single" w:color="EEF4FB" w:sz="2" w:space="6"/>
          <w:left w:val="single" w:color="1B3A5B" w:sz="24" w:space="8"/>
          <w:right w:val="single" w:color="EEF4FB" w:sz="2" w:space="6"/>
        </w:pBdr>
        <w:shd w:fill="EEF4FB" w:color="auto" w:val="clear"/>
        <w:spacing w:after="120" w:before="6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Один инженер — девять линз в одной голове.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Агент последовательно проходит релевантные компетенции и проверяет сам себя: линза снабжения нашла цену — линза сметы видит расхождение и пересчитывает. Порядок линз неизменен: физика (ГИП) → объём (Смета) → цена (Снаб/Подряд) → деньги (Эконом) → риск (Договор/ПТО) → синтез (РП). Никто не считает рубль на необоснованном объёме.</w:t>
      </w:r>
    </w:p>
    <w:p>
      <w:pPr>
        <w:spacing w:after="40" w:before="80"/>
        <w:jc w:val="center"/>
      </w:pPr>
      <w:r>
        <w:drawing>
          <wp:inline distT="0" distB="0" distL="0" distR="0">
            <wp:extent cx="3619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 w:line="264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A9AAB"/>
          <w:sz w:val="15"/>
          <w:szCs w:val="15"/>
        </w:rPr>
        <w:t xml:space="preserve">Девять линз одного инженера.</w:t>
      </w:r>
    </w:p>
    <w:p>
      <w:pPr>
        <w:keepNext w:val="false"/>
        <w:spacing w:after="9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Продукт растёт без перестройки: от единого инженера (A) — к промышленной сборке с движком и узлом (B) — к оркестру из девяти агентов с кросс-валидацией (C). Вход через единого инженера; платформа собирается по мере ценности.</w:t>
      </w:r>
    </w:p>
    <w:p>
      <w:r>
        <w:br w:type="page"/>
      </w:r>
    </w:p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04 · Три конфигурации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 w:line="264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A9AAB"/>
          <w:sz w:val="15"/>
          <w:szCs w:val="15"/>
        </w:rPr>
        <w:t xml:space="preserve">Конфигурации A / B / C по глубине внедрения.</w:t>
      </w:r>
    </w:p>
    <w:tbl>
      <w:tblPr>
        <w:tblW w:type="dxa" w:w="9906"/>
        <w:tblBorders>
          <w:top w:val="single" w:color="C7D2DD" w:sz="4"/>
          <w:left w:val="single" w:color="C7D2DD" w:sz="4"/>
          <w:bottom w:val="single" w:color="C7D2DD" w:sz="4"/>
          <w:right w:val="single" w:color="C7D2DD" w:sz="4"/>
          <w:insideH w:val="single" w:color="C7D2DD" w:sz="4"/>
          <w:insideV w:val="single" w:color="C7D2DD" w:sz="4"/>
        </w:tblBorders>
      </w:tblPr>
      <w:tblGrid>
        <w:gridCol w:w="2500"/>
        <w:gridCol w:w="4100"/>
        <w:gridCol w:w="3306"/>
      </w:tblGrid>
      <w:tr>
        <w:trPr>
          <w:tblHeader/>
        </w:trPr>
        <w:tc>
          <w:tcPr>
            <w:tcW w:type="dxa" w:w="2500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Конфиг.</w:t>
            </w:r>
          </w:p>
        </w:tc>
        <w:tc>
          <w:tcPr>
            <w:tcW w:type="dxa" w:w="4100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Что это</w:t>
            </w:r>
          </w:p>
        </w:tc>
        <w:tc>
          <w:tcPr>
            <w:tcW w:type="dxa" w:w="3306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Технический смысл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A46"/>
                <w:sz w:val="17"/>
                <w:szCs w:val="17"/>
              </w:rPr>
              <w:t xml:space="preserve">A · Единый ИИ-инженер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9 линз в одной модели, один контур</w:t>
            </w:r>
          </w:p>
        </w:tc>
        <w:tc>
          <w:tcPr>
            <w:tcW w:type="dxa" w:w="3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Быстрый старт / пилот</w:t>
            </w:r>
          </w:p>
        </w:tc>
      </w:tr>
      <w:tr>
        <w:tc>
          <w:tcPr>
            <w:tcW w:type="dxa" w:w="2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3A5B"/>
                <w:sz w:val="17"/>
                <w:szCs w:val="17"/>
              </w:rPr>
              <w:t xml:space="preserve">B · Промышленная сборка</w:t>
            </w:r>
          </w:p>
        </w:tc>
        <w:tc>
          <w:tcPr>
            <w:tcW w:type="dxa" w:w="41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A + детерминированный движок + GPU-узел в периметре</w:t>
            </w:r>
          </w:p>
        </w:tc>
        <w:tc>
          <w:tcPr>
            <w:tcW w:type="dxa" w:w="3306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Промышленная эксплуатация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7"/>
                <w:szCs w:val="17"/>
              </w:rPr>
              <w:t xml:space="preserve">C · Полная платформа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Оркестр 9 агентов + кросс-валидация + интеграции + портфель</w:t>
            </w:r>
          </w:p>
        </w:tc>
        <w:tc>
          <w:tcPr>
            <w:tcW w:type="dxa" w:w="3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Портфель и масштаб</w:t>
            </w:r>
          </w:p>
        </w:tc>
      </w:tr>
    </w:tbl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05 · Заинтересованные стороны и роли</w:t>
      </w:r>
    </w:p>
    <w:tbl>
      <w:tblPr>
        <w:tblW w:type="dxa" w:w="9906"/>
        <w:tblBorders>
          <w:top w:val="single" w:color="C7D2DD" w:sz="4"/>
          <w:left w:val="single" w:color="C7D2DD" w:sz="4"/>
          <w:bottom w:val="single" w:color="C7D2DD" w:sz="4"/>
          <w:right w:val="single" w:color="C7D2DD" w:sz="4"/>
          <w:insideH w:val="single" w:color="C7D2DD" w:sz="4"/>
          <w:insideV w:val="single" w:color="C7D2DD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Роль</w:t>
            </w:r>
          </w:p>
        </w:tc>
        <w:tc>
          <w:tcPr>
            <w:tcW w:type="dxa" w:w="4953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Интерес / что получает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Директор / инвесткомитет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Вердикт «брать / не брать» по сделке, маржа и риски в рублях за часы</w:t>
            </w:r>
          </w:p>
        </w:tc>
      </w:tr>
      <w:tr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ГИП / проектировщик</w:t>
            </w:r>
          </w:p>
        </w:tc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Проверка объёмов от осей, нагрузок, состава; статус нормативов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Сметчик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Проверка сметы построчно, ВОР, конъюнктура, целевая цена для торга</w:t>
            </w:r>
          </w:p>
        </w:tc>
      </w:tr>
      <w:tr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Экономист</w:t>
            </w:r>
          </w:p>
        </w:tc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P&amp;L, БДДС, кассовый разрыв, потолки цен, маржа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Снабжение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Рынок против сметы, лид-таймы, крайние сроки заказа</w:t>
            </w:r>
          </w:p>
        </w:tc>
      </w:tr>
      <w:tr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ПТО / юрист</w:t>
            </w:r>
          </w:p>
        </w:tc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Готовность ИД, договорные red-flag, риски с суммами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Владелец продукта (7RL)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Переиспользуемый движок, масштабирование доменами и регионами</w:t>
            </w:r>
          </w:p>
        </w:tc>
      </w:tr>
    </w:tbl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06 · Функциональные требования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7085"/>
          <w:sz w:val="22"/>
          <w:szCs w:val="22"/>
        </w:rPr>
        <w:t xml:space="preserve">6.1 Компетенции (линзы)</w:t>
      </w:r>
    </w:p>
    <w:tbl>
      <w:tblPr>
        <w:tblW w:type="dxa" w:w="9906"/>
        <w:tblBorders>
          <w:top w:val="single" w:color="C7D2DD" w:sz="4"/>
          <w:left w:val="single" w:color="C7D2DD" w:sz="4"/>
          <w:bottom w:val="single" w:color="C7D2DD" w:sz="4"/>
          <w:right w:val="single" w:color="C7D2DD" w:sz="4"/>
          <w:insideH w:val="single" w:color="C7D2DD" w:sz="4"/>
          <w:insideV w:val="single" w:color="C7D2DD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Линза</w:t>
            </w:r>
          </w:p>
        </w:tc>
        <w:tc>
          <w:tcPr>
            <w:tcW w:type="dxa" w:w="4953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Функция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РП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План, критический путь, синтез, вердикт, эскалация</w:t>
            </w:r>
          </w:p>
        </w:tc>
      </w:tr>
      <w:tr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ГИП</w:t>
            </w:r>
          </w:p>
        </w:tc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Объёмы от осей, нагрузки, состав «план vs ТЗ», статус норм — до сметы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Экономист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P&amp;L 3 сценария, БДДС, кассовый разрыв, маржа, потолки цен</w:t>
            </w:r>
          </w:p>
        </w:tc>
      </w:tr>
      <w:tr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Сметчик</w:t>
            </w:r>
          </w:p>
        </w:tc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Проверка сметы построчно, ВОР, сходимость, конъюнктура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Снабжение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Рынок против сметы, КП 3+, карта лид-таймов</w:t>
            </w:r>
          </w:p>
        </w:tc>
      </w:tr>
      <w:tr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Подрядчик</w:t>
            </w:r>
          </w:p>
        </w:tc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Поиск, скоринг, переговоры с субподрядом; свои силы vs подряд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ПТО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Исполнительная документация: чеклист старта, АОСР, статусы</w:t>
            </w:r>
          </w:p>
        </w:tc>
      </w:tr>
      <w:tr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Юрист</w:t>
            </w:r>
          </w:p>
        </w:tc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Договорные red-flag, БГ/ГУ, риски с суммами, защита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Координатор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Паспорт объекта, реестр поручений, ключевые даты, дашборд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7085"/>
          <w:sz w:val="22"/>
          <w:szCs w:val="22"/>
        </w:rPr>
        <w:t xml:space="preserve">6.2 Конвейер оценки и режимы</w:t>
      </w:r>
    </w:p>
    <w:p>
      <w:pPr>
        <w:keepNext w:val="false"/>
        <w:spacing w:after="9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Конвейер /оценка: паспорт → инженерная разведка → ВОР → рынок+монтаж → себестоимость → риск+синтез → вердикт. Режимы: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экспресс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 (вывод+цифра, ≤15 строк),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стандарт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 (полный формат с источниками),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эксперт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 (сценарии, матрица вариантов, пороги).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7085"/>
          <w:sz w:val="22"/>
          <w:szCs w:val="22"/>
        </w:rPr>
        <w:t xml:space="preserve">6.3 Команды</w:t>
      </w:r>
    </w:p>
    <w:p>
      <w:pPr>
        <w:keepNext w:val="false"/>
        <w:spacing w:after="9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Базовые: /оценка · /экспресс-оценка · /смета · /конъюнктура · /себестоимость · /маржа · /лидтайм · /договор · /риски · /сверка · /база. Доменные — специфичные под направление (для монтажа — подбор электрода и термообработка; для сетей — гидравлика и подбор оборудования). Модификаторы: /swot · /примортем · /матрица.</w:t>
      </w:r>
    </w:p>
    <w:p>
      <w:r>
        <w:br w:type="page"/>
      </w:r>
    </w:p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07 · Образы результата (выходные артефакты)</w:t>
      </w:r>
    </w:p>
    <w:p>
      <w:pPr>
        <w:keepNext w:val="false"/>
        <w:spacing w:after="9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За один проход система формирует готовый аналитический пакет. Каждый образ результата — функциональное требование к выходу.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 w:line="264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A9AAB"/>
          <w:sz w:val="15"/>
          <w:szCs w:val="15"/>
        </w:rPr>
        <w:t xml:space="preserve">Карточка вердикта — главный артефакт.</w:t>
      </w:r>
    </w:p>
    <w:tbl>
      <w:tblPr>
        <w:tblW w:type="dxa" w:w="9906"/>
        <w:tblBorders>
          <w:top w:val="single" w:color="C7D2DD" w:sz="4"/>
          <w:left w:val="single" w:color="C7D2DD" w:sz="4"/>
          <w:bottom w:val="single" w:color="C7D2DD" w:sz="4"/>
          <w:right w:val="single" w:color="C7D2DD" w:sz="4"/>
          <w:insideH w:val="single" w:color="C7D2DD" w:sz="4"/>
          <w:insideV w:val="single" w:color="C7D2DD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Образ результата</w:t>
            </w:r>
          </w:p>
        </w:tc>
        <w:tc>
          <w:tcPr>
            <w:tcW w:type="dxa" w:w="3302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Содержание</w:t>
            </w:r>
          </w:p>
        </w:tc>
        <w:tc>
          <w:tcPr>
            <w:tcW w:type="dxa" w:w="3302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Линза-источник</w:t>
            </w:r>
          </w:p>
        </w:tc>
      </w:tr>
      <w:tr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Карточка вердикта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Паспорт объекта, «брать / не брать», коридор маржи, топ-риски в рублях, что уточнить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РП (синтез)</w:t>
            </w:r>
          </w:p>
        </w:tc>
      </w:tr>
      <w:tr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Финансовая модель</w:t>
            </w:r>
          </w:p>
        </w:tc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P&amp;L в 3 сценариях, БДДС на 90 дней, кассовый разрыв, потолки цен</w:t>
            </w:r>
          </w:p>
        </w:tc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Экономист</w:t>
            </w:r>
          </w:p>
        </w:tc>
      </w:tr>
      <w:tr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Смета против рынка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Конъюнктура построчно: смета / рынок / дельта ₽, подсветка завышений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Сметчик + Снабжение</w:t>
            </w:r>
          </w:p>
        </w:tc>
      </w:tr>
      <w:tr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Карта лид-таймов</w:t>
            </w:r>
          </w:p>
        </w:tc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Длинноцикловые позиции, светофор, крайние сроки заказа</w:t>
            </w:r>
          </w:p>
        </w:tc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Снабжение</w:t>
            </w:r>
          </w:p>
        </w:tc>
      </w:tr>
      <w:tr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Кросс-валидация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9 триггеров связи зон, алерты с суммами (цена↔смета, монтаж↔оборуд., работы↔ИД)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Все линзы + координатор</w:t>
            </w:r>
          </w:p>
        </w:tc>
      </w:tr>
    </w:tbl>
    <w:p>
      <w:pPr>
        <w:keepNext w:val="false"/>
        <w:spacing w:after="9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Требование к каждому образу: одноэкранная сводка, каждая цифра — с источником и датой, каждый риск и отклонение — в рублях.</w:t>
      </w:r>
    </w:p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08 · Технические требования и архитектура</w:t>
      </w:r>
    </w:p>
    <w:p>
      <w:pPr>
        <w:keepNext w:val="false"/>
        <w:spacing w:after="9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Всё разворачивается в периметре заказчика. Внешнее облако не используется: модель, движок и данные работают локально.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 w:line="264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A9AAB"/>
          <w:sz w:val="15"/>
          <w:szCs w:val="15"/>
        </w:rPr>
        <w:t xml:space="preserve">Стек развёртывания on-premise.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7085"/>
          <w:sz w:val="22"/>
          <w:szCs w:val="22"/>
        </w:rPr>
        <w:t xml:space="preserve">8.1 Обязательные требования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Локальная модель на своём железе.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Open-weight модель (Qwen класса ~27B и аналоги) на GPU-узле заказчика, без внешних вызовов.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Детерминированный расчётный слой вне модели.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Парсер смет, расчётный движок и ретрив опорной базы реализуются как отдельный инженерный слой вне модели. Модели нельзя доверять арифметику и сходимость смет — расчёты и разбор файлов должны быть воспроизводимы и сходиться с исходником, а не «сочиняться». Это обеспечивает промышленную надёжность.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Модель-агностичность.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Архитектура не завязана на конкретный движок: поддержка open-weight моделей (Qwen / DeepSeek / Llama) с возможностью замены без переписывания решения.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Режимы вычислительной нагрузки.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Быстрый ответ (экспресс) и глубокий разбор (эксперт) с разным бюджетом размышления модели.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Мультитенантность full ↔ light.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Полный СтройИнтеллект на мощностях крупного заказчика может обслуживать обращения более мелких клиентов через облегчённую точку входа (light). Изоляция данных между тенантами обязательна.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Форматы входа.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Структурированные сметы: ГРАНД-Смета XML, РИК XML, Excel. Распознавание сканов (OCR) — отдельная опция, вне базового объёма.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7085"/>
          <w:sz w:val="22"/>
          <w:szCs w:val="22"/>
        </w:rPr>
        <w:t xml:space="preserve">8.2 Слои решения</w:t>
      </w:r>
    </w:p>
    <w:tbl>
      <w:tblPr>
        <w:tblW w:type="dxa" w:w="9906"/>
        <w:tblBorders>
          <w:top w:val="single" w:color="C7D2DD" w:sz="4"/>
          <w:left w:val="single" w:color="C7D2DD" w:sz="4"/>
          <w:bottom w:val="single" w:color="C7D2DD" w:sz="4"/>
          <w:right w:val="single" w:color="C7D2DD" w:sz="4"/>
          <w:insideH w:val="single" w:color="C7D2DD" w:sz="4"/>
          <w:insideV w:val="single" w:color="C7D2DD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Слой</w:t>
            </w:r>
          </w:p>
        </w:tc>
        <w:tc>
          <w:tcPr>
            <w:tcW w:type="dxa" w:w="3302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Назначение</w:t>
            </w:r>
          </w:p>
        </w:tc>
        <w:tc>
          <w:tcPr>
            <w:tcW w:type="dxa" w:w="3302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Конфиг.</w:t>
            </w:r>
          </w:p>
        </w:tc>
      </w:tr>
      <w:tr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GPU-узел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Вычислительная база в периметре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B, C</w:t>
            </w:r>
          </w:p>
        </w:tc>
      </w:tr>
      <w:tr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Локальная модель</w:t>
            </w:r>
          </w:p>
        </w:tc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Open-weight, без внешних вызовов</w:t>
            </w:r>
          </w:p>
        </w:tc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A, B, C</w:t>
            </w:r>
          </w:p>
        </w:tc>
      </w:tr>
      <w:tr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Детерминированный слой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Парсер + расчётный движок + ретрив базы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B, C (в A базово)</w:t>
            </w:r>
          </w:p>
        </w:tc>
      </w:tr>
      <w:tr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Агент(ы)</w:t>
            </w:r>
          </w:p>
        </w:tc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Единый инженер (A/B) или оркестр 9 (C)</w:t>
            </w:r>
          </w:p>
        </w:tc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по конфигурации</w:t>
            </w:r>
          </w:p>
        </w:tc>
      </w:tr>
      <w:tr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Оркестратор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Авто-передача данных между агентами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Интеграции</w:t>
            </w:r>
          </w:p>
        </w:tc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1С, BIM (Tangl), ИСУП, ЕИС</w:t>
            </w:r>
          </w:p>
        </w:tc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C</w:t>
            </w:r>
          </w:p>
        </w:tc>
      </w:tr>
    </w:tbl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09 · Опорная база и доменная модель</w:t>
      </w:r>
    </w:p>
    <w:p>
      <w:pPr>
        <w:keepNext w:val="false"/>
        <w:spacing w:after="9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Инженер настраивается под отрасль через опорную базу из реальных объектов: прайс работ, ставки труда, нормативы выработки, материалы и оборудование, отраслевые нормы, юнит-экономика, реестр объектов, уроки. База — это движок расчёта; чем полнее данные, тем точнее оценка.</w:t>
      </w:r>
    </w:p>
    <w:p>
      <w:pPr>
        <w:pBdr>
          <w:top w:val="single" w:color="EEF4FB" w:sz="2" w:space="6"/>
          <w:bottom w:val="single" w:color="EEF4FB" w:sz="2" w:space="6"/>
          <w:left w:val="single" w:color="1B3A5B" w:sz="24" w:space="8"/>
          <w:right w:val="single" w:color="EEF4FB" w:sz="2" w:space="6"/>
        </w:pBdr>
        <w:shd w:fill="EEF4FB" w:color="auto" w:val="clear"/>
        <w:spacing w:after="120" w:before="6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Модель масштабирования: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движок оплачивается и строится один раз, затем переиспользуется. Новое отраслевое направление (сети, монтаж, дороги, благоустройство) — это доменное решение: опорная база + доменная настройка + валидация на реальном объекте, ≈ месяц, а не разработка с нуля. Для сборки нового домена используются канон структуры опорной базы и скелет промта единого инженера.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Требование: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каждая цифра в базе — с источником и годом; данные старше 90 дней помечаются на проверку.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Требование: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опорные базы разных доменов и объектов изолированы; движок общий, данные раздельные.</w:t>
      </w:r>
    </w:p>
    <w:p>
      <w:r>
        <w:br w:type="page"/>
      </w:r>
    </w:p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10 · Нефункциональные требования</w:t>
      </w:r>
    </w:p>
    <w:tbl>
      <w:tblPr>
        <w:tblW w:type="dxa" w:w="9906"/>
        <w:tblBorders>
          <w:top w:val="single" w:color="C7D2DD" w:sz="4"/>
          <w:left w:val="single" w:color="C7D2DD" w:sz="4"/>
          <w:bottom w:val="single" w:color="C7D2DD" w:sz="4"/>
          <w:right w:val="single" w:color="C7D2DD" w:sz="4"/>
          <w:insideH w:val="single" w:color="C7D2DD" w:sz="4"/>
          <w:insideV w:val="single" w:color="C7D2DD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Категория</w:t>
            </w:r>
          </w:p>
        </w:tc>
        <w:tc>
          <w:tcPr>
            <w:tcW w:type="dxa" w:w="4953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Требование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Производительность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Экспресс-запрос &lt; 15 сек; экспертный анализ &lt; 90 сек (на 90% запросов) на поставляемом узле</w:t>
            </w:r>
          </w:p>
        </w:tc>
      </w:tr>
      <w:tr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Воспроизводимость</w:t>
            </w:r>
          </w:p>
        </w:tc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Расчёты детерминированы, повторяемы и сходятся с исходными документами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Безопасность данных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On-prem; тендерные данные не покидают периметр; изоляция тенантов; защита от prompt injection</w:t>
            </w:r>
          </w:p>
        </w:tc>
      </w:tr>
      <w:tr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Масштабируемость</w:t>
            </w:r>
          </w:p>
        </w:tc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От одного пользователя (A) до кластера 50+ (C) без перестройки решения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Регионы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Конфигурируемый региональный профиль: СНГ (РФ — СП/ГОСТ/ФЕР/44-ФЗ; Казахстан) и MENA (ОАЭ, Саудовская Аравия — FIDIC, VAT, SBC)</w:t>
            </w:r>
          </w:p>
        </w:tc>
      </w:tr>
      <w:tr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Мультиязычность</w:t>
            </w:r>
          </w:p>
        </w:tc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Русский, английский, арабский (включая RTL) — с выбором языка ответа</w:t>
            </w:r>
          </w:p>
        </w:tc>
      </w:tr>
    </w:tbl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11 · Качество данных и доверие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Источник у каждой цифры.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Каждое число — с тегом «источник · дата · статус». Нет источника — помечается как допущение, а не данные.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Инженерная истина до сметы.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Объёмы считаются от осей; деньги не считаются на необоснованных данных.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Антиавтосогласие.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Система ищет слабые места и риски, а не поддакивает плану; любое предложение можно оспорить.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Статус нормативов.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Каждая норма — действует или отменена; ссылка на отменённый документ ловится до попадания в расчёт.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Режим [без базы].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Если опорная база не приложена, система прямо это заявляет и помечает все зависящие от базы цифры как допущения.</w:t>
      </w:r>
    </w:p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12 · Экспертное участие (in-the-loop)</w:t>
      </w:r>
    </w:p>
    <w:p>
      <w:pPr>
        <w:keepNext w:val="false"/>
        <w:spacing w:after="9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Разработку сопровождают практикующие эксперты строительной отрасли (порядка четырёх специалистов, ~4 часа в неделю каждый на протяжении всего проекта). Это встроенный процесс, а не разовая консультация.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Наполняют опорную базу реальными ценами, нормативами и логикой объектов.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Сверяют выходы агента с практикой — ловят расхождения расчёта с площадкой.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Калибруют пороги маржи, коэффициенты и доменные ловушки.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Принимают валидационные кейсы: вердикты агента совпадают с экспертной оценкой.</w:t>
      </w:r>
    </w:p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13 · План поставки — 5 этапов</w:t>
      </w:r>
    </w:p>
    <w:p>
      <w:pPr>
        <w:keepNext w:val="false"/>
        <w:spacing w:after="9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Шесть месяцев, пять этапов, каждый — с точкой сдачи и приёмки. Следующий этап стартует после приёмки предыдущего. Порядок — по зависимости данных.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 w:line="264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A9AAB"/>
          <w:sz w:val="15"/>
          <w:szCs w:val="15"/>
        </w:rPr>
        <w:t xml:space="preserve">Календарный план: 5 этапов за 6 месяцев.</w:t>
      </w:r>
    </w:p>
    <w:tbl>
      <w:tblPr>
        <w:tblW w:type="dxa" w:w="9906"/>
        <w:tblBorders>
          <w:top w:val="single" w:color="C7D2DD" w:sz="4"/>
          <w:left w:val="single" w:color="C7D2DD" w:sz="4"/>
          <w:bottom w:val="single" w:color="C7D2DD" w:sz="4"/>
          <w:right w:val="single" w:color="C7D2DD" w:sz="4"/>
          <w:insideH w:val="single" w:color="C7D2DD" w:sz="4"/>
          <w:insideV w:val="single" w:color="C7D2DD" w:sz="4"/>
        </w:tblBorders>
      </w:tblPr>
      <w:tblGrid>
        <w:gridCol w:w="3200"/>
        <w:gridCol w:w="900"/>
        <w:gridCol w:w="5806"/>
      </w:tblGrid>
      <w:tr>
        <w:trPr>
          <w:tblHeader/>
        </w:trPr>
        <w:tc>
          <w:tcPr>
            <w:tcW w:type="dxa" w:w="3200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Этап</w:t>
            </w:r>
          </w:p>
        </w:tc>
        <w:tc>
          <w:tcPr>
            <w:tcW w:type="dxa" w:w="900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Срок</w:t>
            </w:r>
          </w:p>
        </w:tc>
        <w:tc>
          <w:tcPr>
            <w:tcW w:type="dxa" w:w="5806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Результат этапа (приёмка)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1 · Каркас и инженерная основа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М1</w:t>
            </w:r>
          </w:p>
        </w:tc>
        <w:tc>
          <w:tcPr>
            <w:tcW w:type="dxa" w:w="5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Загрузка файла → ответ агента на тестовом объекте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2 · Расчётный движок</w:t>
            </w:r>
          </w:p>
        </w:tc>
        <w:tc>
          <w:tcPr>
            <w:tcW w:type="dxa" w:w="9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М2</w:t>
            </w:r>
          </w:p>
        </w:tc>
        <w:tc>
          <w:tcPr>
            <w:tcW w:type="dxa" w:w="5806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Парсер + расчётный модуль сходятся на контрольном наборе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3 · Финслой на локальной модели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М3</w:t>
            </w:r>
          </w:p>
        </w:tc>
        <w:tc>
          <w:tcPr>
            <w:tcW w:type="dxa" w:w="5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Финансовый вердикт на локальной модели в периметре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4 · Универсальный агент (9 линз) + база</w:t>
            </w:r>
          </w:p>
        </w:tc>
        <w:tc>
          <w:tcPr>
            <w:tcW w:type="dxa" w:w="9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М4</w:t>
            </w:r>
          </w:p>
        </w:tc>
        <w:tc>
          <w:tcPr>
            <w:tcW w:type="dxa" w:w="5806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Полный проход /оценка на реальном объекте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5 · Валидация и промышленная сдача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М5–М6</w:t>
            </w:r>
          </w:p>
        </w:tc>
        <w:tc>
          <w:tcPr>
            <w:tcW w:type="dxa" w:w="5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Точность на 2 кейсах подтверждена; промышленная эксплуатация; акт</w:t>
            </w:r>
          </w:p>
        </w:tc>
      </w:tr>
    </w:tbl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14 · Критерии приёмки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На 2 реальных объектах вердикт «брать / не брать» с маржой и топ-3 рисками в рублях совпадает по сути с оценкой экспертов.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Расчёты (сметная сходимость, БДДС) воспроизводимы и сходятся с исходными документами.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Тегирование источников — не ниже 98%; значения без источника помечены как допущения.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Время ответа: экспресс &lt; 15 сек, эксперт &lt; 90 сек на 90% запросов.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Решение работает на узле в периметре; тендерные данные не выходят наружу.</w:t>
      </w:r>
    </w:p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15 · Дорожная карта развития</w:t>
      </w:r>
    </w:p>
    <w:tbl>
      <w:tblPr>
        <w:tblW w:type="dxa" w:w="9906"/>
        <w:tblBorders>
          <w:top w:val="single" w:color="C7D2DD" w:sz="4"/>
          <w:left w:val="single" w:color="C7D2DD" w:sz="4"/>
          <w:bottom w:val="single" w:color="C7D2DD" w:sz="4"/>
          <w:right w:val="single" w:color="C7D2DD" w:sz="4"/>
          <w:insideH w:val="single" w:color="C7D2DD" w:sz="4"/>
          <w:insideV w:val="single" w:color="C7D2DD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Направление</w:t>
            </w:r>
          </w:p>
        </w:tc>
        <w:tc>
          <w:tcPr>
            <w:tcW w:type="dxa" w:w="4953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Содержание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Домены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Новые отраслевые направления на общем движке (сети, монтаж, дороги, благоустройство) — ≈ месяц каждое</w:t>
            </w:r>
          </w:p>
        </w:tc>
      </w:tr>
      <w:tr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Платформа (конфиг. C)</w:t>
            </w:r>
          </w:p>
        </w:tc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Разнесение на 9 агентов, оркестратор, интеграции, портфель, масштаб 50+</w:t>
            </w:r>
          </w:p>
        </w:tc>
      </w:tr>
      <w:tr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Регионы</w:t>
            </w:r>
          </w:p>
        </w:tc>
        <w:tc>
          <w:tcPr>
            <w:tcW w:type="dxa" w:w="49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Активация профилей СНГ (Казахстан) и MENA (ОАЭ, Саудовская Аравия); мультиязычность RU/EN/AR</w:t>
            </w:r>
          </w:p>
        </w:tc>
      </w:tr>
      <w:tr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Мультитенантность</w:t>
            </w:r>
          </w:p>
        </w:tc>
        <w:tc>
          <w:tcPr>
            <w:tcW w:type="dxa" w:w="4953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Light как точка входа мелких клиентов к полному СтройИнтеллекту крупного заказчика</w:t>
            </w:r>
          </w:p>
        </w:tc>
      </w:tr>
    </w:tbl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16 · Допущения, ограничения, риски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Форматы смет на старте — структурированные (XML/Excel); OCR сканов — отдельная опция.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«Универсальный» агент несёт общие 9 линз; глубокая отраслевая точность добирается доменным решением.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Ведение опорной базы после сдачи — на стороне заказчика (входит модуль актуализации).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Риск слабой промежуточной видимости первых этапов (технические) — закрывается демонстрируемым результатом каждого этапа.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Риск срока поставки железа — заказ размещается заранее; до поставки разработка на облаке, чтобы не простаивать.</w:t>
      </w:r>
    </w:p>
    <w:p>
      <w:pPr>
        <w:pStyle w:val="Heading1"/>
        <w:keepNext/>
        <w:pBdr>
          <w:bottom w:val="single" w:color="1B3A5B" w:sz="10" w:space="4"/>
        </w:pBdr>
        <w:spacing w:after="11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3A5B"/>
          <w:sz w:val="26"/>
          <w:szCs w:val="26"/>
        </w:rPr>
        <w:t xml:space="preserve">17 · Боевые кейсы (обоснование методологии)</w:t>
      </w:r>
    </w:p>
    <w:p>
      <w:pPr>
        <w:keepNext w:val="false"/>
        <w:spacing w:after="9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Системная логика отлажена на реальных объектах — на них решение находило то, что теряют вручную:</w:t>
      </w:r>
    </w:p>
    <w:tbl>
      <w:tblPr>
        <w:tblW w:type="dxa" w:w="9906"/>
        <w:tblBorders>
          <w:top w:val="single" w:color="C7D2DD" w:sz="4"/>
          <w:left w:val="single" w:color="C7D2DD" w:sz="4"/>
          <w:bottom w:val="single" w:color="C7D2DD" w:sz="4"/>
          <w:right w:val="single" w:color="C7D2DD" w:sz="4"/>
          <w:insideH w:val="single" w:color="C7D2DD" w:sz="4"/>
          <w:insideV w:val="single" w:color="C7D2DD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Объект</w:t>
            </w:r>
          </w:p>
        </w:tc>
        <w:tc>
          <w:tcPr>
            <w:tcW w:type="dxa" w:w="3302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Что нашла система</w:t>
            </w:r>
          </w:p>
        </w:tc>
        <w:tc>
          <w:tcPr>
            <w:tcW w:type="dxa" w:w="3302"/>
            <w:shd w:fill="1B3A5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Эффект</w:t>
            </w:r>
          </w:p>
        </w:tc>
      </w:tr>
      <w:tr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Дорога (Дагестан)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Битум +158% к смете — главный риск маржи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найдено до подписания</w:t>
            </w:r>
          </w:p>
        </w:tc>
      </w:tr>
      <w:tr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Школа №19 (Москва)</w:t>
            </w:r>
          </w:p>
        </w:tc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Кассовый разрыв за 13 мес до факта; ГУ 5% = 101 млн вне оборота</w:t>
            </w:r>
          </w:p>
        </w:tc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замена на банковскую гарантию</w:t>
            </w:r>
          </w:p>
        </w:tc>
      </w:tr>
      <w:tr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Лифт (Махачкала)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Монтаж в смете есть, оборудования нет</w:t>
            </w:r>
          </w:p>
        </w:tc>
        <w:tc>
          <w:tcPr>
            <w:tcW w:type="dxa" w:w="33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дыра −3,1 млн</w:t>
            </w:r>
          </w:p>
        </w:tc>
      </w:tr>
      <w:tr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Смета 109 позиций</w:t>
            </w:r>
          </w:p>
        </w:tc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9 нарушений за один проход</w:t>
            </w:r>
          </w:p>
        </w:tc>
        <w:tc>
          <w:tcPr>
            <w:tcW w:type="dxa" w:w="3302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6"/>
                <w:sz w:val="17"/>
                <w:szCs w:val="17"/>
              </w:rPr>
              <w:t xml:space="preserve">предотвращение убытка</w:t>
            </w:r>
          </w:p>
        </w:tc>
      </w:tr>
    </w:tbl>
    <w:p>
      <w:pPr>
        <w:spacing w:after="50"/>
      </w:pPr>
    </w:p>
    <w:p>
      <w:pPr>
        <w:pBdr>
          <w:top w:val="single" w:color="EEF4FB" w:sz="2" w:space="6"/>
          <w:bottom w:val="single" w:color="EEF4FB" w:sz="2" w:space="6"/>
          <w:left w:val="single" w:color="1B3A5B" w:sz="24" w:space="8"/>
          <w:right w:val="single" w:color="EEF4FB" w:sz="2" w:space="6"/>
        </w:pBdr>
        <w:shd w:fill="EEF4FB" w:color="auto" w:val="clear"/>
        <w:spacing w:after="120" w:before="6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6"/>
          <w:sz w:val="19"/>
          <w:szCs w:val="19"/>
        </w:rPr>
        <w:t xml:space="preserve">Итог BRD v4: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6"/>
          <w:sz w:val="19"/>
          <w:szCs w:val="19"/>
        </w:rPr>
        <w:t xml:space="preserve">СтройИнтеллект — единый ИИ-инженер (9 линз) на локальной модели в периметре заказчика, с детерминированным расчётным слоем, экспертной валидацией и каталогом образов результата. Поставляется за 6 месяцев пятью этапами и растёт от единого инженера до платформы, от одного домена до отрасли, от СНГ до MENA — без перестройки.</w:t>
      </w:r>
    </w:p>
    <w:sectPr>
      <w:headerReference w:type="default" r:id="rId7"/>
      <w:footerReference w:type="default" r:id="rId8"/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spacing w:before="0"/>
      <w:jc w:val="center"/>
    </w:pPr>
    <w:r>
      <w:rPr>
        <w:rFonts w:ascii="Calibri" w:cs="Calibri" w:eastAsia="Calibri" w:hAnsi="Calibri"/>
        <w:color w:val="8A9AAB"/>
        <w:sz w:val="14"/>
        <w:szCs w:val="14"/>
      </w:rPr>
      <w:t xml:space="preserve">СтройИнтеллект · Конфиденциально · 7КЛ    |    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spacing w:after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A9AAB"/>
        <w:sz w:val="14"/>
        <w:szCs w:val="14"/>
      </w:rPr>
      <w:t xml:space="preserve">СтройИнтеллект · BRD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  <w:rPr>
        <w:color w:val="5B708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6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B3A5B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5B7085"/>
      <w:sz w:val="22"/>
      <w:szCs w:val="22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475B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fcccc04dda0b4204eef88b3059c4728c5f4e83c.png"/><Relationship Id="rId10" Type="http://schemas.openxmlformats.org/officeDocument/2006/relationships/image" Target="media/9914eb07d8d899693ed2abc4d49ace11eab624a0.png"/><Relationship Id="rId11" Type="http://schemas.openxmlformats.org/officeDocument/2006/relationships/image" Target="media/26ab13e2f259a34f5a4e27da831b52012f9accbb.png"/><Relationship Id="rId12" Type="http://schemas.openxmlformats.org/officeDocument/2006/relationships/image" Target="media/4a24a64db8c09e59010ca3bf9014d5240fc54a25.png"/><Relationship Id="rId13" Type="http://schemas.openxmlformats.org/officeDocument/2006/relationships/image" Target="media/5c5e1bdae6e9f180756cd307898b2fe30beb100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2026-07-07T14:35:37.769Z</dcterms:created>
  <dcterms:modified xsi:type="dcterms:W3CDTF">2026-07-07T14:35:37.770Z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