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СТРОЙИНТЕЛЛЕКТ · ПРОЕКТНЫЙ ОФИС</w:t>
      </w:r>
    </w:p>
    <w:p>
      <w:pPr>
        <w:pBdr>
          <w:bottom w:val="single" w:color="1F3864" w:sz="12"/>
        </w:pBdr>
        <w:spacing w:after="40"/>
        <w:jc w:val="center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ИТОГОВАЯ ПОЯСНИТЕЛЬНАЯ ЗАПИСКА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Заключение о целесообразности работы на объекте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по результатам сквозного аудита проектно-сметной документации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Оснащение системой видеонаблюдения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Железнодорожный грузопассажирский пункт пропуска через государственную границу РФ — ЖДПП «Зауралье»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ст. Зауралье, 76 км, пк 6+80 · Половинский район · Курганская область</w:t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B8C4D9" w:sz="4"/>
          <w:insideV w:val="single" w:color="B8C4D9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Объект / шифр</w:t>
            </w:r>
          </w:p>
        </w:tc>
        <w:tc>
          <w:tcPr>
            <w:tcW w:type="dxa" w:w="63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SI-2026-KRG-ZAU-СОТ · проект 1102/23-Зауралье (АО «Оргэнергострой»), стадия «П»</w:t>
            </w:r>
          </w:p>
        </w:tc>
      </w:tr>
      <w:tr>
        <w:trPr>
          <w:cantSplit/>
        </w:trPr>
        <w:tc>
          <w:tcPr>
            <w:tcW w:type="dxa" w:w="3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Адресат записки</w:t>
            </w:r>
          </w:p>
        </w:tc>
        <w:tc>
          <w:tcPr>
            <w:tcW w:type="dxa" w:w="63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Для рассмотрения структурами потенциального генерального подрядчика</w:t>
            </w:r>
          </w:p>
        </w:tc>
      </w:tr>
      <w:tr>
        <w:trPr>
          <w:cantSplit/>
        </w:trPr>
        <w:tc>
          <w:tcPr>
            <w:tcW w:type="dxa" w:w="3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Составил</w:t>
            </w:r>
          </w:p>
        </w:tc>
        <w:tc>
          <w:tcPr>
            <w:tcW w:type="dxa" w:w="63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ИИ-руководитель проекта, руководитель проектного офиса СтройИнтеллект — по материалам сквозного прогона командой (9 специалистов)</w:t>
            </w:r>
          </w:p>
        </w:tc>
      </w:tr>
      <w:tr>
        <w:trPr>
          <w:cantSplit/>
        </w:trPr>
        <w:tc>
          <w:tcPr>
            <w:tcW w:type="dxa" w:w="3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Дата</w:t>
            </w:r>
          </w:p>
        </w:tc>
        <w:tc>
          <w:tcPr>
            <w:tcW w:type="dxa" w:w="63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03.08.2026</w:t>
            </w:r>
          </w:p>
        </w:tc>
      </w:tr>
      <w:tr>
        <w:trPr>
          <w:cantSplit/>
        </w:trPr>
        <w:tc>
          <w:tcPr>
            <w:tcW w:type="dxa" w:w="3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Статус документа</w:t>
            </w:r>
          </w:p>
        </w:tc>
        <w:tc>
          <w:tcPr>
            <w:tcW w:type="dxa" w:w="63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i/>
                <w:iCs/>
                <w:color w:val="222222"/>
                <w:sz w:val="17"/>
                <w:szCs w:val="17"/>
              </w:rPr>
              <w:t xml:space="preserve">Конфиденциально. Предварительный аудит — договор и рабочая документация не получены; точность оценок ±15%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Содержание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Резюме для руководства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Что за объект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Финансовая картина: от сметы к реальным деньгам</w:t>
      </w:r>
    </w:p>
    <w:p>
      <w:pPr>
        <w:spacing w:after="90" w:line="288"/>
      </w:pPr>
      <w:r>
        <w:rPr>
          <w:rFonts w:ascii="Arial" w:cs="Arial" w:eastAsia="Arial" w:hAnsi="Arial"/>
          <w:b w:val="false"/>
          <w:bCs w:val="false"/>
          <w:color w:val="595959"/>
          <w:sz w:val="21"/>
          <w:szCs w:val="21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 3.1. Что в смете   ·   3.2. Три структурные аномалии</w:t>
      </w:r>
    </w:p>
    <w:p>
      <w:pPr>
        <w:spacing w:after="90" w:line="288"/>
      </w:pPr>
      <w:r>
        <w:rPr>
          <w:rFonts w:ascii="Arial" w:cs="Arial" w:eastAsia="Arial" w:hAnsi="Arial"/>
          <w:b w:val="false"/>
          <w:bCs w:val="false"/>
          <w:color w:val="595959"/>
          <w:sz w:val="21"/>
          <w:szCs w:val="21"/>
        </w:rPr>
        <w:t xml:space="preserve">   </w:t>
      </w: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    3.3. Реальные деньги   ·   3.4. Финансовый результат: три сценария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Проблемы объекта и варианты их решения (П-1 … П-10)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Оценка работы команды</w:t>
      </w:r>
    </w:p>
    <w:p>
      <w:pPr>
        <w:spacing w:after="90" w:line="288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Заключение о целесообразности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Резюме для руководства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Настоящая записка отвечает на один вопрос: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целесообразно ли брать этот объект в работу и на каких условиях.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Объект прошёл сквозной аудит девятью специалистами проектного офиса (инженер проекта, сметчик, экономист, снабжение, подряд, ПТО, договорник, администратор, руководитель). Все переделы отработаны, результаты сведены. Вывод команды единый.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9" w:sz="2"/>
              <w:left w:val="single" w:color="BF8F00" w:sz="24"/>
              <w:bottom w:val="single" w:color="B8C4D9" w:sz="2"/>
              <w:right w:val="single" w:color="B8C4D9" w:sz="2"/>
            </w:tcBorders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1"/>
                <w:szCs w:val="21"/>
              </w:rPr>
              <w:t xml:space="preserve">ГЛАВНЫЙ ВЫВОД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Объект в сметном виде выглядит как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128,5 млн ₽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 Фактически реального фронта работ для подрядчика здесь — около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37–40 млн ₽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 Разница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~65 млн ₽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— это блок «выноса контактной сети», который проектом не обоснован и не может быть закрыт актами.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 реальном фронте маржа генподрядчика в базовом сценарии —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у нуля (−0,6%)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, то есть ниже красной линии рентабельности 5%.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b/>
                <w:bCs/>
                <w:color w:val="BF8F00"/>
                <w:sz w:val="21"/>
                <w:szCs w:val="21"/>
              </w:rPr>
              <w:t xml:space="preserve">ЗАКЛЮЧЕНИЕ: </w:t>
            </w: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🟡 брать МОЖНО, но только на условиях сценария Б и после закрытия трёх вопросов. Без них — 🔴 не заходить: объект убыточен и несёт правовой риск.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A9C"/>
          <w:sz w:val="23"/>
          <w:szCs w:val="23"/>
        </w:rPr>
        <w:t xml:space="preserve">Три условия, без которых на объект не заходить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B8C4D9" w:sz="4"/>
          <w:insideV w:val="single" w:color="B8C4D9" w:sz="4"/>
        </w:tblBorders>
      </w:tblPr>
      <w:tblGrid>
        <w:gridCol w:w="500"/>
        <w:gridCol w:w="3200"/>
        <w:gridCol w:w="5660"/>
      </w:tblGrid>
      <w:tr>
        <w:trPr>
          <w:cantSplit/>
        </w:trPr>
        <w:tc>
          <w:tcPr>
            <w:tcW w:type="dxa" w:w="5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32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Условие</w:t>
            </w:r>
          </w:p>
        </w:tc>
        <w:tc>
          <w:tcPr>
            <w:tcW w:type="dxa" w:w="566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Суть и цена вопроса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Разобраться с блоком «выноса контактной сети» — 64,71 млн ₽</w:t>
            </w:r>
          </w:p>
        </w:tc>
        <w:tc>
          <w:tcPr>
            <w:tcW w:type="dxa" w:w="56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Официальный запрос заказчику/РЖД: какой вынос реально требуется. Вычистить «воздух» из цены через ценовой аудит (Глава 12). Иначе — либо убыток −5,3 млн ₽, либо риск фиктивных актов (ст. 159 УК).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Письменно разграничить объём поставки оборудования и опор</w:t>
            </w:r>
          </w:p>
        </w:tc>
        <w:tc>
          <w:tcPr>
            <w:tcW w:type="dxa" w:w="56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«Железо» СОТ (16–46 млн ₽) и металл опор (5–7,5 млн ₽) должны быть давальческими (поставка заказчика). Если их повесят на подрядчика без допсметы — объект глубоко убыточен.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Зафиксировать НДС 22% и режим закупки</w:t>
            </w:r>
          </w:p>
        </w:tc>
        <w:tc>
          <w:tcPr>
            <w:tcW w:type="dxa" w:w="56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Формула «цена плюс НДС сверху» снимает риск 2,14 млн ₽. Установить, гособоронзаказ ли это (275-ФЗ) — он меняет всю схему расчётов, банк и предельную рентабельность.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Ценность этой работы для потенциального генподрядчика проста: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мы вскрыли 65 млн «воздуха» и ноль маржи ДО подписания договора, а не при закрытии актов через полгода.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Это защита от подписанного убытка и от уголовного риска по фиктивным объёмам.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Что за объект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Это оснащение действующего железнодорожного пункта пропуска через государственную границу системой видеонаблюдения и сопутствующим электроснабжением. Не капитальное строительство в классическом смысле — это монтаж систем на работающей железнодорожной станции: установка опор, подвеска кабеля, монтаж видеокамер и слаботочки, электроснабжение технического блок-контейнера.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Две особенности определяют весь профиль рисков: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(1) объект — на действующей инфраструктуре РЖД, рядом с контактной сетью 27,5 кВ под напряжением; (2) объект — категорированный, в контуре пограничной службы ФСБ, со сведениями, составляющими гостайну. И то, и другое резко сужает круг исполнителей и удлиняет путь к вводу.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B8C4D9" w:sz="4"/>
          <w:insideV w:val="single" w:color="B8C4D9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shd w:fill="2E5A9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6160"/>
            <w:shd w:fill="2E5A9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Сметная стоимость</w:t>
            </w:r>
          </w:p>
        </w:tc>
        <w:tc>
          <w:tcPr>
            <w:tcW w:type="dxa" w:w="6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128 491,5 тыс. ₽ с НДС 20% (текущий уровень цен II квартала 2025 г.)</w:t>
            </w:r>
          </w:p>
        </w:tc>
      </w:tr>
      <w:tr>
        <w:trPr>
          <w:cantSplit/>
        </w:trPr>
        <w:tc>
          <w:tcPr>
            <w:tcW w:type="dxa" w:w="3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Состав</w:t>
            </w:r>
          </w:p>
        </w:tc>
        <w:tc>
          <w:tcPr>
            <w:tcW w:type="dxa" w:w="6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Книга 1 — система видеонаблюдения (СОТ, 14,2 млн). Книга 2 — система электроснабжения (ЭОМ, 89,5 млн). Пусконаладка 0,89 млн + спецпроверки ФСБ 0,35 млн</w:t>
            </w:r>
          </w:p>
        </w:tc>
      </w:tr>
      <w:tr>
        <w:trPr>
          <w:cantSplit/>
        </w:trPr>
        <w:tc>
          <w:tcPr>
            <w:tcW w:type="dxa" w:w="3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Что монтируется</w:t>
            </w:r>
          </w:p>
        </w:tc>
        <w:tc>
          <w:tcPr>
            <w:tcW w:type="dxa" w:w="6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202 видеокамеры, 8 модулей РЛС Orwell-R, 8 тепловизоров, 36 уличных коммутаторов, 2 сервера хранения 384 Тб, криптошлюзы, 133 опоры, ~5 км кабеля СИП, ВОЛС</w:t>
            </w:r>
          </w:p>
        </w:tc>
      </w:tr>
      <w:tr>
        <w:trPr>
          <w:cantSplit/>
        </w:trPr>
        <w:tc>
          <w:tcPr>
            <w:tcW w:type="dxa" w:w="3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Проектировщик</w:t>
            </w:r>
          </w:p>
        </w:tc>
        <w:tc>
          <w:tcPr>
            <w:tcW w:type="dxa" w:w="6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АО «Институт «Оргэнергострой» (Москва). ГИП — Безъязыков Д.С.</w:t>
            </w:r>
          </w:p>
        </w:tc>
      </w:tr>
      <w:tr>
        <w:trPr>
          <w:cantSplit/>
        </w:trPr>
        <w:tc>
          <w:tcPr>
            <w:tcW w:type="dxa" w:w="3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Стадия</w:t>
            </w:r>
          </w:p>
        </w:tc>
        <w:tc>
          <w:tcPr>
            <w:tcW w:type="dxa" w:w="6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Проектная «П». Рабочая документация для точных объёмов ещё требуется. Договор не получен. Срок производства работ в документах не задан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Финансовая картина: от сметы к реальным деньгам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Ключ к пониманию объекта — разница между тем, что написано в смете, и тем, что реально может заработать подрядчик. Пройдём этот путь по шагам.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A9C"/>
          <w:sz w:val="23"/>
          <w:szCs w:val="23"/>
        </w:rPr>
        <w:t xml:space="preserve">3.1. Что в смете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B8C4D9" w:sz="4"/>
          <w:insideV w:val="single" w:color="B8C4D9" w:sz="4"/>
        </w:tblBorders>
      </w:tblPr>
      <w:tblGrid>
        <w:gridCol w:w="4400"/>
        <w:gridCol w:w="2560"/>
        <w:gridCol w:w="2400"/>
      </w:tblGrid>
      <w:tr>
        <w:trPr>
          <w:cantSplit/>
        </w:trPr>
        <w:tc>
          <w:tcPr>
            <w:tcW w:type="dxa" w:w="44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256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Сумма, ₽</w:t>
            </w:r>
          </w:p>
        </w:tc>
        <w:tc>
          <w:tcPr>
            <w:tcW w:type="dxa" w:w="24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Доля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Строительные работы</w:t>
            </w:r>
          </w:p>
        </w:tc>
        <w:tc>
          <w:tcPr>
            <w:tcW w:type="dxa" w:w="25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20 957 049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20% — опоры, земля, окраска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Монтажные работы</w:t>
            </w:r>
          </w:p>
        </w:tc>
        <w:tc>
          <w:tcPr>
            <w:tcW w:type="dxa" w:w="25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79 661 694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76% — ядро, из них 64,7 «вынос КС»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Оборудование</w:t>
            </w:r>
          </w:p>
        </w:tc>
        <w:tc>
          <w:tcPr>
            <w:tcW w:type="dxa" w:w="25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2 222 036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2% — только криптошлюзы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Прочие (пусконаладка, спецпроверки)</w:t>
            </w:r>
          </w:p>
        </w:tc>
        <w:tc>
          <w:tcPr>
            <w:tcW w:type="dxa" w:w="25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1 245 253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1%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Непредвиденные 2%</w:t>
            </w:r>
          </w:p>
        </w:tc>
        <w:tc>
          <w:tcPr>
            <w:tcW w:type="dxa" w:w="25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2 099 525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Итого без НДС</w:t>
            </w:r>
          </w:p>
        </w:tc>
        <w:tc>
          <w:tcPr>
            <w:tcW w:type="dxa" w:w="256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107 076 237</w:t>
            </w:r>
          </w:p>
        </w:tc>
        <w:tc>
          <w:tcPr>
            <w:tcW w:type="dxa" w:w="24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база для расчётов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НДС 20%</w:t>
            </w:r>
          </w:p>
        </w:tc>
        <w:tc>
          <w:tcPr>
            <w:tcW w:type="dxa" w:w="25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21 415 247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фактически 22% с 2026</w:t>
            </w:r>
          </w:p>
        </w:tc>
      </w:tr>
      <w:tr>
        <w:trPr>
          <w:cantSplit/>
        </w:trPr>
        <w:tc>
          <w:tcPr>
            <w:tcW w:type="dxa" w:w="4400"/>
            <w:shd w:fill="FFF7E6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ВСЕГО с НДС (потолок цены)</w:t>
            </w:r>
          </w:p>
        </w:tc>
        <w:tc>
          <w:tcPr>
            <w:tcW w:type="dxa" w:w="2560"/>
            <w:shd w:fill="FFF7E6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128 491 484</w:t>
            </w:r>
          </w:p>
        </w:tc>
        <w:tc>
          <w:tcPr>
            <w:tcW w:type="dxa" w:w="2400"/>
            <w:shd w:fill="FFF7E6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A9C"/>
          <w:sz w:val="23"/>
          <w:szCs w:val="23"/>
        </w:rPr>
        <w:t xml:space="preserve">3.2. Что не так со сметой: три структурные аномалии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9" w:sz="2"/>
              <w:left w:val="single" w:color="C00000" w:sz="24"/>
              <w:bottom w:val="single" w:color="B8C4D9" w:sz="2"/>
              <w:right w:val="single" w:color="B8C4D9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Аномалия 1. «Вынос контактной сети» — 64,71 млн ₽ воздуха (60% базы)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Смета содержит работы «вынос и возврат в рабочее положение проводов контактной сети» общим объёмом </w:t>
            </w: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200 км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. Инженер проекта установил: на станции длиной 2,5 км физически есть всего ~17 км всех проводов вместе взятых. Объём в смете превышает физику в 11 раз.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Более того — проект вообще не трогает контактную сеть: пересечения решены проколом под путями (ГНБ) на 3 м, опоры ставятся не ближе 2 м от сети. Вынос обоснован только в 3 точках установки жёстких поперечин перехода. Остальные 198 км — работа, которой </w:t>
            </w: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нет в проекте и которую нельзя предъявить к оплате.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9" w:sz="2"/>
              <w:left w:val="single" w:color="BF8F00" w:sz="24"/>
              <w:bottom w:val="single" w:color="B8C4D9" w:sz="2"/>
              <w:right w:val="single" w:color="B8C4D9" w:sz="2"/>
            </w:tcBorders>
            <w:shd w:fill="FEF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1"/>
                <w:szCs w:val="21"/>
              </w:rPr>
              <w:t xml:space="preserve">Аномалия 2. Оборудование на десятки миллионов — не в смете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По проекту объект несёт 202 камеры, 2 сервера хранения, 8 модулей РЛС, криптошлюзы, коммутаторы — по рынку это </w:t>
            </w: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16–46 млн ₽ «железа».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 смете строка «оборудование» — всего 2,22 млн. Вывод команды: это оборудование почти наверняка </w:t>
            </w: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давальческое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(поставка заказчика), что логично для режимного объекта охраны госграницы. Подрядчик его только монтирует.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Но пока это письменно не закреплено — есть риск, что заказчик потребует поставку по нашей цене. Тогда объект убыточен на десятки млн.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9" w:sz="2"/>
              <w:left w:val="single" w:color="BF8F00" w:sz="24"/>
              <w:bottom w:val="single" w:color="B8C4D9" w:sz="2"/>
              <w:right w:val="single" w:color="B8C4D9" w:sz="2"/>
            </w:tcBorders>
            <w:shd w:fill="FEF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1"/>
                <w:szCs w:val="21"/>
              </w:rPr>
              <w:t xml:space="preserve">Аномалия 3. Материалов подозрительно мало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Вся строка «материалы» по всем сметам — 1,86 млн ₽. При этом один только металл 133 опор по рынку — около 6 млн ₽, втрое больше всей материальной базы. Значит опоры либо зашиты в стоимость работ, либо тоже давальческие, либо недоучтены. Требует прояснения — иначе себестоимость занижена.</w:t>
            </w:r>
          </w:p>
        </w:tc>
      </w:tr>
    </w:tbl>
    <w:p>
      <w:r>
        <w:br w:type="pag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A9C"/>
          <w:sz w:val="23"/>
          <w:szCs w:val="23"/>
        </w:rPr>
        <w:t xml:space="preserve">3.3. Реальные деньги: сколько здесь работы на самом деле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Если убрать воздух (блок КС) и давальческое оборудование, остаётся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реальный фронт подрядчика — 37,15 млн ₽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работ (без НДС): электромонтаж ЭОМ без выноса КС (24,8 млн), монтаж видеонаблюдения (11,1 млн), пусконаладка и спецпроверки (1,25 млн). Плюс оборудование в смете (2,22 млн) и непредвиденные — итого выручка ~40,2 млн ₽.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A9C"/>
          <w:sz w:val="23"/>
          <w:szCs w:val="23"/>
        </w:rPr>
        <w:t xml:space="preserve">3.4. Финансовый результат: три сценария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Экономист свёл себестоимость «снизу вверх» — с реальной ценой субподряда, административными расходами генподряда (штат на 6 месяцев — 3,64 млн) и стоимостью исполнительной документации сверх сметы (1,78 млн). Это ключевая поправка: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валовая оценка сметчика давала +14%, но после реальных косвенных затрат «жирок» съедается до нуля.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B8C4D9" w:sz="4"/>
          <w:insideV w:val="single" w:color="B8C4D9" w:sz="4"/>
        </w:tblBorders>
      </w:tblPr>
      <w:tblGrid>
        <w:gridCol w:w="3400"/>
        <w:gridCol w:w="2000"/>
        <w:gridCol w:w="2000"/>
        <w:gridCol w:w="1960"/>
      </w:tblGrid>
      <w:tr>
        <w:trPr>
          <w:cantSplit/>
        </w:trPr>
        <w:tc>
          <w:tcPr>
            <w:tcW w:type="dxa" w:w="34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Статья (без НДС)</w:t>
            </w:r>
          </w:p>
        </w:tc>
        <w:tc>
          <w:tcPr>
            <w:tcW w:type="dxa" w:w="20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Оптимист</w:t>
            </w:r>
          </w:p>
        </w:tc>
        <w:tc>
          <w:tcPr>
            <w:tcW w:type="dxa" w:w="20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Базовый</w:t>
            </w:r>
          </w:p>
        </w:tc>
        <w:tc>
          <w:tcPr>
            <w:tcW w:type="dxa" w:w="196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Пессимист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Выручка (реальный фронт Б)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40 163 148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40 163 148</w:t>
            </w:r>
          </w:p>
        </w:tc>
        <w:tc>
          <w:tcPr>
            <w:tcW w:type="dxa" w:w="19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40 163 148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Себестоимость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37 370 325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40 418 858</w:t>
            </w:r>
          </w:p>
        </w:tc>
        <w:tc>
          <w:tcPr>
            <w:tcW w:type="dxa" w:w="19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51 113 620</w:t>
            </w:r>
          </w:p>
        </w:tc>
      </w:tr>
      <w:tr>
        <w:trPr>
          <w:cantSplit/>
        </w:trPr>
        <w:tc>
          <w:tcPr>
            <w:tcW w:type="dxa" w:w="34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Прибыль / убыток до налога</w:t>
            </w:r>
          </w:p>
        </w:tc>
        <w:tc>
          <w:tcPr>
            <w:tcW w:type="dxa" w:w="2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+2 792 823</w:t>
            </w:r>
          </w:p>
        </w:tc>
        <w:tc>
          <w:tcPr>
            <w:tcW w:type="dxa" w:w="2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−255 710</w:t>
            </w:r>
          </w:p>
        </w:tc>
        <w:tc>
          <w:tcPr>
            <w:tcW w:type="dxa" w:w="196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−10 950 472</w:t>
            </w:r>
          </w:p>
        </w:tc>
      </w:tr>
      <w:tr>
        <w:trPr>
          <w:cantSplit/>
        </w:trPr>
        <w:tc>
          <w:tcPr>
            <w:tcW w:type="dxa" w:w="34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% к выручке</w:t>
            </w:r>
          </w:p>
        </w:tc>
        <w:tc>
          <w:tcPr>
            <w:tcW w:type="dxa" w:w="2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+7,0%</w:t>
            </w:r>
          </w:p>
        </w:tc>
        <w:tc>
          <w:tcPr>
            <w:tcW w:type="dxa" w:w="20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−0,6%</w:t>
            </w:r>
          </w:p>
        </w:tc>
        <w:tc>
          <w:tcPr>
            <w:tcW w:type="dxa" w:w="196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−27,3%</w:t>
            </w:r>
          </w:p>
        </w:tc>
      </w:tr>
    </w:tbl>
    <w:p>
      <w:p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Даже оптимистичный сценарий (+7,0%)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не дотягивает до целевых 8–9%.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Базовый — у нуля. Пессимистичный (если субподряд без дисконта, НДС «съели», простои РЖД) — глубокий минус.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Что удерживает объект в плюсе — единственный рычаг: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самовыполнение электромонтажа ЭОМ собственными бригадами. Тогда генподряд забирает накладные и прибыль (~5 млн) вместо тонкого дисконта субподряда (~1,5 млн). Без самовыполнения объект уходит в минус.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Проблемы объекта и варианты их решения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Ниже — все существенные проблемы, вскрытые командой, с продуманными вариантами решения. Отсортированы по денежному весу и критичности.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П-1.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Блок «выноса контактной сети» — 64,71 млн ₽ не обоснован проектом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🔴 критично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Инженер проекта, сметчик, договорник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Официальный письменный запрос заказчику и в РЖД: какой вынос контактной сети фактически требуется при монтаже опор.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Вычистить необоснованный объём из цены договора через процедуру ценового аудита (Глава 12 сводного расчёта) — это законный механизм снятия «воздуха».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В договоре прямо исключить работы на контактной сети под напряжением из твёрдой цены; если они нужны — оформить отдельным соглашением с дистанцией электроснабжения РЖД по фактическому объёму.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Категорически не подписывать твёрдую цену на весь объём — это либо убыток, либо фиктивные акты (ст. 159 УК).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П-2.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Работы на контактной сети 27,5 кВ — не открытый рынок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🔴 критично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Подряд, ПТО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Если РЖД подтвердит вынос — работы вправе выполнять ТОЛЬКО бригада дистанции электроснабжения (ЭЧ) Южно-Уральской ж/д в технологические «окна», под нарядом-допуском. Внешний субподряд недопустим.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Генподряд организует заявку на «окна», оплату работ ЭЧ и координацию графика. Риск простоя по вине графика РЖД зафиксировать в договоре как риск заказчика.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Держать контакт ЭЧ ЮУЖД в готовности; цену на эти работы проверять на рыночность отдельно.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П-3.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Оборудование СОТ (16–46 млн) — объём поставки не определён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🔴 критично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Снабжение, договорник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Письменно закрепить в договоре давальческую схему (ст. 713, 714 ГК): оборудование поставляет заказчик, подрядчик монтирует и несёт ответственное хранение, НДС подрядчика — только на монтаж.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Передача оборудования — по акту приёма-передачи с фиксацией комплектности.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Если часть оборудования всё же наша — вынести отдельной допсметой, не растворять в текущей цене.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П-4.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НДС 22% с 2026 года при смете в 20%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🔴 критично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Экономист, договорник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Заходить в договор с формулой «Цена работ ___ ₽, кроме того НДС по ставке на дату реализации» — тогда рост ставки на заказчике, риск 2,14 млн снят.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Если заказчик настаивает на цене «включая НДС» — заложить механизм изменения цены госконтракта 2026 года или принять 2% как плановую потерю в модели.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П-5.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Вероятный режим гособоронзаказа (275-ФЗ)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🔴 критично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Договорник, экономист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Установить режим закупки ДО подписания: заказчик в контуре ФСБ → высока вероятность ГОЗ или закрытой закупки.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Если ГОЗ — отдельный счёт в уполномоченном банке, раздельный учёт по контракту, правило рентабельности «1% привнесённых + 20% собственных затрат», лицензии ФСБ/ФСТЭК. Это перестраивает всю финансовую модель и кассу.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Пересчитать финмодель под ГОЗ, если подтвердится.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П-6.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Категорированный объект ФСБ — блокеры ввода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🟡 контроль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ПТО, подряд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Проверить ПЕРВЫМ делом действующие лицензии монтажника СОТ (ФСБ на гостайну + ФСТЭК на техзащиту). Найден региональный кандидат с такими лицензиями — СБ «Парсек» (Курган).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Заранее начать оформление допусков персонала к гостайне — это недели/месяцы.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Спецпроверки, специсследования и аттестацию объекта (приказ ФСТЭК №77) заложить в график отдельным этапом — без аттестата объект не вводится месяцами.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Уточнить объём аттестации (наш или заказчика) — цена 0,2–0,4 млн.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П-7.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Стоимость исполнительной документации недоучтена — 1,78 млн сверх сметы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🟡 контроль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ПТО, экономист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Заложить в себестоимость явно: электролаборатория, оптические измерения ВОЛС, исполнительная геодезия, электронная ИД, труд ПТО — отдельной строкой, а не «по умолчанию» в накладных.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Это 4,8% реального фронта — прямое давление на тонкую маржу.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П-8.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Смета в ценах 2025, исполнение в 2026 — реиндекс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🟡 контроль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Сметчик, экономист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Пересчитать на квартал производства работ по письму Минстроя (индексы выходят поквартально).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Добиться в договоре механизма индексации цены — иначе удорожание (ориентир 5% на полном объёме, 0,5–1,5 млн на реальном фронте) съедает маржу молча.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П-9.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Двойной счёт пусконаладки — 0,89 млн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🟡 контроль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Сметчик, договорник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Пусконаладка задублирована: строка в смете СОТ плюс отдельный сметный расчёт 09-01. Снимается на экспертизе (ст. 94 44-ФЗ). В реальную выручку не включать.</w:t>
      </w:r>
    </w:p>
    <w:p>
      <w:pPr>
        <w:keepNext/>
        <w:spacing w:after="70" w:before="18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П-10.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Ошибки и устаревшие нормы в пояснительной записке проекта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🟡 контроль  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Кто вскрыл: Инженер проекта, ПТО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Варианты решения: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Пояснительная записка ссылается на устаревшие/ошибочные документы (СП 6.13130.2009, СНиП 3.05.06-85, московские нормы МГСН). Передать замечания проектировщику для актуализации перед экспертизой.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Расчёт нагрузок ЭОМ методологически некорректен (заявлен ток 95 А, фактический ~58 А) — на смету не влияет, но требует правки рабочей документации.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Оценка работы команды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Каждый специалист прошёл свой участок и вернул результат с конкретикой и цифрами. Оцениваю по стандарту приёмки — принято / с оговоркой / возврат.</w:t>
      </w:r>
    </w:p>
    <w:tbl>
      <w:tblPr>
        <w:tblW w:type="dxa" w:w="9360"/>
        <w:tblBorders>
          <w:top w:val="single" w:color="B8C4D9" w:sz="4"/>
          <w:left w:val="single" w:color="B8C4D9" w:sz="4"/>
          <w:bottom w:val="single" w:color="B8C4D9" w:sz="4"/>
          <w:right w:val="single" w:color="B8C4D9" w:sz="4"/>
          <w:insideH w:val="single" w:color="B8C4D9" w:sz="4"/>
          <w:insideV w:val="single" w:color="B8C4D9" w:sz="4"/>
        </w:tblBorders>
      </w:tblPr>
      <w:tblGrid>
        <w:gridCol w:w="2200"/>
        <w:gridCol w:w="5000"/>
        <w:gridCol w:w="216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Специалист</w:t>
            </w:r>
          </w:p>
        </w:tc>
        <w:tc>
          <w:tcPr>
            <w:tcW w:type="dxa" w:w="500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сделал</w:t>
            </w:r>
          </w:p>
        </w:tc>
        <w:tc>
          <w:tcPr>
            <w:tcW w:type="dxa" w:w="2160"/>
            <w:shd w:fill="1F3864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2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ИИ-ГИП</w:t>
            </w: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 (инженер проекта)</w:t>
            </w:r>
          </w:p>
        </w:tc>
        <w:tc>
          <w:tcPr>
            <w:tcW w:type="dxa" w:w="5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Вскрыл главное — 200 км выноса КС при физике 17 км, доказал через геометрию и кабельный журнал. Проверил нагрузки, нашёл 10 находок. Инженерная истина до денег.</w:t>
            </w:r>
          </w:p>
        </w:tc>
        <w:tc>
          <w:tcPr>
            <w:tcW w:type="dxa" w:w="2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Принято.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 Образцовая работа — спас объект от 65 млн воздуха</w:t>
            </w:r>
          </w:p>
        </w:tc>
      </w:tr>
      <w:tr>
        <w:trPr>
          <w:cantSplit/>
        </w:trPr>
        <w:tc>
          <w:tcPr>
            <w:tcW w:type="dxa" w:w="2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ИИ-сметчик</w:t>
            </w: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Точно посчитала блок КС (64,71 млн), свела 4 сметы, дала 3 сценария, пересчёт на 2026, конъюнктуру.</w:t>
            </w:r>
          </w:p>
        </w:tc>
        <w:tc>
          <w:tcPr>
            <w:tcW w:type="dxa" w:w="2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Принято.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 Валовую маржу +14% скорректировал экономист — это норма конвейера</w:t>
            </w:r>
          </w:p>
        </w:tc>
      </w:tr>
      <w:tr>
        <w:trPr>
          <w:cantSplit/>
        </w:trPr>
        <w:tc>
          <w:tcPr>
            <w:tcW w:type="dxa" w:w="2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ИИ-экономист</w:t>
            </w: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Пересчитал маржу снизу вверх, не купился на валовые +14%. Подставил реальный дисконт, АХР, ИД. Вскрыл риск ГОЗ. Опорный источник по марже.</w:t>
            </w:r>
          </w:p>
        </w:tc>
        <w:tc>
          <w:tcPr>
            <w:tcW w:type="dxa" w:w="2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Принято.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 Честная консервативная цифра — то, что нужно</w:t>
            </w:r>
          </w:p>
        </w:tc>
      </w:tr>
      <w:tr>
        <w:trPr>
          <w:cantSplit/>
        </w:trPr>
        <w:tc>
          <w:tcPr>
            <w:tcW w:type="dxa" w:w="2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ИИ-снабженец</w:t>
            </w: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Живые прайсы, карта сроков поставки, заключение по давальческому оборудованию с 3 доводами, региональное плечо Урал.</w:t>
            </w:r>
          </w:p>
        </w:tc>
        <w:tc>
          <w:tcPr>
            <w:tcW w:type="dxa" w:w="2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Принято</w:t>
            </w:r>
          </w:p>
        </w:tc>
      </w:tr>
      <w:tr>
        <w:trPr>
          <w:cantSplit/>
        </w:trPr>
        <w:tc>
          <w:tcPr>
            <w:tcW w:type="dxa" w:w="2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ИИ-подрядчик</w:t>
            </w: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Разложил реальный фронт по пакетам, заблокировал КС как не-рынок, нашёл лицензированного монтажника (Парсек), дисконт в рублях.</w:t>
            </w:r>
          </w:p>
        </w:tc>
        <w:tc>
          <w:tcPr>
            <w:tcW w:type="dxa" w:w="2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Принято</w:t>
            </w:r>
          </w:p>
        </w:tc>
      </w:tr>
      <w:tr>
        <w:trPr>
          <w:cantSplit/>
        </w:trPr>
        <w:tc>
          <w:tcPr>
            <w:tcW w:type="dxa" w:w="2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ИИ-ПТО</w:t>
            </w: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Реестр ИД по позициям, чек-лист старта, стоимость ИД сверх сметы (1,78 млн), блокеры ввода по режиму ФСБ и РЖД.</w:t>
            </w:r>
          </w:p>
        </w:tc>
        <w:tc>
          <w:tcPr>
            <w:tcW w:type="dxa" w:w="2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Принято</w:t>
            </w:r>
          </w:p>
        </w:tc>
      </w:tr>
      <w:tr>
        <w:trPr>
          <w:cantSplit/>
        </w:trPr>
        <w:tc>
          <w:tcPr>
            <w:tcW w:type="dxa" w:w="2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ИИ-договорник</w:t>
            </w: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Матрица разграничения объёма (5 зон), позиция по НДС, защита по блоку КС, 3 варианта структуры договора, формулировки.</w:t>
            </w:r>
          </w:p>
        </w:tc>
        <w:tc>
          <w:tcPr>
            <w:tcW w:type="dxa" w:w="2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Принято</w:t>
            </w:r>
          </w:p>
        </w:tc>
      </w:tr>
      <w:tr>
        <w:trPr>
          <w:cantSplit/>
        </w:trPr>
        <w:tc>
          <w:tcPr>
            <w:tcW w:type="dxa" w:w="2200"/>
            <w:shd w:fill="EAF0F8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ИИ-администратор</w:t>
            </w: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Свела всё в протокол на строительном языке, реестр поручений, план по тактам, пакет руководителю.</w:t>
            </w:r>
          </w:p>
        </w:tc>
        <w:tc>
          <w:tcPr>
            <w:tcW w:type="dxa" w:w="216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line="242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Принято.</w:t>
            </w: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 Строительный язык выдержан — образец для остальных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Главное достоинство прогона: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команда сработала единым фронтом. Все девять независимо пришли к одному — блок КС воздух, оборудование давальческое, объект тонкий. Расхождение между валовой оценкой сметчика и консервативной экономиста — не ошибка, а правильная работа конвейера: сметчик даёт потолок, экономист приземляет его на реальные затраты.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Заключение о целесообразности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D9" w:sz="2"/>
              <w:left w:val="single" w:color="BF8F00" w:sz="24"/>
              <w:bottom w:val="single" w:color="B8C4D9" w:sz="2"/>
              <w:right w:val="single" w:color="B8C4D9" w:sz="2"/>
            </w:tcBorders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8F00"/>
                <w:sz w:val="21"/>
                <w:szCs w:val="21"/>
              </w:rPr>
              <w:t xml:space="preserve">ЗАКЛЮЧЕНИЕ РУКОВОДИТЕЛЯ ПРОЕКТНОГО ОФИСА</w:t>
            </w:r>
          </w:p>
          <w:p>
            <w:pPr>
              <w:spacing w:after="50" w:line="264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🟡 ОБЪЕКТ ТОНКИЙ. БРАТЬ — ТОЛЬКО ПО СЦЕНАРИЮ Б И ПОСЛЕ ЗАКРЫТИЯ ТРЁХ УСЛОВИЙ.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Целесообразность работы на объекте зависит не от того, «128 млн это или 37 млн», а от того,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удастся ли до подписания закрыть три условия.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Разберём прямо.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A9C"/>
          <w:sz w:val="23"/>
          <w:szCs w:val="23"/>
        </w:rPr>
        <w:t xml:space="preserve">Если условия закрыты (сценарий Б)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Реальный фронт ~37–40 млн ₽ твёрдой ценой, блок КС исключён, оборудование давальческое, НДС «сверху».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Маржа реалистична при жёстком контроле: базово у нуля,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при самовыполнении ЭОМ — до +7%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Это ниже целевых 8–9%, но управляемо.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Объект даёт потенциальному генподрядчику присутствие на режимном пограничном объекте — стратегическая ценность помимо маржи.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A9C"/>
          <w:sz w:val="23"/>
          <w:szCs w:val="23"/>
        </w:rPr>
        <w:t xml:space="preserve">Если условия не закрыты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Твёрдая цена на весь объём (128 млн) без разграничения =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подписанный убыток минимум −5,3 млн ₽ + уголовный риск по фиктивным актам.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🔴 не заходить.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Если оборудование навяжут как нашу поставку без допсметы — минус десятки миллионов.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A9C"/>
          <w:sz w:val="23"/>
          <w:szCs w:val="23"/>
        </w:rPr>
        <w:t xml:space="preserve">Рекомендация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Рекомендую: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вести переговоры и структуру договора строго по сценарию Б. Направить официальные запросы заказчику, в РЖД и проектировщику по трём условиям. До получения ответов — договор не подписывать, себестоимость считать недостоверной. После ответов — экономист строит финансовую модель движения денежных средств на фактических данных договора, и объект выносится на финальное решение.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Прямо для потенциального генподрядчика: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этот объект не «золотая жила» — это тонкая, управляемая работа на 37 млн, где вся прибыль зарабатывается до первой лопаты — в правильном договоре, разграничении объёма и самовыполнении. Взятый без подготовки, он убыточен. Взятый по сценарию Б — рабочий. Мы даём вам эту развилку с открытыми цифрами, чтобы решение было осознанным.</w:t>
      </w:r>
    </w:p>
    <w:p>
      <w:pPr>
        <w:pBdr>
          <w:bottom w:val="single" w:color="B8C4D9" w:sz="6"/>
        </w:pBdr>
        <w:spacing w:after="140"/>
      </w:pPr>
    </w:p>
    <w:p>
      <w:pPr>
        <w:spacing w:after="40" w:line="276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ИИ-руководитель проекта · руководитель проектного офиса · СтройИнтеллект.РП</w:t>
      </w: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По материалам сквозного аудита команды из 9 специалистов · 03.08.2026 · Конфиденциально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СтройИнтеллект · ЖДПП Зауралье · Конфиденциально · стр.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5A9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Итоговая пояснительная записка — ЖДПП Зауралье</dc:title>
  <dc:creator>Артемий · СтройИнтеллект.РП</dc:creator>
  <cp:lastModifiedBy>Un-named</cp:lastModifiedBy>
  <cp:revision>1</cp:revision>
  <dcterms:created xsi:type="dcterms:W3CDTF">2026-08-03T19:15:48.876Z</dcterms:created>
  <dcterms:modified xsi:type="dcterms:W3CDTF">2026-08-03T19:15:48.877Z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