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1276"/>
        <w:gridCol w:w="1165"/>
        <w:gridCol w:w="1277"/>
        <w:gridCol w:w="1053"/>
        <w:gridCol w:w="1729"/>
        <w:gridCol w:w="998"/>
      </w:tblGrid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sna_measure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beh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pred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prop_greater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sig</w:t>
            </w: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Eigenvectory Centrality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Total Grooming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-0.24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-0.46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*</w:t>
            </w: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0.72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0.26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0.98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*</w:t>
            </w: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0.22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0.94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Eigenvectory Centrality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Prox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-0.12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*</w:t>
            </w: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0.65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-0.17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*</w:t>
            </w:r>
          </w:p>
        </w:tc>
      </w:tr>
      <w:tr w:rsidR="00900EB0" w:rsidRP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*</w:t>
            </w:r>
          </w:p>
        </w:tc>
      </w:tr>
      <w:tr w:rsidR="00900EB0" w:rsidTr="00900EB0"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0.18</w:t>
            </w:r>
          </w:p>
        </w:tc>
        <w:tc>
          <w:tcPr>
            <w:tcW w:w="1318" w:type="dxa"/>
          </w:tcPr>
          <w:p w:rsidR="00900EB0" w:rsidRP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:rsidR="00900EB0" w:rsidRDefault="00900EB0" w:rsidP="0044157D">
            <w:pPr>
              <w:pStyle w:val="PlainText"/>
              <w:rPr>
                <w:rFonts w:ascii="Courier New" w:hAnsi="Courier New" w:cs="Courier New"/>
              </w:rPr>
            </w:pPr>
            <w:r w:rsidRPr="00900EB0">
              <w:rPr>
                <w:rFonts w:ascii="Courier New" w:hAnsi="Courier New" w:cs="Courier New"/>
              </w:rPr>
              <w:t>*</w:t>
            </w:r>
          </w:p>
        </w:tc>
      </w:tr>
    </w:tbl>
    <w:p w:rsidR="00187C48" w:rsidRDefault="00187C48" w:rsidP="00900EB0">
      <w:pPr>
        <w:pStyle w:val="PlainText"/>
        <w:rPr>
          <w:rFonts w:ascii="Courier New" w:hAnsi="Courier New" w:cs="Courier New"/>
        </w:rPr>
      </w:pPr>
    </w:p>
    <w:p w:rsidR="00900EB0" w:rsidRDefault="00900EB0" w:rsidP="00900EB0">
      <w:pPr>
        <w:pStyle w:val="PlainText"/>
        <w:rPr>
          <w:rFonts w:ascii="Courier New" w:hAnsi="Courier New" w:cs="Courier New"/>
        </w:rPr>
      </w:pPr>
    </w:p>
    <w:p w:rsidR="00900EB0" w:rsidRDefault="00900EB0" w:rsidP="00900E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Females become less </w:t>
      </w:r>
      <w:r w:rsidR="006901B5">
        <w:rPr>
          <w:rFonts w:ascii="Courier New" w:hAnsi="Courier New" w:cs="Courier New"/>
        </w:rPr>
        <w:t xml:space="preserve">centrally </w:t>
      </w:r>
      <w:r>
        <w:rPr>
          <w:rFonts w:ascii="Courier New" w:hAnsi="Courier New" w:cs="Courier New"/>
        </w:rPr>
        <w:t>embedded among females in prox network with age.</w:t>
      </w:r>
    </w:p>
    <w:p w:rsidR="00900EB0" w:rsidRDefault="00900EB0" w:rsidP="00900EB0">
      <w:pPr>
        <w:pStyle w:val="PlainText"/>
        <w:rPr>
          <w:rFonts w:ascii="Courier New" w:hAnsi="Courier New" w:cs="Courier New"/>
        </w:rPr>
      </w:pPr>
    </w:p>
    <w:p w:rsidR="00900EB0" w:rsidRDefault="00900EB0" w:rsidP="00900E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Males become more centrally embedded among other males with age in grooming and prox networks.</w:t>
      </w:r>
      <w:r w:rsidR="00693256">
        <w:rPr>
          <w:rFonts w:ascii="Courier New" w:hAnsi="Courier New" w:cs="Courier New"/>
        </w:rPr>
        <w:t xml:space="preserve"> (would be good to check for non linear relationship)</w:t>
      </w:r>
      <w:bookmarkStart w:id="0" w:name="_GoBack"/>
      <w:bookmarkEnd w:id="0"/>
    </w:p>
    <w:sectPr w:rsidR="00900EB0" w:rsidSect="00187C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BD"/>
    <w:rsid w:val="00187C48"/>
    <w:rsid w:val="006901B5"/>
    <w:rsid w:val="00693256"/>
    <w:rsid w:val="00900EB0"/>
    <w:rsid w:val="00B8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34BD"/>
  <w15:chartTrackingRefBased/>
  <w15:docId w15:val="{E2DF6946-CF5B-4FBC-BF26-E476E84E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7C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7C48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900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2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4</cp:revision>
  <cp:lastPrinted>2020-04-23T15:47:00Z</cp:lastPrinted>
  <dcterms:created xsi:type="dcterms:W3CDTF">2020-04-23T15:46:00Z</dcterms:created>
  <dcterms:modified xsi:type="dcterms:W3CDTF">2020-04-23T15:47:00Z</dcterms:modified>
</cp:coreProperties>
</file>