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C85" w:rsidRDefault="00CE0C85">
      <w:r>
        <w:t>Intro</w:t>
      </w:r>
    </w:p>
    <w:p w:rsidR="00CE0C85" w:rsidRDefault="00CE0C85"/>
    <w:p w:rsidR="00CE0C85" w:rsidRDefault="00CE0C85"/>
    <w:p w:rsidR="001F7C5C" w:rsidRPr="00BF336F" w:rsidRDefault="00535AD4">
      <w:pPr>
        <w:rPr>
          <w:b/>
        </w:rPr>
      </w:pPr>
      <w:r w:rsidRPr="00BF336F">
        <w:rPr>
          <w:b/>
        </w:rPr>
        <w:t>Methods</w:t>
      </w:r>
    </w:p>
    <w:p w:rsidR="00535AD4" w:rsidRDefault="00535AD4"/>
    <w:p w:rsidR="00535AD4" w:rsidRDefault="00535AD4">
      <w:r>
        <w:t>Study site and system</w:t>
      </w:r>
    </w:p>
    <w:p w:rsidR="004937EF" w:rsidRDefault="004937EF">
      <w:r>
        <w:t xml:space="preserve">The </w:t>
      </w:r>
      <w:proofErr w:type="spellStart"/>
      <w:r>
        <w:t>Kanyawara</w:t>
      </w:r>
      <w:proofErr w:type="spellEnd"/>
      <w:r>
        <w:t xml:space="preserve"> community lives in the northern forest of </w:t>
      </w:r>
      <w:proofErr w:type="spellStart"/>
      <w:r>
        <w:t>Kibale</w:t>
      </w:r>
      <w:proofErr w:type="spellEnd"/>
      <w:r>
        <w:t xml:space="preserve"> </w:t>
      </w:r>
      <w:r w:rsidR="009943E6">
        <w:t xml:space="preserve">National Forest, Uganda. </w:t>
      </w:r>
      <w:r>
        <w:t>Over this period</w:t>
      </w:r>
      <w:r w:rsidR="005C5525">
        <w:t xml:space="preserve">. </w:t>
      </w:r>
    </w:p>
    <w:p w:rsidR="00535AD4" w:rsidRDefault="00535AD4">
      <w:r>
        <w:t>Data collection</w:t>
      </w:r>
    </w:p>
    <w:p w:rsidR="00B93E64" w:rsidRDefault="00B93E64">
      <w:r>
        <w:t xml:space="preserve">Data were collected from August 2009 </w:t>
      </w:r>
      <w:r w:rsidR="007C349E">
        <w:t>–</w:t>
      </w:r>
      <w:r>
        <w:t xml:space="preserve"> 2017</w:t>
      </w:r>
      <w:r w:rsidR="007C349E">
        <w:t xml:space="preserve">, </w:t>
      </w:r>
    </w:p>
    <w:p w:rsidR="00B93E64" w:rsidRDefault="00062A43">
      <w:r>
        <w:t>Analysis</w:t>
      </w:r>
    </w:p>
    <w:p w:rsidR="00062A43" w:rsidRPr="001D427E" w:rsidRDefault="001D427E">
      <w:r w:rsidRPr="009943E6">
        <w:tab/>
      </w:r>
      <w:r w:rsidR="007E5B1B">
        <w:t>From 2010 – 2017, the study examined social integration in 22 females and 16 males, for a total of 200 unique chimp-years.</w:t>
      </w:r>
      <w:r w:rsidR="005C5525">
        <w:t xml:space="preserve"> </w:t>
      </w:r>
      <w:r w:rsidR="007E5B1B">
        <w:t>Social ne</w:t>
      </w:r>
      <w:r w:rsidRPr="009943E6">
        <w:t>tworks included all adult i</w:t>
      </w:r>
      <w:r>
        <w:t>ndividuals, including males &gt; 15 years and females &gt; 12, with age calculated at mid-year</w:t>
      </w:r>
      <w:r w:rsidR="00C30B60">
        <w:t xml:space="preserve"> (</w:t>
      </w:r>
      <w:r w:rsidR="007C349E">
        <w:t>0</w:t>
      </w:r>
      <w:r w:rsidR="00C30B60">
        <w:t>7/01)</w:t>
      </w:r>
      <w:r>
        <w:t xml:space="preserve">. Members ranged from 12 – 57 </w:t>
      </w:r>
      <w:proofErr w:type="spellStart"/>
      <w:r w:rsidR="00E50C8B">
        <w:t>yo</w:t>
      </w:r>
      <w:proofErr w:type="spellEnd"/>
      <w:r>
        <w:t xml:space="preserve">, with an average </w:t>
      </w:r>
      <w:r w:rsidR="009943E6">
        <w:t xml:space="preserve">age </w:t>
      </w:r>
      <w:r>
        <w:t>26.5 +/- 11.6 years</w:t>
      </w:r>
      <w:r w:rsidR="00E50C8B">
        <w:t xml:space="preserve"> (mean +/- </w:t>
      </w:r>
      <w:proofErr w:type="spellStart"/>
      <w:r w:rsidR="00E50C8B">
        <w:t>sd</w:t>
      </w:r>
      <w:proofErr w:type="spellEnd"/>
      <w:r w:rsidR="00E50C8B">
        <w:t>), and</w:t>
      </w:r>
      <w:r w:rsidR="00C30B60">
        <w:t xml:space="preserve"> network</w:t>
      </w:r>
      <w:r w:rsidR="00E50C8B">
        <w:t xml:space="preserve"> </w:t>
      </w:r>
      <w:r w:rsidR="00C30B60">
        <w:t xml:space="preserve">membership ranging </w:t>
      </w:r>
      <w:r w:rsidR="00E50C8B">
        <w:t xml:space="preserve">1—8 </w:t>
      </w:r>
      <w:r w:rsidR="00C30B60">
        <w:t xml:space="preserve">years with an </w:t>
      </w:r>
      <w:r w:rsidR="00E50C8B">
        <w:t>average 5.26 +/- 2.7 years.</w:t>
      </w:r>
      <w:r w:rsidR="00C30B60">
        <w:t xml:space="preserve"> Members were </w:t>
      </w:r>
      <w:r w:rsidR="00E50C8B">
        <w:t>included in</w:t>
      </w:r>
      <w:r w:rsidR="00BE53FE">
        <w:t xml:space="preserve"> an annual network</w:t>
      </w:r>
      <w:r w:rsidR="00E50C8B">
        <w:t xml:space="preserve"> if present for &gt;= 6 months of the year, and </w:t>
      </w:r>
      <w:r w:rsidR="007E5B1B">
        <w:t>if observed</w:t>
      </w:r>
      <w:r w:rsidR="00BE53FE">
        <w:t xml:space="preserve"> </w:t>
      </w:r>
      <w:r w:rsidR="00E50C8B">
        <w:t>at least</w:t>
      </w:r>
      <w:r w:rsidR="007E5B1B">
        <w:t xml:space="preserve"> 50 hours as a focal </w:t>
      </w:r>
      <w:r w:rsidR="00BE53FE">
        <w:t>and</w:t>
      </w:r>
      <w:r w:rsidR="00E50C8B">
        <w:t xml:space="preserve"> 100</w:t>
      </w:r>
      <w:r w:rsidR="007E5B1B">
        <w:t xml:space="preserve"> hours as a party member during </w:t>
      </w:r>
      <w:proofErr w:type="spellStart"/>
      <w:r w:rsidR="007E5B1B">
        <w:t>focals</w:t>
      </w:r>
      <w:proofErr w:type="spellEnd"/>
      <w:r w:rsidR="00BE53FE">
        <w:t>.</w:t>
      </w:r>
      <w:r w:rsidR="00C30B60">
        <w:t xml:space="preserve"> Average focal observations were</w:t>
      </w:r>
      <w:r w:rsidR="007E5F7A">
        <w:t xml:space="preserve"> 133 +/- 73</w:t>
      </w:r>
      <w:r w:rsidR="00C30B60">
        <w:t xml:space="preserve"> hours per chimp-year. </w:t>
      </w:r>
    </w:p>
    <w:p w:rsidR="00A95A0E" w:rsidRDefault="007A3C46" w:rsidP="007A3C46">
      <w:pPr>
        <w:ind w:firstLine="720"/>
      </w:pPr>
      <w:r>
        <w:t>We constructed 9 social networks based on member sex and interaction type. Networks either included both</w:t>
      </w:r>
      <w:r w:rsidR="00A95A0E">
        <w:t xml:space="preserve"> male</w:t>
      </w:r>
      <w:r>
        <w:t>s</w:t>
      </w:r>
      <w:r w:rsidR="00A95A0E">
        <w:t xml:space="preserve"> and </w:t>
      </w:r>
      <w:r>
        <w:t>females</w:t>
      </w:r>
      <w:r w:rsidR="009E6A7D">
        <w:t xml:space="preserve"> (mixed</w:t>
      </w:r>
      <w:r w:rsidR="00045C15">
        <w:t>-sex</w:t>
      </w:r>
      <w:r w:rsidR="009E6A7D">
        <w:t>)</w:t>
      </w:r>
      <w:r w:rsidR="00A95A0E">
        <w:t xml:space="preserve"> </w:t>
      </w:r>
      <w:r>
        <w:t xml:space="preserve">or </w:t>
      </w:r>
      <w:r w:rsidR="00A95A0E">
        <w:t xml:space="preserve">exclusively same-sex dyads. Network ties were characterized by dyadic indices </w:t>
      </w:r>
      <w:r>
        <w:t>of</w:t>
      </w:r>
      <w:r w:rsidR="00A95A0E">
        <w:t xml:space="preserve"> </w:t>
      </w:r>
      <w:r w:rsidR="0082205D">
        <w:t>spatial proximity (</w:t>
      </w:r>
      <w:r w:rsidR="007C4A04">
        <w:t xml:space="preserve">resting </w:t>
      </w:r>
      <w:r w:rsidR="0082205D">
        <w:t>within 5 m),</w:t>
      </w:r>
      <w:r w:rsidR="00CE0C85">
        <w:t xml:space="preserve"> total grooming</w:t>
      </w:r>
      <w:r w:rsidR="0082205D">
        <w:t xml:space="preserve"> (given or received), and directed grooming (grooming given). Each</w:t>
      </w:r>
      <w:r>
        <w:t xml:space="preserve"> dyadic</w:t>
      </w:r>
      <w:r w:rsidR="0082205D">
        <w:t xml:space="preserve"> index was calculated</w:t>
      </w:r>
      <w:r w:rsidR="00CE0C85">
        <w:t xml:space="preserve"> by summing the number of focal po</w:t>
      </w:r>
      <w:r w:rsidR="00A95A0E">
        <w:t xml:space="preserve">int samples </w:t>
      </w:r>
      <w:r w:rsidR="00BF336F">
        <w:t>when</w:t>
      </w:r>
      <w:r w:rsidR="00A95A0E">
        <w:t xml:space="preserve"> the two individuals</w:t>
      </w:r>
      <w:r w:rsidR="00CE0C85">
        <w:t xml:space="preserve"> were observed interacting</w:t>
      </w:r>
      <w:r w:rsidR="008C5FEE">
        <w:t xml:space="preserve"> over a calendar year</w:t>
      </w:r>
      <w:r w:rsidR="00CE0C85">
        <w:t xml:space="preserve">, </w:t>
      </w:r>
      <w:r>
        <w:t xml:space="preserve">and </w:t>
      </w:r>
      <w:r w:rsidR="00BF336F">
        <w:t xml:space="preserve">then </w:t>
      </w:r>
      <w:r w:rsidR="007C4A04">
        <w:t>divid</w:t>
      </w:r>
      <w:r>
        <w:t>ing</w:t>
      </w:r>
      <w:r w:rsidR="00CE0C85">
        <w:t xml:space="preserve"> by the number of point samp</w:t>
      </w:r>
      <w:r w:rsidR="005750D9">
        <w:t>les in which the two were seen in the same party when</w:t>
      </w:r>
      <w:r w:rsidR="00CE0C85">
        <w:t xml:space="preserve"> one was a focal</w:t>
      </w:r>
      <w:r w:rsidR="00BF336F">
        <w:t xml:space="preserve"> </w:t>
      </w:r>
      <w:r w:rsidR="00C05257">
        <w:fldChar w:fldCharType="begin"/>
      </w:r>
      <w:r w:rsidR="00C05257">
        <w:instrText xml:space="preserve"> ADDIN ZOTERO_ITEM CSL_CITATION {"citationID":"ygxcMKUo","properties":{"formattedCitation":"(as in Machanda et al., 2013)","plainCitation":"(as in Machanda et al., 2013)","noteIndex":0},"citationItems":[{"id":8078,"uris":["http://zotero.org/users/6195811/items/JXKRK3YZ"],"uri":["http://zotero.org/users/6195811/items/JXKRK3YZ"],"itemData":{"id":8078,"type":"article-journal","abstract":"Although male–female relationships can offer a number of advantages such as protection or social support, they are poorly studied among primates compared to same-sex relationships. We used 12 yr of data from the Kanyawara chimpanzee community to compare three independent measures of association (party association, 5m association, and grooming) among all adult dyads. Party association exhibited by male–female dyads was of intermediate strength between strong male–male and weak female–female association. Male–female dyads were less likely to be within 5m of one another and to groom as male–male dyads, but equally likely to be within 5m and more likely to groom as female–female dyads. Variation in male–female association strength was not related to male rank but was affected by female ranging patterns and female reproductive states. Females with core areas in the center of the home range were more likely to be in parties with males but did not show higher spatial proximity or grooming indices compared to females ranging in the periphery. Party association and 5m indices were higher for dyads of males and estrous females compared to those with anestrous females. These results indicate that male–female dyads are likely to associate with one another more often than female–female dyads because of overlapping ranging patterns and short-term changes in female reproductive state. We conclude that male and female chimpanzees do not exhibit proximity and grooming patterns indicative of strong affiliative bonds. This study also highlights the importance of using multiple independent measures of bond strength in studies of primate social dynamics.","container-title":"International Journal of Primatology","DOI":"10.1007/s10764-013-9707-7","ISSN":"1573-8604","issue":"5","journalAbbreviation":"International Journal of Primatology","page":"917-938","title":"Male–Female Association Patterns Among Free-ranging Chimpanzees (Pan troglodytes schweinfurthii)","volume":"34","author":[{"family":"Machanda","given":"Zarin P."},{"family":"Gilby","given":"Ian C."},{"family":"Wrangham","given":"Richard W."}],"issued":{"date-parts":[["2013",10,1]]}},"prefix":"as in "}],"schema":"https://github.com/citation-style-language/schema/raw/master/csl-citation.json"} </w:instrText>
      </w:r>
      <w:r w:rsidR="00C05257">
        <w:fldChar w:fldCharType="separate"/>
      </w:r>
      <w:r w:rsidR="00C05257" w:rsidRPr="00C05257">
        <w:rPr>
          <w:rFonts w:ascii="Calibri" w:hAnsi="Calibri" w:cs="Calibri"/>
        </w:rPr>
        <w:t xml:space="preserve">(as in </w:t>
      </w:r>
      <w:proofErr w:type="spellStart"/>
      <w:r w:rsidR="00C05257" w:rsidRPr="00C05257">
        <w:rPr>
          <w:rFonts w:ascii="Calibri" w:hAnsi="Calibri" w:cs="Calibri"/>
        </w:rPr>
        <w:t>Machanda</w:t>
      </w:r>
      <w:proofErr w:type="spellEnd"/>
      <w:r w:rsidR="00C05257" w:rsidRPr="00C05257">
        <w:rPr>
          <w:rFonts w:ascii="Calibri" w:hAnsi="Calibri" w:cs="Calibri"/>
        </w:rPr>
        <w:t xml:space="preserve"> et al., 2013)</w:t>
      </w:r>
      <w:r w:rsidR="00C05257">
        <w:fldChar w:fldCharType="end"/>
      </w:r>
      <w:r w:rsidR="00CE0C85">
        <w:t>.</w:t>
      </w:r>
    </w:p>
    <w:p w:rsidR="00501AC7" w:rsidRDefault="00062A43" w:rsidP="00356CE3">
      <w:pPr>
        <w:widowControl w:val="0"/>
        <w:autoSpaceDE w:val="0"/>
        <w:autoSpaceDN w:val="0"/>
        <w:adjustRightInd w:val="0"/>
        <w:spacing w:after="0" w:line="240" w:lineRule="auto"/>
        <w:ind w:firstLine="720"/>
      </w:pPr>
      <w:r>
        <w:t xml:space="preserve">We </w:t>
      </w:r>
      <w:r w:rsidR="008D28DA">
        <w:t xml:space="preserve">used the </w:t>
      </w:r>
      <w:proofErr w:type="spellStart"/>
      <w:r>
        <w:t>igraph</w:t>
      </w:r>
      <w:proofErr w:type="spellEnd"/>
      <w:r>
        <w:t xml:space="preserve"> package in R 3.6.1</w:t>
      </w:r>
      <w:r w:rsidR="008D28DA">
        <w:t xml:space="preserve"> to create </w:t>
      </w:r>
      <w:r w:rsidR="00A95A0E">
        <w:t>network graphs</w:t>
      </w:r>
      <w:r w:rsidR="008D28DA">
        <w:t xml:space="preserve"> and </w:t>
      </w:r>
      <w:r w:rsidR="00A95A0E">
        <w:t xml:space="preserve">measure </w:t>
      </w:r>
      <w:r w:rsidR="008D28DA">
        <w:t>individual-level network integration</w:t>
      </w:r>
      <w:r>
        <w:t>. For each</w:t>
      </w:r>
      <w:r w:rsidR="009E6A7D">
        <w:t xml:space="preserve"> annual network</w:t>
      </w:r>
      <w:r>
        <w:t>, we calc</w:t>
      </w:r>
      <w:r w:rsidR="008C5FEE">
        <w:t>ulated</w:t>
      </w:r>
      <w:r w:rsidR="005750D9">
        <w:t xml:space="preserve"> </w:t>
      </w:r>
      <w:r w:rsidR="008D28DA">
        <w:t xml:space="preserve">5 </w:t>
      </w:r>
      <w:r w:rsidR="001B42C2">
        <w:t>metrics</w:t>
      </w:r>
      <w:r w:rsidR="008D28DA">
        <w:t xml:space="preserve"> of integration</w:t>
      </w:r>
      <w:r w:rsidR="001B42C2">
        <w:t>:</w:t>
      </w:r>
      <w:r w:rsidR="008D28DA">
        <w:t xml:space="preserve"> </w:t>
      </w:r>
      <w:proofErr w:type="spellStart"/>
      <w:r w:rsidR="005750D9" w:rsidRPr="00797336">
        <w:rPr>
          <w:b/>
        </w:rPr>
        <w:t>betweenness</w:t>
      </w:r>
      <w:proofErr w:type="spellEnd"/>
      <w:r w:rsidR="005750D9" w:rsidRPr="00797336">
        <w:rPr>
          <w:b/>
        </w:rPr>
        <w:t xml:space="preserve"> </w:t>
      </w:r>
      <w:r w:rsidR="005750D9">
        <w:t xml:space="preserve">centrality, </w:t>
      </w:r>
      <w:r w:rsidR="005750D9" w:rsidRPr="00797336">
        <w:rPr>
          <w:b/>
        </w:rPr>
        <w:t>eigenvector</w:t>
      </w:r>
      <w:r w:rsidR="005750D9">
        <w:t xml:space="preserve"> centrality, </w:t>
      </w:r>
      <w:r w:rsidR="001B42C2" w:rsidRPr="00797336">
        <w:rPr>
          <w:b/>
        </w:rPr>
        <w:t>weighted and unweighted degree</w:t>
      </w:r>
      <w:r w:rsidR="001B42C2">
        <w:t xml:space="preserve">, and local </w:t>
      </w:r>
      <w:r w:rsidR="001B42C2" w:rsidRPr="00797336">
        <w:rPr>
          <w:b/>
        </w:rPr>
        <w:t>transitivity</w:t>
      </w:r>
      <w:r w:rsidR="0089620A">
        <w:t xml:space="preserve"> </w:t>
      </w:r>
      <w:r w:rsidR="0089620A">
        <w:fldChar w:fldCharType="begin"/>
      </w:r>
      <w:r w:rsidR="0089620A">
        <w:instrText xml:space="preserve"> ADDIN ZOTERO_ITEM CSL_CITATION {"citationID":"0zIC7IEx","properties":{"formattedCitation":"(i.e. local clustering coefficient, Hanneman &amp; Riddle, 2005)","plainCitation":"(i.e. local clustering coefficient, Hanneman &amp; Riddle, 2005)","noteIndex":0},"citationItems":[{"id":706,"uris":["http://zotero.org/users/6195811/items/SXA8HEFV"],"uri":["http://zotero.org/users/6195811/items/SXA8HEFV"],"itemData":{"id":706,"type":"book","event-place":"Riverside, CA","publisher":"University of California, Riverside","publisher-place":"Riverside, CA","title":"Introduction to social network methods","author":[{"family":"Hanneman","given":"R. A."},{"family":"Riddle","given":"M."}],"issued":{"date-parts":[["2005"]]}},"prefix":"i.e. local clustering coefficient, "}],"schema":"https://github.com/citation-style-language/schema/raw/master/csl-citation.json"} </w:instrText>
      </w:r>
      <w:r w:rsidR="0089620A">
        <w:fldChar w:fldCharType="separate"/>
      </w:r>
      <w:r w:rsidR="0089620A" w:rsidRPr="0089620A">
        <w:rPr>
          <w:rFonts w:ascii="Calibri" w:hAnsi="Calibri" w:cs="Calibri"/>
        </w:rPr>
        <w:t>(i.e. local clustering coefficient, Hanneman &amp; Riddle, 2005)</w:t>
      </w:r>
      <w:r w:rsidR="0089620A">
        <w:fldChar w:fldCharType="end"/>
      </w:r>
      <w:r w:rsidR="0089620A">
        <w:t xml:space="preserve">. </w:t>
      </w:r>
      <w:r w:rsidR="008D28DA">
        <w:t>All metrics were weighted apart from unweighted degree, in an effort to capture variation in both number of social partners and frequency of social interaction.</w:t>
      </w:r>
      <w:r w:rsidR="00A95A0E">
        <w:t xml:space="preserve"> </w:t>
      </w:r>
    </w:p>
    <w:p w:rsidR="00846620" w:rsidRDefault="00A55BF6" w:rsidP="00356CE3">
      <w:pPr>
        <w:widowControl w:val="0"/>
        <w:autoSpaceDE w:val="0"/>
        <w:autoSpaceDN w:val="0"/>
        <w:adjustRightInd w:val="0"/>
        <w:spacing w:after="0" w:line="240" w:lineRule="auto"/>
        <w:ind w:firstLine="720"/>
      </w:pPr>
      <w:r>
        <w:t>We calculated average annual dominance ranks</w:t>
      </w:r>
      <w:r w:rsidR="00AD20AC">
        <w:t xml:space="preserve"> (</w:t>
      </w:r>
      <w:r w:rsidR="00AD20AC" w:rsidRPr="00AD20AC">
        <w:rPr>
          <w:b/>
        </w:rPr>
        <w:t>rank</w:t>
      </w:r>
      <w:r w:rsidR="00AD20AC">
        <w:t>)</w:t>
      </w:r>
      <w:r>
        <w:t xml:space="preserve"> within </w:t>
      </w:r>
      <w:r w:rsidR="00AD20AC">
        <w:t>sex-</w:t>
      </w:r>
      <w:r>
        <w:t xml:space="preserve">specific dominance hierarchies. Daily ranks were based on </w:t>
      </w:r>
      <w:proofErr w:type="spellStart"/>
      <w:r w:rsidR="00501AC7">
        <w:t>Elo</w:t>
      </w:r>
      <w:proofErr w:type="spellEnd"/>
      <w:r w:rsidR="00501AC7">
        <w:t xml:space="preserve"> ratings</w:t>
      </w:r>
      <w:r w:rsidR="009A07B2">
        <w:t xml:space="preserve"> </w:t>
      </w:r>
      <w:r>
        <w:t xml:space="preserve">informed by decided agonistic interactions, </w:t>
      </w:r>
      <w:r w:rsidR="009A07B2">
        <w:t xml:space="preserve">as described in Emery Thompson </w:t>
      </w:r>
      <w:r w:rsidR="009A07B2">
        <w:rPr>
          <w:i/>
        </w:rPr>
        <w:t>et al.</w:t>
      </w:r>
      <w:r w:rsidR="009A07B2">
        <w:t xml:space="preserve"> </w:t>
      </w:r>
      <w:r w:rsidR="009A07B2" w:rsidRPr="009A07B2">
        <w:rPr>
          <w:rFonts w:ascii="Calibri" w:hAnsi="Calibri" w:cs="Calibri"/>
        </w:rPr>
        <w:t>(2020)</w:t>
      </w:r>
      <w:r>
        <w:t xml:space="preserve">, and standardized relative to number of individuals in the hierarchy. </w:t>
      </w:r>
      <w:r w:rsidR="00AD20AC">
        <w:t>W</w:t>
      </w:r>
      <w:r>
        <w:t xml:space="preserve">e further calculated </w:t>
      </w:r>
      <w:r w:rsidR="00AD20AC">
        <w:t>the proportion of observation days that a female was seen with a maximally tumescent swelling (</w:t>
      </w:r>
      <w:r w:rsidR="00356CE3" w:rsidRPr="00356CE3">
        <w:rPr>
          <w:b/>
        </w:rPr>
        <w:t>time</w:t>
      </w:r>
      <w:r w:rsidR="00356CE3">
        <w:t xml:space="preserve"> </w:t>
      </w:r>
      <w:r w:rsidR="00356CE3">
        <w:rPr>
          <w:b/>
        </w:rPr>
        <w:t>swollen</w:t>
      </w:r>
      <w:r w:rsidR="00AD20AC">
        <w:t>) as an analytical control, as males are highly attracted to females in this state.</w:t>
      </w:r>
    </w:p>
    <w:p w:rsidR="00356CE3" w:rsidRPr="00356CE3" w:rsidRDefault="00356CE3" w:rsidP="00356CE3">
      <w:pPr>
        <w:widowControl w:val="0"/>
        <w:autoSpaceDE w:val="0"/>
        <w:autoSpaceDN w:val="0"/>
        <w:adjustRightInd w:val="0"/>
        <w:spacing w:after="0" w:line="240" w:lineRule="auto"/>
        <w:ind w:firstLine="720"/>
        <w:rPr>
          <w:i/>
        </w:rPr>
      </w:pPr>
      <w:r w:rsidRPr="00126F14">
        <w:rPr>
          <w:i/>
          <w:highlight w:val="yellow"/>
        </w:rPr>
        <w:t>Stability in integration</w:t>
      </w:r>
    </w:p>
    <w:p w:rsidR="00356CE3" w:rsidRDefault="005750D9" w:rsidP="00356CE3">
      <w:pPr>
        <w:ind w:firstLine="720"/>
      </w:pPr>
      <w:r>
        <w:lastRenderedPageBreak/>
        <w:t>To evaluate changes in network integration with age, we assembled generalized linear mixed models (</w:t>
      </w:r>
      <w:proofErr w:type="spellStart"/>
      <w:r>
        <w:t>glmm</w:t>
      </w:r>
      <w:proofErr w:type="spellEnd"/>
      <w:r>
        <w:t xml:space="preserve">) in the </w:t>
      </w:r>
      <w:proofErr w:type="spellStart"/>
      <w:r>
        <w:t>lmerTest</w:t>
      </w:r>
      <w:proofErr w:type="spellEnd"/>
      <w:r>
        <w:t xml:space="preserve"> R package</w:t>
      </w:r>
      <w:r w:rsidR="009E6A7D">
        <w:t xml:space="preserve">. Each integration metric was modeled </w:t>
      </w:r>
      <w:r w:rsidR="00501AC7">
        <w:t xml:space="preserve">as a response </w:t>
      </w:r>
      <w:r>
        <w:t>with a gamma error distribution and a log-link function</w:t>
      </w:r>
      <w:r w:rsidR="00846620">
        <w:t>. E</w:t>
      </w:r>
      <w:r w:rsidR="009E6A7D">
        <w:t>ach model included</w:t>
      </w:r>
      <w:r w:rsidR="007C4A04">
        <w:t xml:space="preserve"> age-at-mid-year</w:t>
      </w:r>
      <w:r w:rsidR="00551C1C">
        <w:t xml:space="preserve"> (</w:t>
      </w:r>
      <w:r w:rsidR="00551C1C" w:rsidRPr="00846620">
        <w:rPr>
          <w:b/>
        </w:rPr>
        <w:t>age</w:t>
      </w:r>
      <w:r w:rsidR="00551C1C">
        <w:t>) and</w:t>
      </w:r>
      <w:r w:rsidR="009E6A7D">
        <w:t xml:space="preserve"> </w:t>
      </w:r>
      <w:r w:rsidR="00846620">
        <w:t>rank</w:t>
      </w:r>
      <w:r w:rsidR="00551C1C">
        <w:t xml:space="preserve"> as fixed effects</w:t>
      </w:r>
      <w:r w:rsidR="009E6A7D">
        <w:t xml:space="preserve">, and individual ID as a random effect. </w:t>
      </w:r>
      <w:r w:rsidR="00501AC7">
        <w:t>In mixed-sex networks, we</w:t>
      </w:r>
      <w:r w:rsidR="00846620">
        <w:t xml:space="preserve"> </w:t>
      </w:r>
      <w:r w:rsidR="00356CE3">
        <w:t>included sex and its interaction with age as fixed effects to model</w:t>
      </w:r>
      <w:r w:rsidR="00501AC7">
        <w:t xml:space="preserve"> sex differences in age-related changes </w:t>
      </w:r>
      <w:r w:rsidR="00356CE3">
        <w:t>in integration</w:t>
      </w:r>
      <w:r w:rsidR="00501AC7">
        <w:t xml:space="preserve">. </w:t>
      </w:r>
      <w:r w:rsidR="009E6A7D">
        <w:t>We further</w:t>
      </w:r>
      <w:r w:rsidR="00045C15">
        <w:t xml:space="preserve"> modeled age-relate</w:t>
      </w:r>
      <w:r w:rsidR="00501AC7">
        <w:t xml:space="preserve">d changes within each sex, both within mixed-sex </w:t>
      </w:r>
      <w:r w:rsidR="00045C15">
        <w:t>and</w:t>
      </w:r>
      <w:r w:rsidR="00501AC7">
        <w:t xml:space="preserve"> in</w:t>
      </w:r>
      <w:r w:rsidR="00045C15">
        <w:t xml:space="preserve"> same-sex</w:t>
      </w:r>
      <w:r w:rsidR="00501AC7">
        <w:t xml:space="preserve"> only networks. For females alone, we included </w:t>
      </w:r>
      <w:r w:rsidR="00356CE3">
        <w:t>time swollen as an additional predictor of integration.</w:t>
      </w:r>
    </w:p>
    <w:p w:rsidR="00356CE3" w:rsidRDefault="00957F83" w:rsidP="00356CE3">
      <w:pPr>
        <w:ind w:firstLine="720"/>
      </w:pPr>
      <w:r>
        <w:t>We</w:t>
      </w:r>
      <w:r w:rsidR="00356CE3">
        <w:t xml:space="preserve"> test</w:t>
      </w:r>
      <w:r>
        <w:t>ed</w:t>
      </w:r>
      <w:r w:rsidR="00356CE3">
        <w:t xml:space="preserve"> the significance of age-related changes in integration</w:t>
      </w:r>
      <w:r>
        <w:t xml:space="preserve"> by creating</w:t>
      </w:r>
      <w:r w:rsidR="00356CE3">
        <w:t xml:space="preserve"> </w:t>
      </w:r>
      <w:r w:rsidR="00126F14">
        <w:t xml:space="preserve">1000 </w:t>
      </w:r>
      <w:r w:rsidR="00356CE3">
        <w:t>randomized netwo</w:t>
      </w:r>
      <w:r w:rsidR="00126F14">
        <w:t>rks</w:t>
      </w:r>
      <w:r w:rsidR="00183940">
        <w:t xml:space="preserve">, </w:t>
      </w:r>
      <w:r w:rsidR="00126F14">
        <w:t>where node attributes such as sex, age, rank, time swollen, and ID were assigned ra</w:t>
      </w:r>
      <w:r w:rsidR="00183940">
        <w:t>ndomly</w:t>
      </w:r>
      <w:r w:rsidR="00126F14">
        <w:t xml:space="preserve"> according to the </w:t>
      </w:r>
      <w:r>
        <w:t xml:space="preserve">distinct set of </w:t>
      </w:r>
      <w:r w:rsidR="00183940">
        <w:t>pre</w:t>
      </w:r>
      <w:r>
        <w:t>dictors in</w:t>
      </w:r>
      <w:r w:rsidR="00183940">
        <w:t xml:space="preserve"> the</w:t>
      </w:r>
      <w:r w:rsidR="00126F14">
        <w:t xml:space="preserve"> model. We ran our initial models on these data sets and extracted the 1000 </w:t>
      </w:r>
      <w:r w:rsidR="00183940">
        <w:t xml:space="preserve">“random” </w:t>
      </w:r>
      <w:r w:rsidR="00126F14">
        <w:t>coefficients of relevant predictor variables</w:t>
      </w:r>
      <w:r w:rsidR="00A33BB1">
        <w:t>. We then calculated the proportion of random coefficients that fell below the observed predictor coefficients, where proportions &gt; 0.95 and &lt; 0.05 indicated a significantly positive or negative effect of the predictor on the response.</w:t>
      </w:r>
      <w:r w:rsidR="00356CE3">
        <w:t xml:space="preserve"> Node randomization</w:t>
      </w:r>
      <w:r>
        <w:t>s</w:t>
      </w:r>
      <w:bookmarkStart w:id="0" w:name="_GoBack"/>
      <w:bookmarkEnd w:id="0"/>
      <w:r w:rsidR="00356CE3">
        <w:t xml:space="preserve"> preserved</w:t>
      </w:r>
      <w:r w:rsidR="00A33BB1">
        <w:t>,</w:t>
      </w:r>
      <w:r w:rsidR="00356CE3">
        <w:t xml:space="preserve"> and thus controlled</w:t>
      </w:r>
      <w:r w:rsidR="00183940">
        <w:t xml:space="preserve"> for</w:t>
      </w:r>
      <w:r w:rsidR="00A33BB1">
        <w:t>,</w:t>
      </w:r>
      <w:r w:rsidR="00356CE3">
        <w:t xml:space="preserve"> annual </w:t>
      </w:r>
      <w:r w:rsidR="00A33BB1">
        <w:t xml:space="preserve">variation in </w:t>
      </w:r>
      <w:r w:rsidR="00356CE3">
        <w:t>network size</w:t>
      </w:r>
      <w:r w:rsidR="00A33BB1">
        <w:t>, sex and age composition,</w:t>
      </w:r>
      <w:r w:rsidR="00356CE3">
        <w:t xml:space="preserve"> and individual social tendencies.</w:t>
      </w:r>
    </w:p>
    <w:p w:rsidR="00356CE3" w:rsidRDefault="00356CE3" w:rsidP="00356CE3">
      <w:pPr>
        <w:ind w:firstLine="720"/>
      </w:pPr>
    </w:p>
    <w:sectPr w:rsidR="00356CE3" w:rsidSect="0032283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D4"/>
    <w:rsid w:val="00045C15"/>
    <w:rsid w:val="00062A43"/>
    <w:rsid w:val="00126F14"/>
    <w:rsid w:val="00183940"/>
    <w:rsid w:val="001B42C2"/>
    <w:rsid w:val="001D427E"/>
    <w:rsid w:val="001F7C5C"/>
    <w:rsid w:val="0032283E"/>
    <w:rsid w:val="00356CE3"/>
    <w:rsid w:val="004937EF"/>
    <w:rsid w:val="00501AC7"/>
    <w:rsid w:val="00535AD4"/>
    <w:rsid w:val="00551C1C"/>
    <w:rsid w:val="005750D9"/>
    <w:rsid w:val="005C5525"/>
    <w:rsid w:val="006A1B16"/>
    <w:rsid w:val="00797336"/>
    <w:rsid w:val="007A3C46"/>
    <w:rsid w:val="007C349E"/>
    <w:rsid w:val="007C4A04"/>
    <w:rsid w:val="007E5B1B"/>
    <w:rsid w:val="007E5F7A"/>
    <w:rsid w:val="0082205D"/>
    <w:rsid w:val="00846620"/>
    <w:rsid w:val="0089620A"/>
    <w:rsid w:val="008C5FEE"/>
    <w:rsid w:val="008D28DA"/>
    <w:rsid w:val="00957F83"/>
    <w:rsid w:val="009943E6"/>
    <w:rsid w:val="009A07B2"/>
    <w:rsid w:val="009E6A7D"/>
    <w:rsid w:val="00A33BB1"/>
    <w:rsid w:val="00A55BF6"/>
    <w:rsid w:val="00A95A0E"/>
    <w:rsid w:val="00AD20AC"/>
    <w:rsid w:val="00AD3829"/>
    <w:rsid w:val="00B93E64"/>
    <w:rsid w:val="00BE53FE"/>
    <w:rsid w:val="00BF336F"/>
    <w:rsid w:val="00C05257"/>
    <w:rsid w:val="00C30B60"/>
    <w:rsid w:val="00CD5B81"/>
    <w:rsid w:val="00CE0C85"/>
    <w:rsid w:val="00E50C8B"/>
    <w:rsid w:val="00FD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6B5B"/>
  <w15:chartTrackingRefBased/>
  <w15:docId w15:val="{D5389868-3D0E-4A41-AB9E-2FB33CA7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9620A"/>
    <w:pPr>
      <w:spacing w:after="0" w:line="480" w:lineRule="auto"/>
      <w:ind w:left="720" w:hanging="720"/>
    </w:pPr>
  </w:style>
  <w:style w:type="character" w:styleId="PlaceholderText">
    <w:name w:val="Placeholder Text"/>
    <w:basedOn w:val="DefaultParagraphFont"/>
    <w:uiPriority w:val="99"/>
    <w:semiHidden/>
    <w:rsid w:val="001D427E"/>
    <w:rPr>
      <w:color w:val="808080"/>
    </w:rPr>
  </w:style>
  <w:style w:type="character" w:styleId="LineNumber">
    <w:name w:val="line number"/>
    <w:basedOn w:val="DefaultParagraphFont"/>
    <w:uiPriority w:val="99"/>
    <w:semiHidden/>
    <w:unhideWhenUsed/>
    <w:rsid w:val="00322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2</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thompson</dc:creator>
  <cp:keywords/>
  <dc:description/>
  <cp:lastModifiedBy>nicole thompson</cp:lastModifiedBy>
  <cp:revision>24</cp:revision>
  <dcterms:created xsi:type="dcterms:W3CDTF">2020-04-09T15:24:00Z</dcterms:created>
  <dcterms:modified xsi:type="dcterms:W3CDTF">2020-04-10T21:21:00Z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id="V7HV6EhZ"/&gt;&lt;style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