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B4989" w14:textId="786FEF9D" w:rsidR="007412DC" w:rsidRDefault="0078544D" w:rsidP="00A7117E">
      <w:pPr>
        <w:pStyle w:val="Lis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F</w:t>
      </w:r>
      <w:r w:rsidR="003B021A">
        <w:rPr>
          <w:rFonts w:hint="eastAsia"/>
        </w:rPr>
        <w:t>INA</w:t>
      </w:r>
    </w:p>
    <w:p w14:paraId="0EA9399C" w14:textId="77777777" w:rsidR="00317330" w:rsidRDefault="00317330" w:rsidP="00317330">
      <w:pPr>
        <w:pStyle w:val="ListParagraph"/>
        <w:numPr>
          <w:ilvl w:val="1"/>
          <w:numId w:val="1"/>
        </w:numPr>
      </w:pPr>
    </w:p>
    <w:p w14:paraId="226B1D2C" w14:textId="4B0B6186" w:rsidR="1301F3E7" w:rsidRDefault="1301F3E7" w:rsidP="26D21140">
      <w:pPr>
        <w:pStyle w:val="ListParagraph"/>
      </w:pPr>
    </w:p>
    <w:p w14:paraId="7948469A" w14:textId="22B0DA03" w:rsidR="003B021A" w:rsidRDefault="00C822B7" w:rsidP="00A7117E">
      <w:pPr>
        <w:pStyle w:val="ListParagraph"/>
        <w:numPr>
          <w:ilvl w:val="0"/>
          <w:numId w:val="1"/>
        </w:numPr>
      </w:pPr>
      <w:r>
        <w:rPr>
          <w:rFonts w:hint="eastAsia"/>
        </w:rPr>
        <w:t>STAT</w:t>
      </w:r>
    </w:p>
    <w:p w14:paraId="589EB4DF" w14:textId="021A371B" w:rsidR="00545C33" w:rsidRDefault="00AF3FA0" w:rsidP="00A7117E">
      <w:pPr>
        <w:pStyle w:val="ListParagraph"/>
        <w:numPr>
          <w:ilvl w:val="0"/>
          <w:numId w:val="1"/>
        </w:numPr>
      </w:pPr>
      <w:r>
        <w:rPr>
          <w:rFonts w:hint="eastAsia"/>
        </w:rPr>
        <w:t>MATH</w:t>
      </w:r>
    </w:p>
    <w:p w14:paraId="298C2D37" w14:textId="5A521B93" w:rsidR="004753F1" w:rsidRDefault="00C60149" w:rsidP="006A35D4">
      <w:pPr>
        <w:pStyle w:val="ListParagraph"/>
        <w:numPr>
          <w:ilvl w:val="0"/>
          <w:numId w:val="1"/>
        </w:numPr>
      </w:pPr>
      <w:r>
        <w:rPr>
          <w:rFonts w:hint="eastAsia"/>
        </w:rPr>
        <w:t>ECON</w:t>
      </w:r>
    </w:p>
    <w:p w14:paraId="75A8709D" w14:textId="78CE9DE4" w:rsidR="00C822B7" w:rsidRDefault="00C822B7" w:rsidP="00A7117E">
      <w:pPr>
        <w:pStyle w:val="ListParagraph"/>
        <w:numPr>
          <w:ilvl w:val="0"/>
          <w:numId w:val="1"/>
        </w:numPr>
      </w:pPr>
      <w:r>
        <w:rPr>
          <w:rFonts w:hint="eastAsia"/>
        </w:rPr>
        <w:t>CSCI</w:t>
      </w:r>
    </w:p>
    <w:p w14:paraId="139820F9" w14:textId="10688AD4" w:rsidR="701AFA44" w:rsidRDefault="701AFA44" w:rsidP="701AFA44"/>
    <w:p w14:paraId="0D307B65" w14:textId="69F104AE" w:rsidR="53100D91" w:rsidRDefault="53100D91" w:rsidP="50DFAADC"/>
    <w:p w14:paraId="492DD9CD" w14:textId="0FE15AD5" w:rsidR="0FA41D79" w:rsidRDefault="0FA41D79"/>
    <w:p w14:paraId="5D47DD1D" w14:textId="1A9B7B11" w:rsidR="701AFA44" w:rsidRDefault="701AFA44" w:rsidP="701AFA44"/>
    <w:p w14:paraId="0830E9F4" w14:textId="2E9D1895" w:rsidR="701AFA44" w:rsidRDefault="4C66E347" w:rsidP="701AFA44">
      <w:r>
        <w:t>CFA chapters details</w:t>
      </w:r>
    </w:p>
    <w:p w14:paraId="5EC861C8" w14:textId="1F70206B" w:rsidR="701AFA44" w:rsidRDefault="701AFA44" w:rsidP="701AFA44">
      <w:pPr>
        <w:pStyle w:val="ListParagraph"/>
        <w:numPr>
          <w:ilvl w:val="0"/>
          <w:numId w:val="2"/>
        </w:numPr>
        <w:spacing w:before="210" w:after="210"/>
        <w:rPr>
          <w:rFonts w:ascii="Noto Sans" w:eastAsia="Noto Sans" w:hAnsi="Noto Sans" w:cs="Noto Sans"/>
          <w:b/>
          <w:bCs/>
          <w:color w:val="C9D1D9"/>
          <w:sz w:val="21"/>
          <w:szCs w:val="21"/>
        </w:rPr>
      </w:pPr>
      <w:r w:rsidRPr="701AFA44">
        <w:rPr>
          <w:rFonts w:ascii="Noto Sans" w:eastAsia="Noto Sans" w:hAnsi="Noto Sans" w:cs="Noto Sans"/>
          <w:b/>
          <w:bCs/>
          <w:color w:val="C9D1D9"/>
          <w:sz w:val="21"/>
          <w:szCs w:val="21"/>
        </w:rPr>
        <w:t>Ethical and Professional Standards</w:t>
      </w:r>
    </w:p>
    <w:p w14:paraId="40BC52EA" w14:textId="346862C4" w:rsidR="701AFA44" w:rsidRDefault="701AFA44" w:rsidP="701AFA44">
      <w:pPr>
        <w:pStyle w:val="ListParagraph"/>
        <w:numPr>
          <w:ilvl w:val="1"/>
          <w:numId w:val="2"/>
        </w:numPr>
        <w:spacing w:after="0"/>
        <w:rPr>
          <w:rFonts w:ascii="Noto Sans" w:eastAsia="Noto Sans" w:hAnsi="Noto Sans" w:cs="Noto Sans"/>
          <w:color w:val="C9D1D9"/>
          <w:sz w:val="21"/>
          <w:szCs w:val="21"/>
        </w:rPr>
      </w:pPr>
      <w:r w:rsidRPr="701AFA44">
        <w:rPr>
          <w:rFonts w:ascii="Noto Sans" w:eastAsia="Noto Sans" w:hAnsi="Noto Sans" w:cs="Noto Sans"/>
          <w:color w:val="C9D1D9"/>
          <w:sz w:val="21"/>
          <w:szCs w:val="21"/>
        </w:rPr>
        <w:t>Code of Ethics and Standards of Professional Conduct</w:t>
      </w:r>
    </w:p>
    <w:p w14:paraId="32A417D5" w14:textId="0A178C99" w:rsidR="701AFA44" w:rsidRDefault="701AFA44" w:rsidP="701AFA44">
      <w:pPr>
        <w:pStyle w:val="ListParagraph"/>
        <w:numPr>
          <w:ilvl w:val="1"/>
          <w:numId w:val="2"/>
        </w:numPr>
        <w:spacing w:after="0"/>
        <w:rPr>
          <w:rFonts w:ascii="Noto Sans" w:eastAsia="Noto Sans" w:hAnsi="Noto Sans" w:cs="Noto Sans"/>
          <w:color w:val="C9D1D9"/>
          <w:sz w:val="21"/>
          <w:szCs w:val="21"/>
        </w:rPr>
      </w:pPr>
      <w:r w:rsidRPr="701AFA44">
        <w:rPr>
          <w:rFonts w:ascii="Noto Sans" w:eastAsia="Noto Sans" w:hAnsi="Noto Sans" w:cs="Noto Sans"/>
          <w:color w:val="C9D1D9"/>
          <w:sz w:val="21"/>
          <w:szCs w:val="21"/>
        </w:rPr>
        <w:t>Ethical Decision Making in Investment Management</w:t>
      </w:r>
    </w:p>
    <w:p w14:paraId="5E49DA63" w14:textId="15F9C4FC" w:rsidR="701AFA44" w:rsidRDefault="701AFA44" w:rsidP="701AFA44">
      <w:pPr>
        <w:pStyle w:val="ListParagraph"/>
        <w:numPr>
          <w:ilvl w:val="1"/>
          <w:numId w:val="2"/>
        </w:numPr>
        <w:spacing w:after="0"/>
        <w:rPr>
          <w:rFonts w:ascii="Noto Sans" w:eastAsia="Noto Sans" w:hAnsi="Noto Sans" w:cs="Noto Sans"/>
          <w:color w:val="C9D1D9"/>
          <w:sz w:val="21"/>
          <w:szCs w:val="21"/>
        </w:rPr>
      </w:pPr>
      <w:r w:rsidRPr="701AFA44">
        <w:rPr>
          <w:rFonts w:ascii="Noto Sans" w:eastAsia="Noto Sans" w:hAnsi="Noto Sans" w:cs="Noto Sans"/>
          <w:color w:val="C9D1D9"/>
          <w:sz w:val="21"/>
          <w:szCs w:val="21"/>
        </w:rPr>
        <w:t>Global Investment Performance Standards (GIPS)</w:t>
      </w:r>
    </w:p>
    <w:p w14:paraId="3F0DA194" w14:textId="25133BF3" w:rsidR="701AFA44" w:rsidRDefault="701AFA44" w:rsidP="701AFA44">
      <w:pPr>
        <w:pStyle w:val="ListParagraph"/>
        <w:numPr>
          <w:ilvl w:val="0"/>
          <w:numId w:val="2"/>
        </w:numPr>
        <w:spacing w:before="210" w:after="210"/>
        <w:rPr>
          <w:rFonts w:ascii="Noto Sans" w:eastAsia="Noto Sans" w:hAnsi="Noto Sans" w:cs="Noto Sans"/>
          <w:b/>
          <w:bCs/>
          <w:color w:val="C9D1D9"/>
          <w:sz w:val="21"/>
          <w:szCs w:val="21"/>
        </w:rPr>
      </w:pPr>
      <w:r w:rsidRPr="701AFA44">
        <w:rPr>
          <w:rFonts w:ascii="Noto Sans" w:eastAsia="Noto Sans" w:hAnsi="Noto Sans" w:cs="Noto Sans"/>
          <w:b/>
          <w:bCs/>
          <w:color w:val="C9D1D9"/>
          <w:sz w:val="21"/>
          <w:szCs w:val="21"/>
        </w:rPr>
        <w:t>Quantitative Methods</w:t>
      </w:r>
    </w:p>
    <w:p w14:paraId="1101C79F" w14:textId="27D16A59" w:rsidR="701AFA44" w:rsidRDefault="701AFA44" w:rsidP="701AFA44">
      <w:pPr>
        <w:pStyle w:val="ListParagraph"/>
        <w:numPr>
          <w:ilvl w:val="1"/>
          <w:numId w:val="2"/>
        </w:numPr>
        <w:spacing w:after="0"/>
        <w:rPr>
          <w:rFonts w:ascii="Noto Sans" w:eastAsia="Noto Sans" w:hAnsi="Noto Sans" w:cs="Noto Sans"/>
          <w:color w:val="C9D1D9"/>
          <w:sz w:val="21"/>
          <w:szCs w:val="21"/>
        </w:rPr>
      </w:pPr>
      <w:r w:rsidRPr="701AFA44">
        <w:rPr>
          <w:rFonts w:ascii="Noto Sans" w:eastAsia="Noto Sans" w:hAnsi="Noto Sans" w:cs="Noto Sans"/>
          <w:color w:val="C9D1D9"/>
          <w:sz w:val="21"/>
          <w:szCs w:val="21"/>
        </w:rPr>
        <w:t>Time Value of Money</w:t>
      </w:r>
    </w:p>
    <w:p w14:paraId="0624FF7A" w14:textId="772CA63A" w:rsidR="701AFA44" w:rsidRDefault="701AFA44" w:rsidP="701AFA44">
      <w:pPr>
        <w:pStyle w:val="ListParagraph"/>
        <w:numPr>
          <w:ilvl w:val="1"/>
          <w:numId w:val="2"/>
        </w:numPr>
        <w:spacing w:after="0"/>
        <w:rPr>
          <w:rFonts w:ascii="Noto Sans" w:eastAsia="Noto Sans" w:hAnsi="Noto Sans" w:cs="Noto Sans"/>
          <w:color w:val="C9D1D9"/>
          <w:sz w:val="21"/>
          <w:szCs w:val="21"/>
        </w:rPr>
      </w:pPr>
      <w:r w:rsidRPr="701AFA44">
        <w:rPr>
          <w:rFonts w:ascii="Noto Sans" w:eastAsia="Noto Sans" w:hAnsi="Noto Sans" w:cs="Noto Sans"/>
          <w:color w:val="C9D1D9"/>
          <w:sz w:val="21"/>
          <w:szCs w:val="21"/>
        </w:rPr>
        <w:t>Probability and Statistics</w:t>
      </w:r>
    </w:p>
    <w:p w14:paraId="56FECEF9" w14:textId="498DFCEA" w:rsidR="701AFA44" w:rsidRDefault="701AFA44" w:rsidP="701AFA44">
      <w:pPr>
        <w:pStyle w:val="ListParagraph"/>
        <w:numPr>
          <w:ilvl w:val="1"/>
          <w:numId w:val="2"/>
        </w:numPr>
        <w:spacing w:after="0"/>
        <w:rPr>
          <w:rFonts w:ascii="Noto Sans" w:eastAsia="Noto Sans" w:hAnsi="Noto Sans" w:cs="Noto Sans"/>
          <w:color w:val="C9D1D9"/>
          <w:sz w:val="21"/>
          <w:szCs w:val="21"/>
        </w:rPr>
      </w:pPr>
      <w:r w:rsidRPr="701AFA44">
        <w:rPr>
          <w:rFonts w:ascii="Noto Sans" w:eastAsia="Noto Sans" w:hAnsi="Noto Sans" w:cs="Noto Sans"/>
          <w:color w:val="C9D1D9"/>
          <w:sz w:val="21"/>
          <w:szCs w:val="21"/>
        </w:rPr>
        <w:t>Hypothesis Testing</w:t>
      </w:r>
    </w:p>
    <w:p w14:paraId="04D2CE56" w14:textId="1186D4D1" w:rsidR="701AFA44" w:rsidRDefault="701AFA44" w:rsidP="701AFA44">
      <w:pPr>
        <w:pStyle w:val="ListParagraph"/>
        <w:numPr>
          <w:ilvl w:val="1"/>
          <w:numId w:val="2"/>
        </w:numPr>
        <w:spacing w:after="0"/>
        <w:rPr>
          <w:rFonts w:ascii="Noto Sans" w:eastAsia="Noto Sans" w:hAnsi="Noto Sans" w:cs="Noto Sans"/>
          <w:color w:val="C9D1D9"/>
          <w:sz w:val="21"/>
          <w:szCs w:val="21"/>
        </w:rPr>
      </w:pPr>
      <w:r w:rsidRPr="701AFA44">
        <w:rPr>
          <w:rFonts w:ascii="Noto Sans" w:eastAsia="Noto Sans" w:hAnsi="Noto Sans" w:cs="Noto Sans"/>
          <w:color w:val="C9D1D9"/>
          <w:sz w:val="21"/>
          <w:szCs w:val="21"/>
        </w:rPr>
        <w:t>Regression Analysis</w:t>
      </w:r>
    </w:p>
    <w:p w14:paraId="006AC63B" w14:textId="2FE13668" w:rsidR="701AFA44" w:rsidRDefault="701AFA44" w:rsidP="701AFA44">
      <w:pPr>
        <w:pStyle w:val="ListParagraph"/>
        <w:numPr>
          <w:ilvl w:val="0"/>
          <w:numId w:val="2"/>
        </w:numPr>
        <w:spacing w:before="210" w:after="210"/>
        <w:rPr>
          <w:rFonts w:ascii="Noto Sans" w:eastAsia="Noto Sans" w:hAnsi="Noto Sans" w:cs="Noto Sans"/>
          <w:b/>
          <w:bCs/>
          <w:color w:val="C9D1D9"/>
          <w:sz w:val="21"/>
          <w:szCs w:val="21"/>
        </w:rPr>
      </w:pPr>
      <w:r w:rsidRPr="701AFA44">
        <w:rPr>
          <w:rFonts w:ascii="Noto Sans" w:eastAsia="Noto Sans" w:hAnsi="Noto Sans" w:cs="Noto Sans"/>
          <w:b/>
          <w:bCs/>
          <w:color w:val="C9D1D9"/>
          <w:sz w:val="21"/>
          <w:szCs w:val="21"/>
        </w:rPr>
        <w:t>Economics</w:t>
      </w:r>
    </w:p>
    <w:p w14:paraId="250490EC" w14:textId="00096E22" w:rsidR="701AFA44" w:rsidRDefault="701AFA44" w:rsidP="701AFA44">
      <w:pPr>
        <w:pStyle w:val="ListParagraph"/>
        <w:numPr>
          <w:ilvl w:val="1"/>
          <w:numId w:val="2"/>
        </w:numPr>
        <w:spacing w:after="0"/>
        <w:rPr>
          <w:rFonts w:ascii="Noto Sans" w:eastAsia="Noto Sans" w:hAnsi="Noto Sans" w:cs="Noto Sans"/>
          <w:color w:val="C9D1D9"/>
          <w:sz w:val="21"/>
          <w:szCs w:val="21"/>
        </w:rPr>
      </w:pPr>
      <w:r w:rsidRPr="701AFA44">
        <w:rPr>
          <w:rFonts w:ascii="Noto Sans" w:eastAsia="Noto Sans" w:hAnsi="Noto Sans" w:cs="Noto Sans"/>
          <w:color w:val="C9D1D9"/>
          <w:sz w:val="21"/>
          <w:szCs w:val="21"/>
        </w:rPr>
        <w:t>Microeconomics and Macroeconomics</w:t>
      </w:r>
    </w:p>
    <w:p w14:paraId="3FD9EA2E" w14:textId="5D5E07D9" w:rsidR="701AFA44" w:rsidRDefault="701AFA44" w:rsidP="701AFA44">
      <w:pPr>
        <w:pStyle w:val="ListParagraph"/>
        <w:numPr>
          <w:ilvl w:val="1"/>
          <w:numId w:val="2"/>
        </w:numPr>
        <w:spacing w:after="0"/>
        <w:rPr>
          <w:rFonts w:ascii="Noto Sans" w:eastAsia="Noto Sans" w:hAnsi="Noto Sans" w:cs="Noto Sans"/>
          <w:color w:val="C9D1D9"/>
          <w:sz w:val="21"/>
          <w:szCs w:val="21"/>
        </w:rPr>
      </w:pPr>
      <w:r w:rsidRPr="701AFA44">
        <w:rPr>
          <w:rFonts w:ascii="Noto Sans" w:eastAsia="Noto Sans" w:hAnsi="Noto Sans" w:cs="Noto Sans"/>
          <w:color w:val="C9D1D9"/>
          <w:sz w:val="21"/>
          <w:szCs w:val="21"/>
        </w:rPr>
        <w:t>Economic Growth and Development</w:t>
      </w:r>
    </w:p>
    <w:p w14:paraId="28376FA0" w14:textId="55E6CDA5" w:rsidR="701AFA44" w:rsidRDefault="701AFA44" w:rsidP="701AFA44">
      <w:pPr>
        <w:pStyle w:val="ListParagraph"/>
        <w:numPr>
          <w:ilvl w:val="1"/>
          <w:numId w:val="2"/>
        </w:numPr>
        <w:spacing w:after="0"/>
        <w:rPr>
          <w:rFonts w:ascii="Noto Sans" w:eastAsia="Noto Sans" w:hAnsi="Noto Sans" w:cs="Noto Sans"/>
          <w:color w:val="C9D1D9"/>
          <w:sz w:val="21"/>
          <w:szCs w:val="21"/>
        </w:rPr>
      </w:pPr>
      <w:r w:rsidRPr="701AFA44">
        <w:rPr>
          <w:rFonts w:ascii="Noto Sans" w:eastAsia="Noto Sans" w:hAnsi="Noto Sans" w:cs="Noto Sans"/>
          <w:color w:val="C9D1D9"/>
          <w:sz w:val="21"/>
          <w:szCs w:val="21"/>
        </w:rPr>
        <w:t>Monetary and Fiscal Policy</w:t>
      </w:r>
    </w:p>
    <w:p w14:paraId="6DF2524C" w14:textId="4BE9E3CC" w:rsidR="701AFA44" w:rsidRDefault="701AFA44" w:rsidP="701AFA44">
      <w:pPr>
        <w:pStyle w:val="ListParagraph"/>
        <w:numPr>
          <w:ilvl w:val="0"/>
          <w:numId w:val="2"/>
        </w:numPr>
        <w:spacing w:before="210" w:after="210"/>
        <w:rPr>
          <w:rFonts w:ascii="Noto Sans" w:eastAsia="Noto Sans" w:hAnsi="Noto Sans" w:cs="Noto Sans"/>
          <w:b/>
          <w:bCs/>
          <w:color w:val="C9D1D9"/>
          <w:sz w:val="21"/>
          <w:szCs w:val="21"/>
        </w:rPr>
      </w:pPr>
      <w:r w:rsidRPr="701AFA44">
        <w:rPr>
          <w:rFonts w:ascii="Noto Sans" w:eastAsia="Noto Sans" w:hAnsi="Noto Sans" w:cs="Noto Sans"/>
          <w:b/>
          <w:bCs/>
          <w:color w:val="C9D1D9"/>
          <w:sz w:val="21"/>
          <w:szCs w:val="21"/>
        </w:rPr>
        <w:t>Financial Reporting and Analysis</w:t>
      </w:r>
    </w:p>
    <w:p w14:paraId="60CD6409" w14:textId="6AFA201B" w:rsidR="701AFA44" w:rsidRDefault="701AFA44" w:rsidP="701AFA44">
      <w:pPr>
        <w:pStyle w:val="ListParagraph"/>
        <w:numPr>
          <w:ilvl w:val="1"/>
          <w:numId w:val="2"/>
        </w:numPr>
        <w:spacing w:after="0"/>
        <w:rPr>
          <w:rFonts w:ascii="Noto Sans" w:eastAsia="Noto Sans" w:hAnsi="Noto Sans" w:cs="Noto Sans"/>
          <w:color w:val="C9D1D9"/>
          <w:sz w:val="21"/>
          <w:szCs w:val="21"/>
        </w:rPr>
      </w:pPr>
      <w:r w:rsidRPr="701AFA44">
        <w:rPr>
          <w:rFonts w:ascii="Noto Sans" w:eastAsia="Noto Sans" w:hAnsi="Noto Sans" w:cs="Noto Sans"/>
          <w:color w:val="C9D1D9"/>
          <w:sz w:val="21"/>
          <w:szCs w:val="21"/>
        </w:rPr>
        <w:t>Income Statement, Balance Sheet, and Cash Flow Statement</w:t>
      </w:r>
    </w:p>
    <w:p w14:paraId="55451740" w14:textId="348DD510" w:rsidR="701AFA44" w:rsidRDefault="701AFA44" w:rsidP="701AFA44">
      <w:pPr>
        <w:pStyle w:val="ListParagraph"/>
        <w:numPr>
          <w:ilvl w:val="1"/>
          <w:numId w:val="2"/>
        </w:numPr>
        <w:spacing w:after="0"/>
        <w:rPr>
          <w:rFonts w:ascii="Noto Sans" w:eastAsia="Noto Sans" w:hAnsi="Noto Sans" w:cs="Noto Sans"/>
          <w:color w:val="C9D1D9"/>
          <w:sz w:val="21"/>
          <w:szCs w:val="21"/>
        </w:rPr>
      </w:pPr>
      <w:r w:rsidRPr="701AFA44">
        <w:rPr>
          <w:rFonts w:ascii="Noto Sans" w:eastAsia="Noto Sans" w:hAnsi="Noto Sans" w:cs="Noto Sans"/>
          <w:color w:val="C9D1D9"/>
          <w:sz w:val="21"/>
          <w:szCs w:val="21"/>
        </w:rPr>
        <w:t>Financial Ratios and Financial Statement Analysis</w:t>
      </w:r>
    </w:p>
    <w:p w14:paraId="144E23B6" w14:textId="28A167AC" w:rsidR="701AFA44" w:rsidRDefault="701AFA44" w:rsidP="701AFA44">
      <w:pPr>
        <w:pStyle w:val="ListParagraph"/>
        <w:numPr>
          <w:ilvl w:val="1"/>
          <w:numId w:val="2"/>
        </w:numPr>
        <w:spacing w:after="0"/>
        <w:rPr>
          <w:rFonts w:ascii="Noto Sans" w:eastAsia="Noto Sans" w:hAnsi="Noto Sans" w:cs="Noto Sans"/>
          <w:color w:val="C9D1D9"/>
          <w:sz w:val="21"/>
          <w:szCs w:val="21"/>
        </w:rPr>
      </w:pPr>
      <w:r w:rsidRPr="701AFA44">
        <w:rPr>
          <w:rFonts w:ascii="Noto Sans" w:eastAsia="Noto Sans" w:hAnsi="Noto Sans" w:cs="Noto Sans"/>
          <w:color w:val="C9D1D9"/>
          <w:sz w:val="21"/>
          <w:szCs w:val="21"/>
        </w:rPr>
        <w:t>Standards and Reporting Practices</w:t>
      </w:r>
    </w:p>
    <w:p w14:paraId="74120ABF" w14:textId="61132341" w:rsidR="701AFA44" w:rsidRDefault="701AFA44" w:rsidP="701AFA44">
      <w:pPr>
        <w:pStyle w:val="ListParagraph"/>
        <w:numPr>
          <w:ilvl w:val="0"/>
          <w:numId w:val="2"/>
        </w:numPr>
        <w:spacing w:before="210" w:after="210"/>
        <w:rPr>
          <w:rFonts w:ascii="Noto Sans" w:eastAsia="Noto Sans" w:hAnsi="Noto Sans" w:cs="Noto Sans"/>
          <w:b/>
          <w:bCs/>
          <w:color w:val="C9D1D9"/>
          <w:sz w:val="21"/>
          <w:szCs w:val="21"/>
        </w:rPr>
      </w:pPr>
      <w:r w:rsidRPr="701AFA44">
        <w:rPr>
          <w:rFonts w:ascii="Noto Sans" w:eastAsia="Noto Sans" w:hAnsi="Noto Sans" w:cs="Noto Sans"/>
          <w:b/>
          <w:bCs/>
          <w:color w:val="C9D1D9"/>
          <w:sz w:val="21"/>
          <w:szCs w:val="21"/>
        </w:rPr>
        <w:t>Corporate Finance</w:t>
      </w:r>
    </w:p>
    <w:p w14:paraId="71448464" w14:textId="0A5253E7" w:rsidR="701AFA44" w:rsidRDefault="701AFA44" w:rsidP="701AFA44">
      <w:pPr>
        <w:pStyle w:val="ListParagraph"/>
        <w:numPr>
          <w:ilvl w:val="1"/>
          <w:numId w:val="2"/>
        </w:numPr>
        <w:spacing w:after="0"/>
        <w:rPr>
          <w:rFonts w:ascii="Noto Sans" w:eastAsia="Noto Sans" w:hAnsi="Noto Sans" w:cs="Noto Sans"/>
          <w:color w:val="C9D1D9"/>
          <w:sz w:val="21"/>
          <w:szCs w:val="21"/>
        </w:rPr>
      </w:pPr>
      <w:r w:rsidRPr="701AFA44">
        <w:rPr>
          <w:rFonts w:ascii="Noto Sans" w:eastAsia="Noto Sans" w:hAnsi="Noto Sans" w:cs="Noto Sans"/>
          <w:color w:val="C9D1D9"/>
          <w:sz w:val="21"/>
          <w:szCs w:val="21"/>
        </w:rPr>
        <w:t>Capital Budgeting</w:t>
      </w:r>
    </w:p>
    <w:p w14:paraId="101473B9" w14:textId="10CF8AF3" w:rsidR="701AFA44" w:rsidRDefault="701AFA44" w:rsidP="701AFA44">
      <w:pPr>
        <w:pStyle w:val="ListParagraph"/>
        <w:numPr>
          <w:ilvl w:val="1"/>
          <w:numId w:val="2"/>
        </w:numPr>
        <w:spacing w:after="0"/>
        <w:rPr>
          <w:rFonts w:ascii="Noto Sans" w:eastAsia="Noto Sans" w:hAnsi="Noto Sans" w:cs="Noto Sans"/>
          <w:color w:val="C9D1D9"/>
          <w:sz w:val="21"/>
          <w:szCs w:val="21"/>
        </w:rPr>
      </w:pPr>
      <w:r w:rsidRPr="701AFA44">
        <w:rPr>
          <w:rFonts w:ascii="Noto Sans" w:eastAsia="Noto Sans" w:hAnsi="Noto Sans" w:cs="Noto Sans"/>
          <w:color w:val="C9D1D9"/>
          <w:sz w:val="21"/>
          <w:szCs w:val="21"/>
        </w:rPr>
        <w:t>Cost of Capital</w:t>
      </w:r>
    </w:p>
    <w:p w14:paraId="0602BBD7" w14:textId="251F5F05" w:rsidR="701AFA44" w:rsidRDefault="701AFA44" w:rsidP="701AFA44">
      <w:pPr>
        <w:pStyle w:val="ListParagraph"/>
        <w:numPr>
          <w:ilvl w:val="1"/>
          <w:numId w:val="2"/>
        </w:numPr>
        <w:spacing w:after="0"/>
        <w:rPr>
          <w:rFonts w:ascii="Noto Sans" w:eastAsia="Noto Sans" w:hAnsi="Noto Sans" w:cs="Noto Sans"/>
          <w:color w:val="C9D1D9"/>
          <w:sz w:val="21"/>
          <w:szCs w:val="21"/>
        </w:rPr>
      </w:pPr>
      <w:r w:rsidRPr="701AFA44">
        <w:rPr>
          <w:rFonts w:ascii="Noto Sans" w:eastAsia="Noto Sans" w:hAnsi="Noto Sans" w:cs="Noto Sans"/>
          <w:color w:val="C9D1D9"/>
          <w:sz w:val="21"/>
          <w:szCs w:val="21"/>
        </w:rPr>
        <w:t>Leverage and Dividend Policy</w:t>
      </w:r>
    </w:p>
    <w:p w14:paraId="7B9E0497" w14:textId="3CB9C6BB" w:rsidR="701AFA44" w:rsidRDefault="701AFA44" w:rsidP="701AFA44">
      <w:pPr>
        <w:pStyle w:val="ListParagraph"/>
        <w:numPr>
          <w:ilvl w:val="0"/>
          <w:numId w:val="2"/>
        </w:numPr>
        <w:spacing w:before="210" w:after="210"/>
        <w:rPr>
          <w:rFonts w:ascii="Noto Sans" w:eastAsia="Noto Sans" w:hAnsi="Noto Sans" w:cs="Noto Sans"/>
          <w:b/>
          <w:bCs/>
          <w:color w:val="C9D1D9"/>
          <w:sz w:val="21"/>
          <w:szCs w:val="21"/>
        </w:rPr>
      </w:pPr>
      <w:r w:rsidRPr="701AFA44">
        <w:rPr>
          <w:rFonts w:ascii="Noto Sans" w:eastAsia="Noto Sans" w:hAnsi="Noto Sans" w:cs="Noto Sans"/>
          <w:b/>
          <w:bCs/>
          <w:color w:val="C9D1D9"/>
          <w:sz w:val="21"/>
          <w:szCs w:val="21"/>
        </w:rPr>
        <w:t>Equity Investments</w:t>
      </w:r>
    </w:p>
    <w:p w14:paraId="2FD3B003" w14:textId="595EA820" w:rsidR="701AFA44" w:rsidRDefault="701AFA44" w:rsidP="701AFA44">
      <w:pPr>
        <w:pStyle w:val="ListParagraph"/>
        <w:numPr>
          <w:ilvl w:val="1"/>
          <w:numId w:val="2"/>
        </w:numPr>
        <w:spacing w:after="0"/>
        <w:rPr>
          <w:rFonts w:ascii="Noto Sans" w:eastAsia="Noto Sans" w:hAnsi="Noto Sans" w:cs="Noto Sans"/>
          <w:color w:val="C9D1D9"/>
          <w:sz w:val="21"/>
          <w:szCs w:val="21"/>
        </w:rPr>
      </w:pPr>
      <w:r w:rsidRPr="701AFA44">
        <w:rPr>
          <w:rFonts w:ascii="Noto Sans" w:eastAsia="Noto Sans" w:hAnsi="Noto Sans" w:cs="Noto Sans"/>
          <w:color w:val="C9D1D9"/>
          <w:sz w:val="21"/>
          <w:szCs w:val="21"/>
        </w:rPr>
        <w:t>Equity Markets</w:t>
      </w:r>
    </w:p>
    <w:p w14:paraId="688E68BB" w14:textId="74DFB2D6" w:rsidR="701AFA44" w:rsidRDefault="701AFA44" w:rsidP="701AFA44">
      <w:pPr>
        <w:pStyle w:val="ListParagraph"/>
        <w:numPr>
          <w:ilvl w:val="1"/>
          <w:numId w:val="2"/>
        </w:numPr>
        <w:spacing w:after="0"/>
        <w:rPr>
          <w:rFonts w:ascii="Noto Sans" w:eastAsia="Noto Sans" w:hAnsi="Noto Sans" w:cs="Noto Sans"/>
          <w:color w:val="C9D1D9"/>
          <w:sz w:val="21"/>
          <w:szCs w:val="21"/>
        </w:rPr>
      </w:pPr>
      <w:r w:rsidRPr="701AFA44">
        <w:rPr>
          <w:rFonts w:ascii="Noto Sans" w:eastAsia="Noto Sans" w:hAnsi="Noto Sans" w:cs="Noto Sans"/>
          <w:color w:val="C9D1D9"/>
          <w:sz w:val="21"/>
          <w:szCs w:val="21"/>
        </w:rPr>
        <w:t>Stock Valuation Models</w:t>
      </w:r>
    </w:p>
    <w:p w14:paraId="20E4CB2C" w14:textId="0D2F2AA7" w:rsidR="701AFA44" w:rsidRDefault="701AFA44" w:rsidP="701AFA44">
      <w:pPr>
        <w:pStyle w:val="ListParagraph"/>
        <w:numPr>
          <w:ilvl w:val="1"/>
          <w:numId w:val="2"/>
        </w:numPr>
        <w:spacing w:after="0"/>
        <w:rPr>
          <w:rFonts w:ascii="Noto Sans" w:eastAsia="Noto Sans" w:hAnsi="Noto Sans" w:cs="Noto Sans"/>
          <w:color w:val="C9D1D9"/>
          <w:sz w:val="21"/>
          <w:szCs w:val="21"/>
        </w:rPr>
      </w:pPr>
      <w:r w:rsidRPr="701AFA44">
        <w:rPr>
          <w:rFonts w:ascii="Noto Sans" w:eastAsia="Noto Sans" w:hAnsi="Noto Sans" w:cs="Noto Sans"/>
          <w:color w:val="C9D1D9"/>
          <w:sz w:val="21"/>
          <w:szCs w:val="21"/>
        </w:rPr>
        <w:t>Analysis of Equity Securities</w:t>
      </w:r>
    </w:p>
    <w:p w14:paraId="5E7401BF" w14:textId="55D1DA3B" w:rsidR="701AFA44" w:rsidRDefault="701AFA44" w:rsidP="701AFA44">
      <w:pPr>
        <w:pStyle w:val="ListParagraph"/>
        <w:numPr>
          <w:ilvl w:val="0"/>
          <w:numId w:val="2"/>
        </w:numPr>
        <w:spacing w:before="210" w:after="210"/>
        <w:rPr>
          <w:rFonts w:ascii="Noto Sans" w:eastAsia="Noto Sans" w:hAnsi="Noto Sans" w:cs="Noto Sans"/>
          <w:b/>
          <w:bCs/>
          <w:color w:val="C9D1D9"/>
          <w:sz w:val="21"/>
          <w:szCs w:val="21"/>
        </w:rPr>
      </w:pPr>
      <w:r w:rsidRPr="701AFA44">
        <w:rPr>
          <w:rFonts w:ascii="Noto Sans" w:eastAsia="Noto Sans" w:hAnsi="Noto Sans" w:cs="Noto Sans"/>
          <w:b/>
          <w:bCs/>
          <w:color w:val="C9D1D9"/>
          <w:sz w:val="21"/>
          <w:szCs w:val="21"/>
        </w:rPr>
        <w:t>Fixed Income</w:t>
      </w:r>
    </w:p>
    <w:p w14:paraId="1E026BAD" w14:textId="1C402A1C" w:rsidR="701AFA44" w:rsidRDefault="701AFA44" w:rsidP="701AFA44">
      <w:pPr>
        <w:pStyle w:val="ListParagraph"/>
        <w:numPr>
          <w:ilvl w:val="1"/>
          <w:numId w:val="2"/>
        </w:numPr>
        <w:spacing w:after="0"/>
        <w:rPr>
          <w:rFonts w:ascii="Noto Sans" w:eastAsia="Noto Sans" w:hAnsi="Noto Sans" w:cs="Noto Sans"/>
          <w:color w:val="C9D1D9"/>
          <w:sz w:val="21"/>
          <w:szCs w:val="21"/>
        </w:rPr>
      </w:pPr>
      <w:r w:rsidRPr="701AFA44">
        <w:rPr>
          <w:rFonts w:ascii="Noto Sans" w:eastAsia="Noto Sans" w:hAnsi="Noto Sans" w:cs="Noto Sans"/>
          <w:color w:val="C9D1D9"/>
          <w:sz w:val="21"/>
          <w:szCs w:val="21"/>
        </w:rPr>
        <w:t>Bond Valuation</w:t>
      </w:r>
    </w:p>
    <w:p w14:paraId="6A345F9D" w14:textId="07D75540" w:rsidR="701AFA44" w:rsidRDefault="701AFA44" w:rsidP="701AFA44">
      <w:pPr>
        <w:pStyle w:val="ListParagraph"/>
        <w:numPr>
          <w:ilvl w:val="1"/>
          <w:numId w:val="2"/>
        </w:numPr>
        <w:spacing w:after="0"/>
        <w:rPr>
          <w:rFonts w:ascii="Noto Sans" w:eastAsia="Noto Sans" w:hAnsi="Noto Sans" w:cs="Noto Sans"/>
          <w:color w:val="C9D1D9"/>
          <w:sz w:val="21"/>
          <w:szCs w:val="21"/>
        </w:rPr>
      </w:pPr>
      <w:r w:rsidRPr="701AFA44">
        <w:rPr>
          <w:rFonts w:ascii="Noto Sans" w:eastAsia="Noto Sans" w:hAnsi="Noto Sans" w:cs="Noto Sans"/>
          <w:color w:val="C9D1D9"/>
          <w:sz w:val="21"/>
          <w:szCs w:val="21"/>
        </w:rPr>
        <w:t>Yield Curves and Interest Rates</w:t>
      </w:r>
    </w:p>
    <w:p w14:paraId="737D604E" w14:textId="0CC3276D" w:rsidR="701AFA44" w:rsidRDefault="701AFA44" w:rsidP="701AFA44">
      <w:pPr>
        <w:pStyle w:val="ListParagraph"/>
        <w:numPr>
          <w:ilvl w:val="1"/>
          <w:numId w:val="2"/>
        </w:numPr>
        <w:spacing w:after="0"/>
        <w:rPr>
          <w:rFonts w:ascii="Noto Sans" w:eastAsia="Noto Sans" w:hAnsi="Noto Sans" w:cs="Noto Sans"/>
          <w:color w:val="C9D1D9"/>
          <w:sz w:val="21"/>
          <w:szCs w:val="21"/>
        </w:rPr>
      </w:pPr>
      <w:r w:rsidRPr="701AFA44">
        <w:rPr>
          <w:rFonts w:ascii="Noto Sans" w:eastAsia="Noto Sans" w:hAnsi="Noto Sans" w:cs="Noto Sans"/>
          <w:color w:val="C9D1D9"/>
          <w:sz w:val="21"/>
          <w:szCs w:val="21"/>
        </w:rPr>
        <w:t>Credit Analysis and Risk</w:t>
      </w:r>
    </w:p>
    <w:p w14:paraId="7C2A7B1B" w14:textId="30ECF893" w:rsidR="701AFA44" w:rsidRDefault="701AFA44" w:rsidP="701AFA44">
      <w:pPr>
        <w:pStyle w:val="ListParagraph"/>
        <w:numPr>
          <w:ilvl w:val="0"/>
          <w:numId w:val="2"/>
        </w:numPr>
        <w:spacing w:before="210" w:after="210"/>
        <w:rPr>
          <w:rFonts w:ascii="Noto Sans" w:eastAsia="Noto Sans" w:hAnsi="Noto Sans" w:cs="Noto Sans"/>
          <w:b/>
          <w:bCs/>
          <w:color w:val="C9D1D9"/>
          <w:sz w:val="21"/>
          <w:szCs w:val="21"/>
        </w:rPr>
      </w:pPr>
      <w:r w:rsidRPr="701AFA44">
        <w:rPr>
          <w:rFonts w:ascii="Noto Sans" w:eastAsia="Noto Sans" w:hAnsi="Noto Sans" w:cs="Noto Sans"/>
          <w:b/>
          <w:bCs/>
          <w:color w:val="C9D1D9"/>
          <w:sz w:val="21"/>
          <w:szCs w:val="21"/>
        </w:rPr>
        <w:t>Derivatives</w:t>
      </w:r>
    </w:p>
    <w:p w14:paraId="4E1D916C" w14:textId="161956BF" w:rsidR="701AFA44" w:rsidRDefault="701AFA44" w:rsidP="701AFA44">
      <w:pPr>
        <w:pStyle w:val="ListParagraph"/>
        <w:numPr>
          <w:ilvl w:val="1"/>
          <w:numId w:val="2"/>
        </w:numPr>
        <w:spacing w:after="0"/>
        <w:rPr>
          <w:rFonts w:ascii="Noto Sans" w:eastAsia="Noto Sans" w:hAnsi="Noto Sans" w:cs="Noto Sans"/>
          <w:color w:val="C9D1D9"/>
          <w:sz w:val="21"/>
          <w:szCs w:val="21"/>
        </w:rPr>
      </w:pPr>
      <w:r w:rsidRPr="701AFA44">
        <w:rPr>
          <w:rFonts w:ascii="Noto Sans" w:eastAsia="Noto Sans" w:hAnsi="Noto Sans" w:cs="Noto Sans"/>
          <w:color w:val="C9D1D9"/>
          <w:sz w:val="21"/>
          <w:szCs w:val="21"/>
        </w:rPr>
        <w:t>Futures and Forwards</w:t>
      </w:r>
    </w:p>
    <w:p w14:paraId="145A9C97" w14:textId="62B16315" w:rsidR="701AFA44" w:rsidRDefault="701AFA44" w:rsidP="701AFA44">
      <w:pPr>
        <w:pStyle w:val="ListParagraph"/>
        <w:numPr>
          <w:ilvl w:val="1"/>
          <w:numId w:val="2"/>
        </w:numPr>
        <w:spacing w:after="0"/>
        <w:rPr>
          <w:rFonts w:ascii="Noto Sans" w:eastAsia="Noto Sans" w:hAnsi="Noto Sans" w:cs="Noto Sans"/>
          <w:color w:val="C9D1D9"/>
          <w:sz w:val="21"/>
          <w:szCs w:val="21"/>
        </w:rPr>
      </w:pPr>
      <w:r w:rsidRPr="701AFA44">
        <w:rPr>
          <w:rFonts w:ascii="Noto Sans" w:eastAsia="Noto Sans" w:hAnsi="Noto Sans" w:cs="Noto Sans"/>
          <w:color w:val="C9D1D9"/>
          <w:sz w:val="21"/>
          <w:szCs w:val="21"/>
        </w:rPr>
        <w:t>Options</w:t>
      </w:r>
    </w:p>
    <w:p w14:paraId="005658EF" w14:textId="1FBBF4C9" w:rsidR="701AFA44" w:rsidRDefault="701AFA44" w:rsidP="701AFA44">
      <w:pPr>
        <w:pStyle w:val="ListParagraph"/>
        <w:numPr>
          <w:ilvl w:val="1"/>
          <w:numId w:val="2"/>
        </w:numPr>
        <w:spacing w:after="0"/>
        <w:rPr>
          <w:rFonts w:ascii="Noto Sans" w:eastAsia="Noto Sans" w:hAnsi="Noto Sans" w:cs="Noto Sans"/>
          <w:color w:val="C9D1D9"/>
          <w:sz w:val="21"/>
          <w:szCs w:val="21"/>
        </w:rPr>
      </w:pPr>
      <w:r w:rsidRPr="701AFA44">
        <w:rPr>
          <w:rFonts w:ascii="Noto Sans" w:eastAsia="Noto Sans" w:hAnsi="Noto Sans" w:cs="Noto Sans"/>
          <w:color w:val="C9D1D9"/>
          <w:sz w:val="21"/>
          <w:szCs w:val="21"/>
        </w:rPr>
        <w:t>Swap Contracts</w:t>
      </w:r>
    </w:p>
    <w:p w14:paraId="0C49881C" w14:textId="4FFD8DC6" w:rsidR="701AFA44" w:rsidRDefault="701AFA44" w:rsidP="701AFA44">
      <w:pPr>
        <w:pStyle w:val="ListParagraph"/>
        <w:numPr>
          <w:ilvl w:val="0"/>
          <w:numId w:val="2"/>
        </w:numPr>
        <w:spacing w:before="210" w:after="210"/>
        <w:rPr>
          <w:rFonts w:ascii="Noto Sans" w:eastAsia="Noto Sans" w:hAnsi="Noto Sans" w:cs="Noto Sans"/>
          <w:b/>
          <w:bCs/>
          <w:color w:val="C9D1D9"/>
          <w:sz w:val="21"/>
          <w:szCs w:val="21"/>
        </w:rPr>
      </w:pPr>
      <w:r w:rsidRPr="701AFA44">
        <w:rPr>
          <w:rFonts w:ascii="Noto Sans" w:eastAsia="Noto Sans" w:hAnsi="Noto Sans" w:cs="Noto Sans"/>
          <w:b/>
          <w:bCs/>
          <w:color w:val="C9D1D9"/>
          <w:sz w:val="21"/>
          <w:szCs w:val="21"/>
        </w:rPr>
        <w:t>Alternative Investments</w:t>
      </w:r>
    </w:p>
    <w:p w14:paraId="66DFE660" w14:textId="461B47D3" w:rsidR="701AFA44" w:rsidRDefault="701AFA44" w:rsidP="701AFA44">
      <w:pPr>
        <w:pStyle w:val="ListParagraph"/>
        <w:numPr>
          <w:ilvl w:val="1"/>
          <w:numId w:val="2"/>
        </w:numPr>
        <w:spacing w:after="0"/>
        <w:rPr>
          <w:rFonts w:ascii="Noto Sans" w:eastAsia="Noto Sans" w:hAnsi="Noto Sans" w:cs="Noto Sans"/>
          <w:color w:val="C9D1D9"/>
          <w:sz w:val="21"/>
          <w:szCs w:val="21"/>
        </w:rPr>
      </w:pPr>
      <w:r w:rsidRPr="701AFA44">
        <w:rPr>
          <w:rFonts w:ascii="Noto Sans" w:eastAsia="Noto Sans" w:hAnsi="Noto Sans" w:cs="Noto Sans"/>
          <w:color w:val="C9D1D9"/>
          <w:sz w:val="21"/>
          <w:szCs w:val="21"/>
        </w:rPr>
        <w:t>Real Estate, Hedge Funds, Private Equity, Commodities</w:t>
      </w:r>
    </w:p>
    <w:p w14:paraId="6AC3ED3E" w14:textId="6F547064" w:rsidR="701AFA44" w:rsidRDefault="701AFA44" w:rsidP="701AFA44">
      <w:pPr>
        <w:pStyle w:val="ListParagraph"/>
        <w:numPr>
          <w:ilvl w:val="0"/>
          <w:numId w:val="2"/>
        </w:numPr>
        <w:spacing w:before="210" w:after="210"/>
        <w:rPr>
          <w:rFonts w:ascii="Noto Sans" w:eastAsia="Noto Sans" w:hAnsi="Noto Sans" w:cs="Noto Sans"/>
          <w:b/>
          <w:bCs/>
          <w:color w:val="C9D1D9"/>
          <w:sz w:val="21"/>
          <w:szCs w:val="21"/>
        </w:rPr>
      </w:pPr>
      <w:r w:rsidRPr="701AFA44">
        <w:rPr>
          <w:rFonts w:ascii="Noto Sans" w:eastAsia="Noto Sans" w:hAnsi="Noto Sans" w:cs="Noto Sans"/>
          <w:b/>
          <w:bCs/>
          <w:color w:val="C9D1D9"/>
          <w:sz w:val="21"/>
          <w:szCs w:val="21"/>
        </w:rPr>
        <w:t>Portfolio Management and Wealth Planning</w:t>
      </w:r>
    </w:p>
    <w:p w14:paraId="24678DD5" w14:textId="2F13E574" w:rsidR="701AFA44" w:rsidRDefault="701AFA44" w:rsidP="701AFA44">
      <w:pPr>
        <w:pStyle w:val="ListParagraph"/>
        <w:numPr>
          <w:ilvl w:val="1"/>
          <w:numId w:val="2"/>
        </w:numPr>
        <w:spacing w:after="0"/>
        <w:rPr>
          <w:rFonts w:ascii="Noto Sans" w:eastAsia="Noto Sans" w:hAnsi="Noto Sans" w:cs="Noto Sans"/>
          <w:color w:val="C9D1D9"/>
          <w:sz w:val="21"/>
          <w:szCs w:val="21"/>
        </w:rPr>
      </w:pPr>
      <w:r w:rsidRPr="701AFA44">
        <w:rPr>
          <w:rFonts w:ascii="Noto Sans" w:eastAsia="Noto Sans" w:hAnsi="Noto Sans" w:cs="Noto Sans"/>
          <w:color w:val="C9D1D9"/>
          <w:sz w:val="21"/>
          <w:szCs w:val="21"/>
        </w:rPr>
        <w:t>Portfolio Management Concepts</w:t>
      </w:r>
    </w:p>
    <w:p w14:paraId="47FEDA33" w14:textId="3347933B" w:rsidR="701AFA44" w:rsidRDefault="701AFA44" w:rsidP="701AFA44">
      <w:pPr>
        <w:pStyle w:val="ListParagraph"/>
        <w:numPr>
          <w:ilvl w:val="1"/>
          <w:numId w:val="2"/>
        </w:numPr>
        <w:spacing w:after="0"/>
        <w:rPr>
          <w:rFonts w:ascii="Noto Sans" w:eastAsia="Noto Sans" w:hAnsi="Noto Sans" w:cs="Noto Sans"/>
          <w:color w:val="C9D1D9"/>
          <w:sz w:val="21"/>
          <w:szCs w:val="21"/>
        </w:rPr>
      </w:pPr>
      <w:r w:rsidRPr="701AFA44">
        <w:rPr>
          <w:rFonts w:ascii="Noto Sans" w:eastAsia="Noto Sans" w:hAnsi="Noto Sans" w:cs="Noto Sans"/>
          <w:color w:val="C9D1D9"/>
          <w:sz w:val="21"/>
          <w:szCs w:val="21"/>
        </w:rPr>
        <w:t>Risk and Return</w:t>
      </w:r>
    </w:p>
    <w:p w14:paraId="59FA58EC" w14:textId="22E5AFD2" w:rsidR="701AFA44" w:rsidRDefault="701AFA44" w:rsidP="701AFA44">
      <w:pPr>
        <w:pStyle w:val="ListParagraph"/>
        <w:numPr>
          <w:ilvl w:val="1"/>
          <w:numId w:val="2"/>
        </w:numPr>
        <w:spacing w:after="0"/>
        <w:rPr>
          <w:rFonts w:ascii="Noto Sans" w:eastAsia="Noto Sans" w:hAnsi="Noto Sans" w:cs="Noto Sans"/>
          <w:color w:val="C9D1D9"/>
          <w:sz w:val="21"/>
          <w:szCs w:val="21"/>
        </w:rPr>
      </w:pPr>
      <w:r w:rsidRPr="701AFA44">
        <w:rPr>
          <w:rFonts w:ascii="Noto Sans" w:eastAsia="Noto Sans" w:hAnsi="Noto Sans" w:cs="Noto Sans"/>
          <w:color w:val="C9D1D9"/>
          <w:sz w:val="21"/>
          <w:szCs w:val="21"/>
        </w:rPr>
        <w:t>Asset Allocation</w:t>
      </w:r>
    </w:p>
    <w:p w14:paraId="74D3DE43" w14:textId="7DF57B9B" w:rsidR="701AFA44" w:rsidRDefault="701AFA44" w:rsidP="701AFA44">
      <w:pPr>
        <w:pStyle w:val="ListParagraph"/>
        <w:numPr>
          <w:ilvl w:val="0"/>
          <w:numId w:val="2"/>
        </w:numPr>
        <w:spacing w:before="210" w:after="210"/>
        <w:rPr>
          <w:rFonts w:ascii="Noto Sans" w:eastAsia="Noto Sans" w:hAnsi="Noto Sans" w:cs="Noto Sans"/>
          <w:b/>
          <w:bCs/>
          <w:color w:val="C9D1D9"/>
          <w:sz w:val="21"/>
          <w:szCs w:val="21"/>
        </w:rPr>
      </w:pPr>
      <w:r w:rsidRPr="701AFA44">
        <w:rPr>
          <w:rFonts w:ascii="Noto Sans" w:eastAsia="Noto Sans" w:hAnsi="Noto Sans" w:cs="Noto Sans"/>
          <w:b/>
          <w:bCs/>
          <w:color w:val="C9D1D9"/>
          <w:sz w:val="21"/>
          <w:szCs w:val="21"/>
        </w:rPr>
        <w:t>Performance Evaluation</w:t>
      </w:r>
    </w:p>
    <w:p w14:paraId="4BE1E89A" w14:textId="48AF3C32" w:rsidR="701AFA44" w:rsidRDefault="701AFA44" w:rsidP="701AFA44">
      <w:pPr>
        <w:pStyle w:val="ListParagraph"/>
        <w:numPr>
          <w:ilvl w:val="1"/>
          <w:numId w:val="2"/>
        </w:numPr>
        <w:spacing w:after="0"/>
        <w:rPr>
          <w:rFonts w:ascii="Noto Sans" w:eastAsia="Noto Sans" w:hAnsi="Noto Sans" w:cs="Noto Sans"/>
          <w:color w:val="C9D1D9"/>
          <w:sz w:val="21"/>
          <w:szCs w:val="21"/>
        </w:rPr>
      </w:pPr>
      <w:r w:rsidRPr="701AFA44">
        <w:rPr>
          <w:rFonts w:ascii="Noto Sans" w:eastAsia="Noto Sans" w:hAnsi="Noto Sans" w:cs="Noto Sans"/>
          <w:color w:val="C9D1D9"/>
          <w:sz w:val="21"/>
          <w:szCs w:val="21"/>
        </w:rPr>
        <w:t>Time-Weighted and Money-Weighted Returns</w:t>
      </w:r>
    </w:p>
    <w:p w14:paraId="384EBBA3" w14:textId="65905FB3" w:rsidR="701AFA44" w:rsidRDefault="701AFA44" w:rsidP="701AFA44">
      <w:pPr>
        <w:pStyle w:val="ListParagraph"/>
        <w:numPr>
          <w:ilvl w:val="1"/>
          <w:numId w:val="2"/>
        </w:numPr>
        <w:spacing w:after="0"/>
        <w:rPr>
          <w:rFonts w:ascii="Noto Sans" w:eastAsia="Noto Sans" w:hAnsi="Noto Sans" w:cs="Noto Sans"/>
          <w:color w:val="C9D1D9"/>
          <w:sz w:val="21"/>
          <w:szCs w:val="21"/>
        </w:rPr>
      </w:pPr>
      <w:r w:rsidRPr="701AFA44">
        <w:rPr>
          <w:rFonts w:ascii="Noto Sans" w:eastAsia="Noto Sans" w:hAnsi="Noto Sans" w:cs="Noto Sans"/>
          <w:color w:val="C9D1D9"/>
          <w:sz w:val="21"/>
          <w:szCs w:val="21"/>
        </w:rPr>
        <w:t>Evaluation of Fund Performance</w:t>
      </w:r>
    </w:p>
    <w:p w14:paraId="6E2946D6" w14:textId="73551955" w:rsidR="6572CDE9" w:rsidRDefault="6572CDE9" w:rsidP="6572CDE9"/>
    <w:p w14:paraId="07570A56" w14:textId="4FC7C0BF" w:rsidR="0EEDF013" w:rsidRDefault="0EEDF013" w:rsidP="0EEDF013"/>
    <w:p w14:paraId="0988A7A5" w14:textId="2C86FB93" w:rsidR="0EEDF013" w:rsidRDefault="0EEDF013" w:rsidP="0EEDF013"/>
    <w:p w14:paraId="06AAFD76" w14:textId="71894FA7" w:rsidR="0EEDF013" w:rsidRDefault="0EEDF013" w:rsidP="0EEDF013">
      <w:pPr>
        <w:pStyle w:val="ListParagraph"/>
        <w:numPr>
          <w:ilvl w:val="0"/>
          <w:numId w:val="3"/>
        </w:numPr>
        <w:shd w:val="clear" w:color="auto" w:fill="292A2D"/>
        <w:spacing w:before="240" w:after="240"/>
        <w:rPr>
          <w:rFonts w:ascii="system-ui" w:eastAsia="system-ui" w:hAnsi="system-ui" w:cs="system-ui"/>
          <w:b/>
          <w:bCs/>
          <w:color w:val="F8FAFF"/>
        </w:rPr>
      </w:pPr>
      <w:r w:rsidRPr="0EEDF013">
        <w:rPr>
          <w:rFonts w:ascii="system-ui" w:eastAsia="system-ui" w:hAnsi="system-ui" w:cs="system-ui"/>
          <w:b/>
          <w:bCs/>
          <w:color w:val="F8FAFF"/>
        </w:rPr>
        <w:t>Corporate Finance</w:t>
      </w:r>
    </w:p>
    <w:p w14:paraId="57D1CCA1" w14:textId="52B47C44" w:rsidR="0EEDF013" w:rsidRDefault="0EEDF013" w:rsidP="0EEDF013">
      <w:pPr>
        <w:pStyle w:val="ListParagraph"/>
        <w:numPr>
          <w:ilvl w:val="1"/>
          <w:numId w:val="3"/>
        </w:numPr>
        <w:shd w:val="clear" w:color="auto" w:fill="292A2D"/>
        <w:spacing w:before="240" w:after="240"/>
        <w:rPr>
          <w:rFonts w:ascii="system-ui" w:eastAsia="system-ui" w:hAnsi="system-ui" w:cs="system-ui"/>
          <w:color w:val="F8FAFF"/>
        </w:rPr>
      </w:pPr>
      <w:r w:rsidRPr="0EEDF013">
        <w:rPr>
          <w:rFonts w:ascii="system-ui" w:eastAsia="system-ui" w:hAnsi="system-ui" w:cs="system-ui"/>
          <w:color w:val="F8FAFF"/>
        </w:rPr>
        <w:t>Focuses on corporate financial decisions, including capital structure, dividend policy, mergers and acquisitions (M&amp;A), corporate governance, and bankruptcy.</w:t>
      </w:r>
    </w:p>
    <w:p w14:paraId="71D6F7BF" w14:textId="1040EC47" w:rsidR="0EEDF013" w:rsidRDefault="0EEDF013" w:rsidP="0EEDF013">
      <w:pPr>
        <w:pStyle w:val="ListParagraph"/>
        <w:numPr>
          <w:ilvl w:val="1"/>
          <w:numId w:val="3"/>
        </w:numPr>
        <w:shd w:val="clear" w:color="auto" w:fill="292A2D"/>
        <w:spacing w:before="240" w:after="240"/>
        <w:rPr>
          <w:rFonts w:ascii="system-ui" w:eastAsia="system-ui" w:hAnsi="system-ui" w:cs="system-ui"/>
          <w:color w:val="F8FAFF"/>
        </w:rPr>
      </w:pPr>
      <w:r w:rsidRPr="0EEDF013">
        <w:rPr>
          <w:rFonts w:ascii="system-ui" w:eastAsia="system-ui" w:hAnsi="system-ui" w:cs="system-ui"/>
          <w:color w:val="F8FAFF"/>
        </w:rPr>
        <w:t>Sub-topics: Venture capital, private equity, IPO dynamics, and cost of capital.</w:t>
      </w:r>
    </w:p>
    <w:p w14:paraId="4D059A24" w14:textId="7C8A18F1" w:rsidR="0EEDF013" w:rsidRDefault="0EEDF013" w:rsidP="0EEDF013">
      <w:pPr>
        <w:pStyle w:val="ListParagraph"/>
        <w:numPr>
          <w:ilvl w:val="0"/>
          <w:numId w:val="3"/>
        </w:numPr>
        <w:shd w:val="clear" w:color="auto" w:fill="292A2D"/>
        <w:spacing w:before="240" w:after="240"/>
        <w:rPr>
          <w:rFonts w:ascii="system-ui" w:eastAsia="system-ui" w:hAnsi="system-ui" w:cs="system-ui"/>
          <w:b/>
          <w:bCs/>
          <w:color w:val="F8FAFF"/>
        </w:rPr>
      </w:pPr>
      <w:r w:rsidRPr="0EEDF013">
        <w:rPr>
          <w:rFonts w:ascii="system-ui" w:eastAsia="system-ui" w:hAnsi="system-ui" w:cs="system-ui"/>
          <w:b/>
          <w:bCs/>
          <w:color w:val="F8FAFF"/>
        </w:rPr>
        <w:t>Investments and Asset Pricing</w:t>
      </w:r>
    </w:p>
    <w:p w14:paraId="73BBA46F" w14:textId="7DB55D75" w:rsidR="0EEDF013" w:rsidRDefault="0EEDF013" w:rsidP="0EEDF013">
      <w:pPr>
        <w:pStyle w:val="ListParagraph"/>
        <w:numPr>
          <w:ilvl w:val="1"/>
          <w:numId w:val="3"/>
        </w:numPr>
        <w:shd w:val="clear" w:color="auto" w:fill="292A2D"/>
        <w:spacing w:before="240" w:after="240"/>
        <w:rPr>
          <w:rFonts w:ascii="system-ui" w:eastAsia="system-ui" w:hAnsi="system-ui" w:cs="system-ui"/>
          <w:color w:val="F8FAFF"/>
        </w:rPr>
      </w:pPr>
      <w:r w:rsidRPr="0EEDF013">
        <w:rPr>
          <w:rFonts w:ascii="system-ui" w:eastAsia="system-ui" w:hAnsi="system-ui" w:cs="system-ui"/>
          <w:color w:val="F8FAFF"/>
        </w:rPr>
        <w:t>Examines how financial assets are valued and optimized in portfolios.</w:t>
      </w:r>
    </w:p>
    <w:p w14:paraId="063F73DA" w14:textId="63D94666" w:rsidR="0EEDF013" w:rsidRDefault="0EEDF013" w:rsidP="0EEDF013">
      <w:pPr>
        <w:pStyle w:val="ListParagraph"/>
        <w:numPr>
          <w:ilvl w:val="1"/>
          <w:numId w:val="3"/>
        </w:numPr>
        <w:shd w:val="clear" w:color="auto" w:fill="292A2D"/>
        <w:spacing w:before="240" w:after="240"/>
        <w:rPr>
          <w:rFonts w:ascii="system-ui" w:eastAsia="system-ui" w:hAnsi="system-ui" w:cs="system-ui"/>
          <w:color w:val="F8FAFF"/>
        </w:rPr>
      </w:pPr>
      <w:r w:rsidRPr="0EEDF013">
        <w:rPr>
          <w:rFonts w:ascii="system-ui" w:eastAsia="system-ui" w:hAnsi="system-ui" w:cs="system-ui"/>
          <w:color w:val="F8FAFF"/>
        </w:rPr>
        <w:t>Sub-topics: Portfolio theory, factor models (e.g., Fama-French), derivatives pricing, and fixed-income securities.</w:t>
      </w:r>
    </w:p>
    <w:p w14:paraId="529680BD" w14:textId="030BD645" w:rsidR="0EEDF013" w:rsidRDefault="0EEDF013" w:rsidP="0EEDF013">
      <w:pPr>
        <w:pStyle w:val="ListParagraph"/>
        <w:numPr>
          <w:ilvl w:val="0"/>
          <w:numId w:val="3"/>
        </w:numPr>
        <w:shd w:val="clear" w:color="auto" w:fill="292A2D"/>
        <w:spacing w:before="240" w:after="240"/>
        <w:rPr>
          <w:rFonts w:ascii="system-ui" w:eastAsia="system-ui" w:hAnsi="system-ui" w:cs="system-ui"/>
          <w:b/>
          <w:bCs/>
          <w:color w:val="F8FAFF"/>
        </w:rPr>
      </w:pPr>
      <w:r w:rsidRPr="0EEDF013">
        <w:rPr>
          <w:rFonts w:ascii="system-ui" w:eastAsia="system-ui" w:hAnsi="system-ui" w:cs="system-ui"/>
          <w:b/>
          <w:bCs/>
          <w:color w:val="F8FAFF"/>
        </w:rPr>
        <w:t>Financial Markets and Institutions</w:t>
      </w:r>
    </w:p>
    <w:p w14:paraId="53836DBC" w14:textId="240162EB" w:rsidR="0EEDF013" w:rsidRDefault="0EEDF013" w:rsidP="0EEDF013">
      <w:pPr>
        <w:pStyle w:val="ListParagraph"/>
        <w:numPr>
          <w:ilvl w:val="1"/>
          <w:numId w:val="3"/>
        </w:numPr>
        <w:shd w:val="clear" w:color="auto" w:fill="292A2D"/>
        <w:spacing w:before="240" w:after="240"/>
        <w:rPr>
          <w:rFonts w:ascii="system-ui" w:eastAsia="system-ui" w:hAnsi="system-ui" w:cs="system-ui"/>
          <w:color w:val="F8FAFF"/>
        </w:rPr>
      </w:pPr>
      <w:r w:rsidRPr="0EEDF013">
        <w:rPr>
          <w:rFonts w:ascii="system-ui" w:eastAsia="system-ui" w:hAnsi="system-ui" w:cs="system-ui"/>
          <w:color w:val="F8FAFF"/>
        </w:rPr>
        <w:t>Studies the roles of banks, insurance firms, and shadow banking systems.</w:t>
      </w:r>
    </w:p>
    <w:p w14:paraId="4F558E27" w14:textId="3034AD36" w:rsidR="0EEDF013" w:rsidRDefault="0EEDF013" w:rsidP="0EEDF013">
      <w:pPr>
        <w:pStyle w:val="ListParagraph"/>
        <w:numPr>
          <w:ilvl w:val="1"/>
          <w:numId w:val="3"/>
        </w:numPr>
        <w:shd w:val="clear" w:color="auto" w:fill="292A2D"/>
        <w:spacing w:before="240" w:after="240"/>
        <w:rPr>
          <w:rFonts w:ascii="system-ui" w:eastAsia="system-ui" w:hAnsi="system-ui" w:cs="system-ui"/>
          <w:color w:val="F8FAFF"/>
        </w:rPr>
      </w:pPr>
      <w:r w:rsidRPr="0EEDF013">
        <w:rPr>
          <w:rFonts w:ascii="system-ui" w:eastAsia="system-ui" w:hAnsi="system-ui" w:cs="system-ui"/>
          <w:color w:val="F8FAFF"/>
        </w:rPr>
        <w:t>Sub-topics: Market regulation, liquidity crises, and fintech disruption.</w:t>
      </w:r>
    </w:p>
    <w:p w14:paraId="6A572881" w14:textId="08E5DECC" w:rsidR="0EEDF013" w:rsidRDefault="0EEDF013" w:rsidP="0EEDF013">
      <w:pPr>
        <w:pStyle w:val="ListParagraph"/>
        <w:numPr>
          <w:ilvl w:val="0"/>
          <w:numId w:val="3"/>
        </w:numPr>
        <w:shd w:val="clear" w:color="auto" w:fill="292A2D"/>
        <w:spacing w:before="240" w:after="240"/>
        <w:rPr>
          <w:rFonts w:ascii="system-ui" w:eastAsia="system-ui" w:hAnsi="system-ui" w:cs="system-ui"/>
          <w:b/>
          <w:bCs/>
          <w:color w:val="F8FAFF"/>
        </w:rPr>
      </w:pPr>
      <w:r w:rsidRPr="0EEDF013">
        <w:rPr>
          <w:rFonts w:ascii="system-ui" w:eastAsia="system-ui" w:hAnsi="system-ui" w:cs="system-ui"/>
          <w:b/>
          <w:bCs/>
          <w:color w:val="F8FAFF"/>
        </w:rPr>
        <w:t>International Finance</w:t>
      </w:r>
    </w:p>
    <w:p w14:paraId="3709B842" w14:textId="6D12BCF7" w:rsidR="0EEDF013" w:rsidRDefault="0EEDF013" w:rsidP="0EEDF013">
      <w:pPr>
        <w:pStyle w:val="ListParagraph"/>
        <w:numPr>
          <w:ilvl w:val="1"/>
          <w:numId w:val="3"/>
        </w:numPr>
        <w:shd w:val="clear" w:color="auto" w:fill="292A2D"/>
        <w:spacing w:before="240" w:after="240"/>
        <w:rPr>
          <w:rFonts w:ascii="system-ui" w:eastAsia="system-ui" w:hAnsi="system-ui" w:cs="system-ui"/>
          <w:color w:val="F8FAFF"/>
        </w:rPr>
      </w:pPr>
      <w:r w:rsidRPr="0EEDF013">
        <w:rPr>
          <w:rFonts w:ascii="system-ui" w:eastAsia="system-ui" w:hAnsi="system-ui" w:cs="system-ui"/>
          <w:color w:val="F8FAFF"/>
        </w:rPr>
        <w:t>Explores cross-border financial interactions, including exchange rates and global capital flows.</w:t>
      </w:r>
    </w:p>
    <w:p w14:paraId="13DFB6C9" w14:textId="3CA5CFB7" w:rsidR="0EEDF013" w:rsidRDefault="0EEDF013" w:rsidP="0EEDF013">
      <w:pPr>
        <w:pStyle w:val="ListParagraph"/>
        <w:numPr>
          <w:ilvl w:val="1"/>
          <w:numId w:val="3"/>
        </w:numPr>
        <w:shd w:val="clear" w:color="auto" w:fill="292A2D"/>
        <w:spacing w:before="240" w:after="240"/>
        <w:rPr>
          <w:rFonts w:ascii="system-ui" w:eastAsia="system-ui" w:hAnsi="system-ui" w:cs="system-ui"/>
          <w:color w:val="F8FAFF"/>
        </w:rPr>
      </w:pPr>
      <w:r w:rsidRPr="0EEDF013">
        <w:rPr>
          <w:rFonts w:ascii="system-ui" w:eastAsia="system-ui" w:hAnsi="system-ui" w:cs="system-ui"/>
          <w:color w:val="F8FAFF"/>
        </w:rPr>
        <w:t>Sub-topics: Currency risk, sovereign debt, and emerging markets.</w:t>
      </w:r>
    </w:p>
    <w:p w14:paraId="39D1A9F4" w14:textId="7B5F4A91" w:rsidR="0EEDF013" w:rsidRDefault="0EEDF013" w:rsidP="0EEDF013">
      <w:pPr>
        <w:pStyle w:val="ListParagraph"/>
        <w:numPr>
          <w:ilvl w:val="0"/>
          <w:numId w:val="3"/>
        </w:numPr>
        <w:shd w:val="clear" w:color="auto" w:fill="292A2D"/>
        <w:spacing w:before="240" w:after="240"/>
        <w:rPr>
          <w:rFonts w:ascii="system-ui" w:eastAsia="system-ui" w:hAnsi="system-ui" w:cs="system-ui"/>
          <w:b/>
          <w:bCs/>
          <w:color w:val="F8FAFF"/>
        </w:rPr>
      </w:pPr>
      <w:r w:rsidRPr="0EEDF013">
        <w:rPr>
          <w:rFonts w:ascii="system-ui" w:eastAsia="system-ui" w:hAnsi="system-ui" w:cs="system-ui"/>
          <w:b/>
          <w:bCs/>
          <w:color w:val="F8FAFF"/>
        </w:rPr>
        <w:t>Behavioral Finance</w:t>
      </w:r>
    </w:p>
    <w:p w14:paraId="20662298" w14:textId="516AA224" w:rsidR="0EEDF013" w:rsidRDefault="0EEDF013" w:rsidP="0EEDF013">
      <w:pPr>
        <w:pStyle w:val="ListParagraph"/>
        <w:numPr>
          <w:ilvl w:val="1"/>
          <w:numId w:val="3"/>
        </w:numPr>
        <w:shd w:val="clear" w:color="auto" w:fill="292A2D"/>
        <w:spacing w:before="240" w:after="240"/>
        <w:rPr>
          <w:rFonts w:ascii="system-ui" w:eastAsia="system-ui" w:hAnsi="system-ui" w:cs="system-ui"/>
          <w:color w:val="F8FAFF"/>
        </w:rPr>
      </w:pPr>
      <w:r w:rsidRPr="0EEDF013">
        <w:rPr>
          <w:rFonts w:ascii="system-ui" w:eastAsia="system-ui" w:hAnsi="system-ui" w:cs="system-ui"/>
          <w:color w:val="F8FAFF"/>
        </w:rPr>
        <w:t>Integrates psychology to understand irrational financial behaviors.</w:t>
      </w:r>
    </w:p>
    <w:p w14:paraId="0DA6793E" w14:textId="7777532F" w:rsidR="0EEDF013" w:rsidRDefault="0EEDF013" w:rsidP="0EEDF013">
      <w:pPr>
        <w:pStyle w:val="ListParagraph"/>
        <w:numPr>
          <w:ilvl w:val="1"/>
          <w:numId w:val="3"/>
        </w:numPr>
        <w:shd w:val="clear" w:color="auto" w:fill="292A2D"/>
        <w:spacing w:before="240" w:after="240"/>
        <w:rPr>
          <w:rFonts w:ascii="system-ui" w:eastAsia="system-ui" w:hAnsi="system-ui" w:cs="system-ui"/>
          <w:color w:val="F8FAFF"/>
        </w:rPr>
      </w:pPr>
      <w:r w:rsidRPr="0EEDF013">
        <w:rPr>
          <w:rFonts w:ascii="system-ui" w:eastAsia="system-ui" w:hAnsi="system-ui" w:cs="system-ui"/>
          <w:color w:val="F8FAFF"/>
        </w:rPr>
        <w:t>Sub-topics: Herd behavior, overconfidence, and market anomalies.</w:t>
      </w:r>
    </w:p>
    <w:p w14:paraId="3CB360F5" w14:textId="7D5EC233" w:rsidR="0EEDF013" w:rsidRDefault="0EEDF013" w:rsidP="0EEDF013">
      <w:pPr>
        <w:pStyle w:val="ListParagraph"/>
        <w:numPr>
          <w:ilvl w:val="0"/>
          <w:numId w:val="3"/>
        </w:numPr>
        <w:shd w:val="clear" w:color="auto" w:fill="292A2D"/>
        <w:spacing w:before="240" w:after="240"/>
        <w:rPr>
          <w:rFonts w:ascii="system-ui" w:eastAsia="system-ui" w:hAnsi="system-ui" w:cs="system-ui"/>
          <w:b/>
          <w:bCs/>
          <w:color w:val="F8FAFF"/>
        </w:rPr>
      </w:pPr>
      <w:r w:rsidRPr="0EEDF013">
        <w:rPr>
          <w:rFonts w:ascii="system-ui" w:eastAsia="system-ui" w:hAnsi="system-ui" w:cs="system-ui"/>
          <w:b/>
          <w:bCs/>
          <w:color w:val="F8FAFF"/>
        </w:rPr>
        <w:t>Financial Econometrics</w:t>
      </w:r>
    </w:p>
    <w:p w14:paraId="03A2C6FF" w14:textId="7ED9DA09" w:rsidR="0EEDF013" w:rsidRDefault="0EEDF013" w:rsidP="0EEDF013">
      <w:pPr>
        <w:pStyle w:val="ListParagraph"/>
        <w:numPr>
          <w:ilvl w:val="1"/>
          <w:numId w:val="3"/>
        </w:numPr>
        <w:shd w:val="clear" w:color="auto" w:fill="292A2D"/>
        <w:spacing w:before="240" w:after="240"/>
        <w:rPr>
          <w:rFonts w:ascii="system-ui" w:eastAsia="system-ui" w:hAnsi="system-ui" w:cs="system-ui"/>
          <w:color w:val="F8FAFF"/>
        </w:rPr>
      </w:pPr>
      <w:r w:rsidRPr="0EEDF013">
        <w:rPr>
          <w:rFonts w:ascii="system-ui" w:eastAsia="system-ui" w:hAnsi="system-ui" w:cs="system-ui"/>
          <w:color w:val="F8FAFF"/>
        </w:rPr>
        <w:t>Applies statistical methods to test financial hypotheses.</w:t>
      </w:r>
    </w:p>
    <w:p w14:paraId="2B638EB1" w14:textId="000F46DA" w:rsidR="0EEDF013" w:rsidRDefault="0EEDF013" w:rsidP="0EEDF013">
      <w:pPr>
        <w:pStyle w:val="ListParagraph"/>
        <w:numPr>
          <w:ilvl w:val="1"/>
          <w:numId w:val="3"/>
        </w:numPr>
        <w:shd w:val="clear" w:color="auto" w:fill="292A2D"/>
        <w:spacing w:before="240" w:after="240"/>
        <w:rPr>
          <w:rFonts w:ascii="system-ui" w:eastAsia="system-ui" w:hAnsi="system-ui" w:cs="system-ui"/>
          <w:color w:val="F8FAFF"/>
        </w:rPr>
      </w:pPr>
      <w:r w:rsidRPr="0EEDF013">
        <w:rPr>
          <w:rFonts w:ascii="system-ui" w:eastAsia="system-ui" w:hAnsi="system-ui" w:cs="system-ui"/>
          <w:color w:val="F8FAFF"/>
        </w:rPr>
        <w:t>Sub-topics: Time-series analysis, volatility modeling, and machine learning applications.</w:t>
      </w:r>
    </w:p>
    <w:p w14:paraId="6174C193" w14:textId="77642168" w:rsidR="0EEDF013" w:rsidRDefault="0EEDF013" w:rsidP="0EEDF013">
      <w:pPr>
        <w:pStyle w:val="ListParagraph"/>
        <w:numPr>
          <w:ilvl w:val="0"/>
          <w:numId w:val="3"/>
        </w:numPr>
        <w:shd w:val="clear" w:color="auto" w:fill="292A2D"/>
        <w:spacing w:before="240" w:after="240"/>
        <w:rPr>
          <w:rFonts w:ascii="system-ui" w:eastAsia="system-ui" w:hAnsi="system-ui" w:cs="system-ui"/>
          <w:b/>
          <w:bCs/>
          <w:color w:val="F8FAFF"/>
        </w:rPr>
      </w:pPr>
      <w:r w:rsidRPr="0EEDF013">
        <w:rPr>
          <w:rFonts w:ascii="system-ui" w:eastAsia="system-ui" w:hAnsi="system-ui" w:cs="system-ui"/>
          <w:b/>
          <w:bCs/>
          <w:color w:val="F8FAFF"/>
        </w:rPr>
        <w:t>Risk Management and Insurance</w:t>
      </w:r>
    </w:p>
    <w:p w14:paraId="3627967D" w14:textId="214A8732" w:rsidR="0EEDF013" w:rsidRDefault="0EEDF013" w:rsidP="0EEDF013">
      <w:pPr>
        <w:pStyle w:val="ListParagraph"/>
        <w:numPr>
          <w:ilvl w:val="1"/>
          <w:numId w:val="3"/>
        </w:numPr>
        <w:shd w:val="clear" w:color="auto" w:fill="292A2D"/>
        <w:spacing w:before="240" w:after="240"/>
        <w:rPr>
          <w:rFonts w:ascii="system-ui" w:eastAsia="system-ui" w:hAnsi="system-ui" w:cs="system-ui"/>
          <w:color w:val="F8FAFF"/>
        </w:rPr>
      </w:pPr>
      <w:r w:rsidRPr="0EEDF013">
        <w:rPr>
          <w:rFonts w:ascii="system-ui" w:eastAsia="system-ui" w:hAnsi="system-ui" w:cs="system-ui"/>
          <w:color w:val="F8FAFF"/>
        </w:rPr>
        <w:t>Addresses identification and mitigation of financial risks.</w:t>
      </w:r>
    </w:p>
    <w:p w14:paraId="5EDECC0E" w14:textId="0978997B" w:rsidR="0EEDF013" w:rsidRDefault="0EEDF013" w:rsidP="0EEDF013">
      <w:pPr>
        <w:pStyle w:val="ListParagraph"/>
        <w:numPr>
          <w:ilvl w:val="1"/>
          <w:numId w:val="3"/>
        </w:numPr>
        <w:shd w:val="clear" w:color="auto" w:fill="292A2D"/>
        <w:spacing w:before="240" w:after="240"/>
        <w:rPr>
          <w:rFonts w:ascii="system-ui" w:eastAsia="system-ui" w:hAnsi="system-ui" w:cs="system-ui"/>
          <w:color w:val="F8FAFF"/>
        </w:rPr>
      </w:pPr>
      <w:r w:rsidRPr="0EEDF013">
        <w:rPr>
          <w:rFonts w:ascii="system-ui" w:eastAsia="system-ui" w:hAnsi="system-ui" w:cs="system-ui"/>
          <w:color w:val="F8FAFF"/>
        </w:rPr>
        <w:t>Sub-topics: Credit risk modeling, catastrophe bonds, and reinsurance.</w:t>
      </w:r>
    </w:p>
    <w:p w14:paraId="332A9830" w14:textId="1393512B" w:rsidR="0EEDF013" w:rsidRDefault="0EEDF013" w:rsidP="0EEDF013">
      <w:pPr>
        <w:pStyle w:val="ListParagraph"/>
        <w:numPr>
          <w:ilvl w:val="0"/>
          <w:numId w:val="3"/>
        </w:numPr>
        <w:shd w:val="clear" w:color="auto" w:fill="292A2D"/>
        <w:spacing w:before="240" w:after="240"/>
        <w:rPr>
          <w:rFonts w:ascii="system-ui" w:eastAsia="system-ui" w:hAnsi="system-ui" w:cs="system-ui"/>
          <w:b/>
          <w:bCs/>
          <w:color w:val="F8FAFF"/>
        </w:rPr>
      </w:pPr>
      <w:r w:rsidRPr="0EEDF013">
        <w:rPr>
          <w:rFonts w:ascii="system-ui" w:eastAsia="system-ui" w:hAnsi="system-ui" w:cs="system-ui"/>
          <w:b/>
          <w:bCs/>
          <w:color w:val="F8FAFF"/>
        </w:rPr>
        <w:t>Quantitative Finance and Financial Engineering</w:t>
      </w:r>
    </w:p>
    <w:p w14:paraId="0BDEDB92" w14:textId="0088210C" w:rsidR="0EEDF013" w:rsidRDefault="0EEDF013" w:rsidP="0EEDF013">
      <w:pPr>
        <w:pStyle w:val="ListParagraph"/>
        <w:numPr>
          <w:ilvl w:val="1"/>
          <w:numId w:val="3"/>
        </w:numPr>
        <w:shd w:val="clear" w:color="auto" w:fill="292A2D"/>
        <w:spacing w:before="240" w:after="240"/>
        <w:rPr>
          <w:rFonts w:ascii="system-ui" w:eastAsia="system-ui" w:hAnsi="system-ui" w:cs="system-ui"/>
          <w:color w:val="F8FAFF"/>
        </w:rPr>
      </w:pPr>
      <w:r w:rsidRPr="0EEDF013">
        <w:rPr>
          <w:rFonts w:ascii="system-ui" w:eastAsia="system-ui" w:hAnsi="system-ui" w:cs="system-ui"/>
          <w:color w:val="F8FAFF"/>
        </w:rPr>
        <w:t>Develops mathematical models for trading, pricing, and hedging.</w:t>
      </w:r>
    </w:p>
    <w:p w14:paraId="5903AB16" w14:textId="45F6A59A" w:rsidR="0EEDF013" w:rsidRDefault="0EEDF013" w:rsidP="0EEDF013">
      <w:pPr>
        <w:pStyle w:val="ListParagraph"/>
        <w:numPr>
          <w:ilvl w:val="1"/>
          <w:numId w:val="3"/>
        </w:numPr>
        <w:shd w:val="clear" w:color="auto" w:fill="292A2D"/>
        <w:spacing w:before="240" w:after="240"/>
        <w:rPr>
          <w:rFonts w:ascii="system-ui" w:eastAsia="system-ui" w:hAnsi="system-ui" w:cs="system-ui"/>
          <w:color w:val="F8FAFF"/>
        </w:rPr>
      </w:pPr>
      <w:r w:rsidRPr="0EEDF013">
        <w:rPr>
          <w:rFonts w:ascii="system-ui" w:eastAsia="system-ui" w:hAnsi="system-ui" w:cs="system-ui"/>
          <w:color w:val="F8FAFF"/>
        </w:rPr>
        <w:t>Sub-topics: Algorithmic trading, stochastic calculus, and Monte Carlo simulations.</w:t>
      </w:r>
    </w:p>
    <w:p w14:paraId="0586B532" w14:textId="1DEE0413" w:rsidR="0EEDF013" w:rsidRDefault="0EEDF013" w:rsidP="0EEDF013">
      <w:pPr>
        <w:pStyle w:val="ListParagraph"/>
        <w:numPr>
          <w:ilvl w:val="0"/>
          <w:numId w:val="3"/>
        </w:numPr>
        <w:shd w:val="clear" w:color="auto" w:fill="292A2D"/>
        <w:spacing w:before="240" w:after="240"/>
        <w:rPr>
          <w:rFonts w:ascii="system-ui" w:eastAsia="system-ui" w:hAnsi="system-ui" w:cs="system-ui"/>
          <w:b/>
          <w:bCs/>
          <w:color w:val="F8FAFF"/>
        </w:rPr>
      </w:pPr>
      <w:r w:rsidRPr="0EEDF013">
        <w:rPr>
          <w:rFonts w:ascii="system-ui" w:eastAsia="system-ui" w:hAnsi="system-ui" w:cs="system-ui"/>
          <w:b/>
          <w:bCs/>
          <w:color w:val="F8FAFF"/>
        </w:rPr>
        <w:t>Sustainable and Green Finance</w:t>
      </w:r>
    </w:p>
    <w:p w14:paraId="4B3EB573" w14:textId="4208ACEA" w:rsidR="0EEDF013" w:rsidRDefault="0EEDF013" w:rsidP="0EEDF013">
      <w:pPr>
        <w:pStyle w:val="ListParagraph"/>
        <w:numPr>
          <w:ilvl w:val="1"/>
          <w:numId w:val="3"/>
        </w:numPr>
        <w:shd w:val="clear" w:color="auto" w:fill="292A2D"/>
        <w:spacing w:before="240" w:after="240"/>
        <w:rPr>
          <w:rFonts w:ascii="system-ui" w:eastAsia="system-ui" w:hAnsi="system-ui" w:cs="system-ui"/>
          <w:color w:val="F8FAFF"/>
        </w:rPr>
      </w:pPr>
      <w:r w:rsidRPr="0EEDF013">
        <w:rPr>
          <w:rFonts w:ascii="system-ui" w:eastAsia="system-ui" w:hAnsi="system-ui" w:cs="system-ui"/>
          <w:color w:val="F8FAFF"/>
        </w:rPr>
        <w:t>Focuses on ESG (Environmental, Social, Governance) criteria and climate finance.</w:t>
      </w:r>
    </w:p>
    <w:p w14:paraId="772CADCD" w14:textId="06067D35" w:rsidR="0EEDF013" w:rsidRDefault="0EEDF013" w:rsidP="0EEDF013">
      <w:pPr>
        <w:pStyle w:val="ListParagraph"/>
        <w:numPr>
          <w:ilvl w:val="1"/>
          <w:numId w:val="3"/>
        </w:numPr>
        <w:shd w:val="clear" w:color="auto" w:fill="292A2D"/>
        <w:spacing w:before="240" w:after="240"/>
        <w:rPr>
          <w:rFonts w:ascii="system-ui" w:eastAsia="system-ui" w:hAnsi="system-ui" w:cs="system-ui"/>
          <w:color w:val="F8FAFF"/>
        </w:rPr>
      </w:pPr>
      <w:r w:rsidRPr="0EEDF013">
        <w:rPr>
          <w:rFonts w:ascii="system-ui" w:eastAsia="system-ui" w:hAnsi="system-ui" w:cs="system-ui"/>
          <w:color w:val="F8FAFF"/>
        </w:rPr>
        <w:t>Sub-topics: Carbon markets, impact investing, and ESG metrics.</w:t>
      </w:r>
    </w:p>
    <w:p w14:paraId="031B8888" w14:textId="1B89A982" w:rsidR="0EEDF013" w:rsidRDefault="0EEDF013" w:rsidP="0EEDF013">
      <w:pPr>
        <w:pStyle w:val="ListParagraph"/>
        <w:numPr>
          <w:ilvl w:val="0"/>
          <w:numId w:val="3"/>
        </w:numPr>
        <w:shd w:val="clear" w:color="auto" w:fill="292A2D"/>
        <w:spacing w:before="240" w:after="240"/>
        <w:rPr>
          <w:rFonts w:ascii="system-ui" w:eastAsia="system-ui" w:hAnsi="system-ui" w:cs="system-ui"/>
          <w:b/>
          <w:bCs/>
          <w:color w:val="F8FAFF"/>
        </w:rPr>
      </w:pPr>
      <w:r w:rsidRPr="0EEDF013">
        <w:rPr>
          <w:rFonts w:ascii="system-ui" w:eastAsia="system-ui" w:hAnsi="system-ui" w:cs="system-ui"/>
          <w:b/>
          <w:bCs/>
          <w:color w:val="F8FAFF"/>
        </w:rPr>
        <w:t>Fintech and Financial Innovation</w:t>
      </w:r>
    </w:p>
    <w:p w14:paraId="6060522F" w14:textId="45B51BE3" w:rsidR="0EEDF013" w:rsidRDefault="0EEDF013" w:rsidP="0EEDF013">
      <w:pPr>
        <w:pStyle w:val="ListParagraph"/>
        <w:numPr>
          <w:ilvl w:val="1"/>
          <w:numId w:val="3"/>
        </w:numPr>
        <w:shd w:val="clear" w:color="auto" w:fill="292A2D"/>
        <w:spacing w:before="240" w:after="240"/>
        <w:rPr>
          <w:rFonts w:ascii="system-ui" w:eastAsia="system-ui" w:hAnsi="system-ui" w:cs="system-ui"/>
          <w:color w:val="F8FAFF"/>
        </w:rPr>
      </w:pPr>
      <w:r w:rsidRPr="0EEDF013">
        <w:rPr>
          <w:rFonts w:ascii="system-ui" w:eastAsia="system-ui" w:hAnsi="system-ui" w:cs="system-ui"/>
          <w:color w:val="F8FAFF"/>
        </w:rPr>
        <w:t>Explores technological advancements like blockchain and AI in finance.</w:t>
      </w:r>
    </w:p>
    <w:p w14:paraId="5BE35338" w14:textId="4B7E1279" w:rsidR="0EEDF013" w:rsidRDefault="0EEDF013" w:rsidP="0EEDF013">
      <w:pPr>
        <w:pStyle w:val="ListParagraph"/>
        <w:numPr>
          <w:ilvl w:val="1"/>
          <w:numId w:val="3"/>
        </w:numPr>
        <w:shd w:val="clear" w:color="auto" w:fill="292A2D"/>
        <w:spacing w:before="240" w:after="240"/>
        <w:rPr>
          <w:rFonts w:ascii="system-ui" w:eastAsia="system-ui" w:hAnsi="system-ui" w:cs="system-ui"/>
          <w:color w:val="F8FAFF"/>
        </w:rPr>
      </w:pPr>
      <w:r w:rsidRPr="0EEDF013">
        <w:rPr>
          <w:rFonts w:ascii="system-ui" w:eastAsia="system-ui" w:hAnsi="system-ui" w:cs="system-ui"/>
          <w:color w:val="F8FAFF"/>
        </w:rPr>
        <w:t>Sub-topics: Cryptocurrencies, decentralized finance (DeFi), and robo-advisors.</w:t>
      </w:r>
    </w:p>
    <w:p w14:paraId="2D8DD972" w14:textId="1419E305" w:rsidR="0EEDF013" w:rsidRDefault="0EEDF013" w:rsidP="0EEDF013">
      <w:pPr>
        <w:pStyle w:val="ListParagraph"/>
        <w:numPr>
          <w:ilvl w:val="0"/>
          <w:numId w:val="3"/>
        </w:numPr>
        <w:shd w:val="clear" w:color="auto" w:fill="292A2D"/>
        <w:spacing w:before="240" w:after="240"/>
        <w:rPr>
          <w:rFonts w:ascii="system-ui" w:eastAsia="system-ui" w:hAnsi="system-ui" w:cs="system-ui"/>
          <w:b/>
          <w:bCs/>
          <w:color w:val="F8FAFF"/>
        </w:rPr>
      </w:pPr>
      <w:r w:rsidRPr="0EEDF013">
        <w:rPr>
          <w:rFonts w:ascii="system-ui" w:eastAsia="system-ui" w:hAnsi="system-ui" w:cs="system-ui"/>
          <w:b/>
          <w:bCs/>
          <w:color w:val="F8FAFF"/>
        </w:rPr>
        <w:t>Public and Municipal Finance</w:t>
      </w:r>
    </w:p>
    <w:p w14:paraId="3FB4E922" w14:textId="30F1A4B9" w:rsidR="0EEDF013" w:rsidRDefault="0EEDF013" w:rsidP="0EEDF013">
      <w:pPr>
        <w:pStyle w:val="ListParagraph"/>
        <w:numPr>
          <w:ilvl w:val="1"/>
          <w:numId w:val="3"/>
        </w:numPr>
        <w:shd w:val="clear" w:color="auto" w:fill="292A2D"/>
        <w:spacing w:before="240" w:after="240"/>
        <w:rPr>
          <w:rFonts w:ascii="system-ui" w:eastAsia="system-ui" w:hAnsi="system-ui" w:cs="system-ui"/>
          <w:color w:val="F8FAFF"/>
        </w:rPr>
      </w:pPr>
      <w:r w:rsidRPr="0EEDF013">
        <w:rPr>
          <w:rFonts w:ascii="system-ui" w:eastAsia="system-ui" w:hAnsi="system-ui" w:cs="system-ui"/>
          <w:color w:val="F8FAFF"/>
        </w:rPr>
        <w:t>Analyzes government fiscal activities and debt management.</w:t>
      </w:r>
    </w:p>
    <w:p w14:paraId="3EC5AB53" w14:textId="01191487" w:rsidR="0EEDF013" w:rsidRDefault="0EEDF013" w:rsidP="0EEDF013">
      <w:pPr>
        <w:pStyle w:val="ListParagraph"/>
        <w:numPr>
          <w:ilvl w:val="1"/>
          <w:numId w:val="3"/>
        </w:numPr>
        <w:shd w:val="clear" w:color="auto" w:fill="292A2D"/>
        <w:spacing w:before="240" w:after="240"/>
        <w:rPr>
          <w:rFonts w:ascii="system-ui" w:eastAsia="system-ui" w:hAnsi="system-ui" w:cs="system-ui"/>
          <w:color w:val="F8FAFF"/>
        </w:rPr>
      </w:pPr>
      <w:r w:rsidRPr="0EEDF013">
        <w:rPr>
          <w:rFonts w:ascii="system-ui" w:eastAsia="system-ui" w:hAnsi="system-ui" w:cs="system-ui"/>
          <w:color w:val="F8FAFF"/>
        </w:rPr>
        <w:t>Sub-topics: Sovereign debt crises, taxation policies, and infrastructure financing.</w:t>
      </w:r>
    </w:p>
    <w:p w14:paraId="512C404E" w14:textId="0279873E" w:rsidR="0EEDF013" w:rsidRDefault="0EEDF013" w:rsidP="0EEDF013">
      <w:pPr>
        <w:pStyle w:val="ListParagraph"/>
        <w:numPr>
          <w:ilvl w:val="0"/>
          <w:numId w:val="3"/>
        </w:numPr>
        <w:shd w:val="clear" w:color="auto" w:fill="292A2D"/>
        <w:spacing w:before="240" w:after="240"/>
        <w:rPr>
          <w:rFonts w:ascii="system-ui" w:eastAsia="system-ui" w:hAnsi="system-ui" w:cs="system-ui"/>
          <w:b/>
          <w:bCs/>
          <w:color w:val="F8FAFF"/>
        </w:rPr>
      </w:pPr>
      <w:r w:rsidRPr="0EEDF013">
        <w:rPr>
          <w:rFonts w:ascii="system-ui" w:eastAsia="system-ui" w:hAnsi="system-ui" w:cs="system-ui"/>
          <w:b/>
          <w:bCs/>
          <w:color w:val="F8FAFF"/>
        </w:rPr>
        <w:t>Household/Personal Finance</w:t>
      </w:r>
    </w:p>
    <w:p w14:paraId="1726B580" w14:textId="58C32967" w:rsidR="00C822B7" w:rsidRDefault="00C822B7" w:rsidP="701AFA44"/>
    <w:sectPr w:rsidR="00C82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Noto Sans">
    <w:altName w:val="Nirmala UI"/>
    <w:charset w:val="00"/>
    <w:family w:val="swiss"/>
    <w:pitch w:val="variable"/>
    <w:sig w:usb0="E00082FF" w:usb1="400078FF" w:usb2="00000021" w:usb3="00000000" w:csb0="0000019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2847"/>
    <w:multiLevelType w:val="hybridMultilevel"/>
    <w:tmpl w:val="FFFFFFFF"/>
    <w:lvl w:ilvl="0" w:tplc="A27C1276">
      <w:start w:val="1"/>
      <w:numFmt w:val="bullet"/>
      <w:lvlText w:val="-"/>
      <w:lvlJc w:val="left"/>
      <w:pPr>
        <w:ind w:left="420" w:hanging="420"/>
      </w:pPr>
      <w:rPr>
        <w:rFonts w:ascii="Aptos" w:hAnsi="Aptos" w:hint="default"/>
      </w:rPr>
    </w:lvl>
    <w:lvl w:ilvl="1" w:tplc="795AE18A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1B4C7E9E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F99A14F8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D7F8FDC0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6B7AC51C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40905EBE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2C16A574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000AD294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B017E8C"/>
    <w:multiLevelType w:val="hybridMultilevel"/>
    <w:tmpl w:val="FFFFFFFF"/>
    <w:lvl w:ilvl="0" w:tplc="42E6E6C4">
      <w:start w:val="1"/>
      <w:numFmt w:val="decimal"/>
      <w:lvlText w:val="%1."/>
      <w:lvlJc w:val="left"/>
      <w:pPr>
        <w:ind w:left="420" w:hanging="420"/>
      </w:pPr>
    </w:lvl>
    <w:lvl w:ilvl="1" w:tplc="9F82BF66">
      <w:start w:val="1"/>
      <w:numFmt w:val="lowerLetter"/>
      <w:lvlText w:val="%2."/>
      <w:lvlJc w:val="left"/>
      <w:pPr>
        <w:ind w:left="840" w:hanging="420"/>
      </w:pPr>
    </w:lvl>
    <w:lvl w:ilvl="2" w:tplc="4F84DC4C">
      <w:start w:val="1"/>
      <w:numFmt w:val="lowerRoman"/>
      <w:lvlText w:val="%3."/>
      <w:lvlJc w:val="right"/>
      <w:pPr>
        <w:ind w:left="1260" w:hanging="420"/>
      </w:pPr>
    </w:lvl>
    <w:lvl w:ilvl="3" w:tplc="E81AC49E">
      <w:start w:val="1"/>
      <w:numFmt w:val="decimal"/>
      <w:lvlText w:val="%4."/>
      <w:lvlJc w:val="left"/>
      <w:pPr>
        <w:ind w:left="1680" w:hanging="420"/>
      </w:pPr>
    </w:lvl>
    <w:lvl w:ilvl="4" w:tplc="6D5AA716">
      <w:start w:val="1"/>
      <w:numFmt w:val="lowerLetter"/>
      <w:lvlText w:val="%5."/>
      <w:lvlJc w:val="left"/>
      <w:pPr>
        <w:ind w:left="2100" w:hanging="420"/>
      </w:pPr>
    </w:lvl>
    <w:lvl w:ilvl="5" w:tplc="813AF16C">
      <w:start w:val="1"/>
      <w:numFmt w:val="lowerRoman"/>
      <w:lvlText w:val="%6."/>
      <w:lvlJc w:val="right"/>
      <w:pPr>
        <w:ind w:left="2520" w:hanging="420"/>
      </w:pPr>
    </w:lvl>
    <w:lvl w:ilvl="6" w:tplc="6D2EEE12">
      <w:start w:val="1"/>
      <w:numFmt w:val="decimal"/>
      <w:lvlText w:val="%7."/>
      <w:lvlJc w:val="left"/>
      <w:pPr>
        <w:ind w:left="2940" w:hanging="420"/>
      </w:pPr>
    </w:lvl>
    <w:lvl w:ilvl="7" w:tplc="E50EE722">
      <w:start w:val="1"/>
      <w:numFmt w:val="lowerLetter"/>
      <w:lvlText w:val="%8."/>
      <w:lvlJc w:val="left"/>
      <w:pPr>
        <w:ind w:left="3360" w:hanging="420"/>
      </w:pPr>
    </w:lvl>
    <w:lvl w:ilvl="8" w:tplc="B9CEAC8C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7C02112"/>
    <w:multiLevelType w:val="hybridMultilevel"/>
    <w:tmpl w:val="FFFFFFFF"/>
    <w:lvl w:ilvl="0" w:tplc="A648895C">
      <w:start w:val="1"/>
      <w:numFmt w:val="bullet"/>
      <w:lvlText w:val="-"/>
      <w:lvlJc w:val="left"/>
      <w:pPr>
        <w:ind w:left="420" w:hanging="420"/>
      </w:pPr>
      <w:rPr>
        <w:rFonts w:ascii="Aptos" w:hAnsi="Aptos" w:hint="default"/>
      </w:rPr>
    </w:lvl>
    <w:lvl w:ilvl="1" w:tplc="21728182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CEF4F4D2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C17C3DE0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3F96DF46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31CCB1D8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3528BF40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892CF7A4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154A1A06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E046A62"/>
    <w:multiLevelType w:val="multilevel"/>
    <w:tmpl w:val="EBD0411E"/>
    <w:lvl w:ilvl="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8B366F"/>
    <w:multiLevelType w:val="hybridMultilevel"/>
    <w:tmpl w:val="FFFFFFFF"/>
    <w:lvl w:ilvl="0" w:tplc="7F5A0054">
      <w:start w:val="1"/>
      <w:numFmt w:val="decimal"/>
      <w:lvlText w:val="%1."/>
      <w:lvlJc w:val="left"/>
      <w:pPr>
        <w:ind w:left="420" w:hanging="420"/>
      </w:pPr>
    </w:lvl>
    <w:lvl w:ilvl="1" w:tplc="CF1CF0AC">
      <w:start w:val="1"/>
      <w:numFmt w:val="lowerLetter"/>
      <w:lvlText w:val="%2."/>
      <w:lvlJc w:val="left"/>
      <w:pPr>
        <w:ind w:left="840" w:hanging="420"/>
      </w:pPr>
    </w:lvl>
    <w:lvl w:ilvl="2" w:tplc="80EAF0B4">
      <w:start w:val="1"/>
      <w:numFmt w:val="lowerRoman"/>
      <w:lvlText w:val="%3."/>
      <w:lvlJc w:val="right"/>
      <w:pPr>
        <w:ind w:left="1260" w:hanging="420"/>
      </w:pPr>
    </w:lvl>
    <w:lvl w:ilvl="3" w:tplc="AED0DB20">
      <w:start w:val="1"/>
      <w:numFmt w:val="decimal"/>
      <w:lvlText w:val="%4."/>
      <w:lvlJc w:val="left"/>
      <w:pPr>
        <w:ind w:left="1680" w:hanging="420"/>
      </w:pPr>
    </w:lvl>
    <w:lvl w:ilvl="4" w:tplc="D8D274C0">
      <w:start w:val="1"/>
      <w:numFmt w:val="lowerLetter"/>
      <w:lvlText w:val="%5."/>
      <w:lvlJc w:val="left"/>
      <w:pPr>
        <w:ind w:left="2100" w:hanging="420"/>
      </w:pPr>
    </w:lvl>
    <w:lvl w:ilvl="5" w:tplc="6BDE8D26">
      <w:start w:val="1"/>
      <w:numFmt w:val="lowerRoman"/>
      <w:lvlText w:val="%6."/>
      <w:lvlJc w:val="right"/>
      <w:pPr>
        <w:ind w:left="2520" w:hanging="420"/>
      </w:pPr>
    </w:lvl>
    <w:lvl w:ilvl="6" w:tplc="95AC8062">
      <w:start w:val="1"/>
      <w:numFmt w:val="decimal"/>
      <w:lvlText w:val="%7."/>
      <w:lvlJc w:val="left"/>
      <w:pPr>
        <w:ind w:left="2940" w:hanging="420"/>
      </w:pPr>
    </w:lvl>
    <w:lvl w:ilvl="7" w:tplc="D23279CE">
      <w:start w:val="1"/>
      <w:numFmt w:val="lowerLetter"/>
      <w:lvlText w:val="%8."/>
      <w:lvlJc w:val="left"/>
      <w:pPr>
        <w:ind w:left="3360" w:hanging="420"/>
      </w:pPr>
    </w:lvl>
    <w:lvl w:ilvl="8" w:tplc="78282098">
      <w:start w:val="1"/>
      <w:numFmt w:val="lowerRoman"/>
      <w:lvlText w:val="%9."/>
      <w:lvlJc w:val="right"/>
      <w:pPr>
        <w:ind w:left="3780" w:hanging="420"/>
      </w:pPr>
    </w:lvl>
  </w:abstractNum>
  <w:num w:numId="1" w16cid:durableId="1951158600">
    <w:abstractNumId w:val="3"/>
  </w:num>
  <w:num w:numId="2" w16cid:durableId="1825118720">
    <w:abstractNumId w:val="1"/>
  </w:num>
  <w:num w:numId="3" w16cid:durableId="58330022">
    <w:abstractNumId w:val="4"/>
  </w:num>
  <w:num w:numId="4" w16cid:durableId="1176268838">
    <w:abstractNumId w:val="2"/>
  </w:num>
  <w:num w:numId="5" w16cid:durableId="1164972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AFA"/>
    <w:rsid w:val="00096BA6"/>
    <w:rsid w:val="000C29B5"/>
    <w:rsid w:val="00167241"/>
    <w:rsid w:val="001F3407"/>
    <w:rsid w:val="00317330"/>
    <w:rsid w:val="00385B7F"/>
    <w:rsid w:val="003B021A"/>
    <w:rsid w:val="003C43DD"/>
    <w:rsid w:val="004065B4"/>
    <w:rsid w:val="004753F1"/>
    <w:rsid w:val="00476565"/>
    <w:rsid w:val="00545C33"/>
    <w:rsid w:val="00552019"/>
    <w:rsid w:val="005A5AFA"/>
    <w:rsid w:val="00674C8E"/>
    <w:rsid w:val="0068653D"/>
    <w:rsid w:val="006A35D4"/>
    <w:rsid w:val="007412DC"/>
    <w:rsid w:val="007467A7"/>
    <w:rsid w:val="00754167"/>
    <w:rsid w:val="0078544D"/>
    <w:rsid w:val="008C76E5"/>
    <w:rsid w:val="008D6797"/>
    <w:rsid w:val="00901942"/>
    <w:rsid w:val="00941116"/>
    <w:rsid w:val="009555D1"/>
    <w:rsid w:val="00982014"/>
    <w:rsid w:val="009856D4"/>
    <w:rsid w:val="00A7117E"/>
    <w:rsid w:val="00A8389B"/>
    <w:rsid w:val="00AF3FA0"/>
    <w:rsid w:val="00AF5577"/>
    <w:rsid w:val="00C074D6"/>
    <w:rsid w:val="00C417E7"/>
    <w:rsid w:val="00C60149"/>
    <w:rsid w:val="00C822B7"/>
    <w:rsid w:val="00CF476F"/>
    <w:rsid w:val="00D24BE4"/>
    <w:rsid w:val="00DB1A57"/>
    <w:rsid w:val="00E216C1"/>
    <w:rsid w:val="00E565B3"/>
    <w:rsid w:val="00F8525F"/>
    <w:rsid w:val="00FB0565"/>
    <w:rsid w:val="00FB3E53"/>
    <w:rsid w:val="0EEDF013"/>
    <w:rsid w:val="0FA41D79"/>
    <w:rsid w:val="1301F3E7"/>
    <w:rsid w:val="231E88DC"/>
    <w:rsid w:val="26D21140"/>
    <w:rsid w:val="27EF4826"/>
    <w:rsid w:val="2E537C37"/>
    <w:rsid w:val="448B7C8A"/>
    <w:rsid w:val="458D03EB"/>
    <w:rsid w:val="4A9C7842"/>
    <w:rsid w:val="4C66E347"/>
    <w:rsid w:val="50DFAADC"/>
    <w:rsid w:val="53100D91"/>
    <w:rsid w:val="6572CDE9"/>
    <w:rsid w:val="701AFA44"/>
    <w:rsid w:val="70F1D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79C72F"/>
  <w15:chartTrackingRefBased/>
  <w15:docId w15:val="{BF48AEB2-0E59-43A1-B5D2-925A8BD17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489</Words>
  <Characters>2790</Characters>
  <Application>Microsoft Office Word</Application>
  <DocSecurity>4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Haoxiang</dc:creator>
  <cp:keywords/>
  <dc:description/>
  <cp:lastModifiedBy>ZHANG, Haoxiang</cp:lastModifiedBy>
  <cp:revision>1</cp:revision>
  <dcterms:created xsi:type="dcterms:W3CDTF">2025-02-15T06:43:00Z</dcterms:created>
  <dcterms:modified xsi:type="dcterms:W3CDTF">2025-02-15T13:54:00Z</dcterms:modified>
</cp:coreProperties>
</file>