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center"/>
      </w:pPr>
      <w:r>
        <w:rPr>
          <w:rFonts w:ascii="Times New Roman" w:hAnsi="Times New Roman" w:cs="Times New Roman"/>
          <w:rFonts w:ascii="Times New Roman" w:hAnsi="Times New Roman"/>
          <w:b/>
          <w:i w:val="0"/>
          <w:sz w:val="24"/>
        </w:rPr>
        <w:t>TITLE PAGE: NOT FOR REVIEW</w:t>
      </w:r>
    </w:p>
    <w:p>
      <w:pPr>
        <w:spacing w:line="480" w:lineRule="auto" w:after="0" w:before="0"/>
      </w:pPr>
      <w:r>
        <w:rPr>
          <w:rFonts w:ascii="Times New Roman" w:hAnsi="Times New Roman" w:cs="Times New Roman"/>
          <w:rFonts w:ascii="Times New Roman" w:hAnsi="Times New Roman"/>
          <w:b w:val="0"/>
          <w:i w:val="0"/>
          <w:sz w:val="24"/>
        </w:rPr>
      </w:r>
    </w:p>
    <w:p>
      <w:pPr>
        <w:spacing w:line="480" w:lineRule="auto" w:after="0" w:before="0"/>
        <w:jc w:val="center"/>
      </w:pPr>
      <w:r>
        <w:rPr>
          <w:rFonts w:ascii="Times New Roman" w:hAnsi="Times New Roman" w:cs="Times New Roman"/>
          <w:rFonts w:ascii="Times New Roman" w:hAnsi="Times New Roman"/>
          <w:b/>
          <w:i w:val="0"/>
          <w:sz w:val="24"/>
        </w:rPr>
        <w:t>Equity, Diversity, Inclusion, and Accessibility Reporting in Canadian Mental Health Pharmacotherapy Randomized Controlled Trials (2016 to 2026): A Scoping Review Using the PROGRESS-Plus Framework</w:t>
      </w:r>
    </w:p>
    <w:p>
      <w:pPr>
        <w:spacing w:line="480" w:lineRule="auto" w:after="0" w:before="0"/>
      </w:pPr>
      <w:r>
        <w:rPr>
          <w:rFonts w:ascii="Times New Roman" w:hAnsi="Times New Roman" w:cs="Times New Roman"/>
          <w:rFonts w:ascii="Times New Roman" w:hAnsi="Times New Roman"/>
          <w:b w:val="0"/>
          <w:i w:val="0"/>
          <w:sz w:val="24"/>
        </w:rPr>
      </w:r>
    </w:p>
    <w:p>
      <w:pPr>
        <w:spacing w:line="480" w:lineRule="auto" w:after="0" w:before="0"/>
      </w:pPr>
      <w:r>
        <w:rPr>
          <w:rFonts w:ascii="Times New Roman" w:hAnsi="Times New Roman" w:cs="Times New Roman"/>
          <w:rFonts w:ascii="Times New Roman" w:hAnsi="Times New Roman"/>
          <w:b/>
          <w:i w:val="0"/>
          <w:sz w:val="24"/>
        </w:rPr>
        <w:t xml:space="preserve">Author: </w:t>
      </w:r>
      <w:r>
        <w:rPr>
          <w:rFonts w:ascii="Times New Roman" w:hAnsi="Times New Roman" w:cs="Times New Roman"/>
          <w:rFonts w:ascii="Times New Roman" w:hAnsi="Times New Roman"/>
          <w:b w:val="0"/>
          <w:i w:val="0"/>
          <w:sz w:val="24"/>
        </w:rPr>
        <w:t>Gavin Thomas, BSc, University of Calgary Cumming School of Medicine, MD Program, Calgary, Alberta, Canada</w:t>
      </w:r>
    </w:p>
    <w:p>
      <w:pPr>
        <w:spacing w:line="480" w:lineRule="auto" w:after="0" w:before="0"/>
      </w:pPr>
      <w:r>
        <w:rPr>
          <w:rFonts w:ascii="Times New Roman" w:hAnsi="Times New Roman" w:cs="Times New Roman"/>
          <w:rFonts w:ascii="Times New Roman" w:hAnsi="Times New Roman"/>
          <w:b/>
          <w:i w:val="0"/>
          <w:sz w:val="24"/>
        </w:rPr>
        <w:t xml:space="preserve">Corresponding author: </w:t>
      </w:r>
      <w:r>
        <w:rPr>
          <w:rFonts w:ascii="Times New Roman" w:hAnsi="Times New Roman" w:cs="Times New Roman"/>
          <w:rFonts w:ascii="Times New Roman" w:hAnsi="Times New Roman"/>
          <w:b w:val="0"/>
          <w:i w:val="0"/>
          <w:sz w:val="24"/>
        </w:rPr>
        <w:t>Gavin Thomas, Cumming School of Medicine, University of Calgary, 3330 Hospital Drive NW, Calgary, AB T2N 4N1, Canada. Email: [corresponding author email]</w:t>
      </w:r>
    </w:p>
    <w:p>
      <w:pPr>
        <w:spacing w:line="480" w:lineRule="auto" w:after="0" w:before="0"/>
      </w:pPr>
      <w:r>
        <w:rPr>
          <w:rFonts w:ascii="Times New Roman" w:hAnsi="Times New Roman" w:cs="Times New Roman"/>
          <w:rFonts w:ascii="Times New Roman" w:hAnsi="Times New Roman"/>
          <w:b/>
          <w:i w:val="0"/>
          <w:sz w:val="24"/>
        </w:rPr>
        <w:t xml:space="preserve">Author contributions: </w:t>
      </w:r>
      <w:r>
        <w:rPr>
          <w:rFonts w:ascii="Times New Roman" w:hAnsi="Times New Roman" w:cs="Times New Roman"/>
          <w:rFonts w:ascii="Times New Roman" w:hAnsi="Times New Roman"/>
          <w:b w:val="0"/>
          <w:i w:val="0"/>
          <w:sz w:val="24"/>
        </w:rPr>
        <w:t>GT conceived and designed the review, developed the search strategy, conducted database searching, performed title/abstract and full-text screening (with AI-assisted dual screening), extracted and verified all data, conducted all analyses, created all figures and tables, and drafted the manuscript. AI tools (large language models) were used as described in the Methods section; GT maintained oversight and final decision authority at all stages.</w:t>
      </w:r>
    </w:p>
    <w:p>
      <w:pPr>
        <w:spacing w:line="480" w:lineRule="auto" w:after="0" w:before="0"/>
      </w:pPr>
      <w:r>
        <w:rPr>
          <w:rFonts w:ascii="Times New Roman" w:hAnsi="Times New Roman" w:cs="Times New Roman"/>
          <w:rFonts w:ascii="Times New Roman" w:hAnsi="Times New Roman"/>
          <w:b/>
          <w:i w:val="0"/>
          <w:sz w:val="24"/>
        </w:rPr>
        <w:t xml:space="preserve">Conflicts of interest: </w:t>
      </w:r>
      <w:r>
        <w:rPr>
          <w:rFonts w:ascii="Times New Roman" w:hAnsi="Times New Roman" w:cs="Times New Roman"/>
          <w:rFonts w:ascii="Times New Roman" w:hAnsi="Times New Roman"/>
          <w:b w:val="0"/>
          <w:i w:val="0"/>
          <w:sz w:val="24"/>
        </w:rPr>
        <w:t>The author declares no conflicts of interest.</w:t>
      </w:r>
    </w:p>
    <w:p>
      <w:pPr>
        <w:spacing w:line="480" w:lineRule="auto" w:after="0" w:before="0"/>
      </w:pPr>
      <w:r>
        <w:rPr>
          <w:rFonts w:ascii="Times New Roman" w:hAnsi="Times New Roman" w:cs="Times New Roman"/>
          <w:rFonts w:ascii="Times New Roman" w:hAnsi="Times New Roman"/>
          <w:b/>
          <w:i w:val="0"/>
          <w:sz w:val="24"/>
        </w:rPr>
        <w:t xml:space="preserve">Funding: </w:t>
      </w:r>
      <w:r>
        <w:rPr>
          <w:rFonts w:ascii="Times New Roman" w:hAnsi="Times New Roman" w:cs="Times New Roman"/>
          <w:rFonts w:ascii="Times New Roman" w:hAnsi="Times New Roman"/>
          <w:b w:val="0"/>
          <w:i w:val="0"/>
          <w:sz w:val="24"/>
        </w:rPr>
        <w:t>This work received no external funding. All costs were borne by the author.</w:t>
      </w:r>
    </w:p>
    <w:p>
      <w:pPr>
        <w:spacing w:line="480" w:lineRule="auto" w:after="0" w:before="0"/>
      </w:pPr>
      <w:r>
        <w:rPr>
          <w:rFonts w:ascii="Times New Roman" w:hAnsi="Times New Roman" w:cs="Times New Roman"/>
          <w:rFonts w:ascii="Times New Roman" w:hAnsi="Times New Roman"/>
          <w:b/>
          <w:i w:val="0"/>
          <w:sz w:val="24"/>
        </w:rPr>
        <w:t xml:space="preserve">Acknowledgements: </w:t>
      </w:r>
      <w:r>
        <w:rPr>
          <w:rFonts w:ascii="Times New Roman" w:hAnsi="Times New Roman" w:cs="Times New Roman"/>
          <w:rFonts w:ascii="Times New Roman" w:hAnsi="Times New Roman"/>
          <w:b w:val="0"/>
          <w:i w:val="0"/>
          <w:sz w:val="24"/>
        </w:rPr>
        <w:t>The author thanks the open-source and open-access communities whose tools and data made this review possible, including PubMed/E-utilities, Europe PMC, OpenAlex, Crossref, Unpaywall, and the Cochrane Highly Sensitive Search Strategy for RCTs.</w:t>
      </w:r>
    </w:p>
    <w:p>
      <w:pPr>
        <w:spacing w:line="480" w:lineRule="auto" w:after="0" w:before="0"/>
      </w:pPr>
      <w:r>
        <w:rPr>
          <w:rFonts w:ascii="Times New Roman" w:hAnsi="Times New Roman" w:cs="Times New Roman"/>
          <w:rFonts w:ascii="Times New Roman" w:hAnsi="Times New Roman"/>
          <w:b/>
          <w:i w:val="0"/>
          <w:sz w:val="24"/>
        </w:rPr>
        <w:t xml:space="preserve">AI disclosure: </w:t>
      </w:r>
      <w:r>
        <w:rPr>
          <w:rFonts w:ascii="Times New Roman" w:hAnsi="Times New Roman" w:cs="Times New Roman"/>
          <w:rFonts w:ascii="Times New Roman" w:hAnsi="Times New Roman"/>
          <w:b w:val="0"/>
          <w:i w:val="0"/>
          <w:sz w:val="24"/>
        </w:rPr>
        <w:t>This scoping review used large language model (LLM) AI tools at multiple stages: (1) dual screening (title/abstract and full-text), with human reconciliation of all disagreements; (2) data extraction, with human quality assurance and Pass 2 independent re-extraction achieving Cohen's κ ≥ 0.86 for all tested fields; (3) manuscript drafting assistance, with human review and revision of all content. No AI tool is listed as an author. Full methodological details are provided in the Methods section.</w:t>
      </w:r>
    </w:p>
    <w:p>
      <w:pPr>
        <w:spacing w:line="480" w:lineRule="auto" w:after="0" w:before="0"/>
      </w:pPr>
      <w:r>
        <w:rPr>
          <w:rFonts w:ascii="Times New Roman" w:hAnsi="Times New Roman" w:cs="Times New Roman"/>
          <w:rFonts w:ascii="Times New Roman" w:hAnsi="Times New Roman"/>
          <w:b/>
          <w:i w:val="0"/>
          <w:sz w:val="24"/>
        </w:rPr>
        <w:t xml:space="preserve">Word count: </w:t>
      </w:r>
      <w:r>
        <w:rPr>
          <w:rFonts w:ascii="Times New Roman" w:hAnsi="Times New Roman" w:cs="Times New Roman"/>
          <w:rFonts w:ascii="Times New Roman" w:hAnsi="Times New Roman"/>
          <w:b w:val="0"/>
          <w:i w:val="0"/>
          <w:sz w:val="24"/>
        </w:rPr>
        <w:t>4792 (main text, excluding abstract, references, tables, and figures)</w:t>
      </w:r>
    </w:p>
    <w:p>
      <w:pPr>
        <w:spacing w:line="480" w:lineRule="auto" w:after="0" w:before="0"/>
        <w:sectPr>
          <w:type w:val="nextPage"/>
          <w:pgMar w:left="1701" w:right="1701" w:top="2835" w:bottom="2835"/>
        </w:sectPr>
      </w:pPr>
      <w:r>
        <w:rPr>
          <w:rFonts w:ascii="Times New Roman" w:hAnsi="Times New Roman" w:cs="Times New Roman"/>
          <w:rFonts w:ascii="Times New Roman" w:hAnsi="Times New Roman"/>
          <w:b w:val="0"/>
          <w:i w:val="0"/>
          <w:sz w:val="24"/>
        </w:rPr>
      </w:r>
    </w:p>
    <w:p>
      <w:pPr>
        <w:spacing w:line="480" w:lineRule="auto" w:after="0" w:before="0"/>
      </w:pPr>
      <w:r>
        <w:rPr>
          <w:rFonts w:ascii="Times New Roman" w:hAnsi="Times New Roman" w:cs="Times New Roman"/>
          <w:rFonts w:ascii="Times New Roman" w:hAnsi="Times New Roman"/>
          <w:b/>
          <w:i w:val="0"/>
          <w:sz w:val="24"/>
        </w:rPr>
        <w:t>ABSTRACT</w:t>
      </w:r>
    </w:p>
    <w:p>
      <w:pPr>
        <w:spacing w:line="480" w:lineRule="auto" w:after="0" w:before="0"/>
      </w:pPr>
      <w:r>
        <w:rPr>
          <w:rFonts w:ascii="Times New Roman" w:hAnsi="Times New Roman" w:cs="Times New Roman"/>
          <w:rFonts w:ascii="Times New Roman" w:hAnsi="Times New Roman"/>
          <w:b w:val="0"/>
          <w:i w:val="0"/>
          <w:sz w:val="24"/>
        </w:rPr>
      </w:r>
    </w:p>
    <w:p>
      <w:pPr>
        <w:spacing w:line="480" w:lineRule="auto" w:after="0" w:before="0"/>
      </w:pPr>
      <w:r>
        <w:rPr>
          <w:rFonts w:ascii="Times New Roman" w:hAnsi="Times New Roman" w:cs="Times New Roman"/>
          <w:rFonts w:ascii="Times New Roman" w:hAnsi="Times New Roman"/>
          <w:b/>
          <w:i w:val="0"/>
          <w:sz w:val="24"/>
        </w:rPr>
        <w:t>Objective</w:t>
      </w:r>
    </w:p>
    <w:p>
      <w:pPr>
        <w:spacing w:line="480" w:lineRule="auto" w:after="0" w:before="0"/>
        <w:jc w:val="both"/>
      </w:pPr>
      <w:r>
        <w:rPr>
          <w:rFonts w:ascii="Times New Roman" w:hAnsi="Times New Roman" w:cs="Times New Roman"/>
          <w:rFonts w:ascii="Times New Roman" w:hAnsi="Times New Roman"/>
          <w:b w:val="0"/>
          <w:i w:val="0"/>
          <w:sz w:val="24"/>
        </w:rPr>
        <w:t>To characterize equity, diversity, inclusion, and accessibility (EDIA) reporting in Canadian mental health pharmacotherapy randomized controlled trials (RCTs) published between 2016 and 2026, using the PROGRESS-Plus framework, with emphasis on racialized groups and Indigenous peoples.</w:t>
      </w:r>
    </w:p>
    <w:p>
      <w:pPr>
        <w:spacing w:line="480" w:lineRule="auto" w:after="0" w:before="0"/>
      </w:pPr>
      <w:r>
        <w:rPr>
          <w:rFonts w:ascii="Times New Roman" w:hAnsi="Times New Roman" w:cs="Times New Roman"/>
          <w:rFonts w:ascii="Times New Roman" w:hAnsi="Times New Roman"/>
          <w:b/>
          <w:i w:val="0"/>
          <w:sz w:val="24"/>
        </w:rPr>
        <w:t>Methods</w:t>
      </w:r>
    </w:p>
    <w:p>
      <w:pPr>
        <w:spacing w:line="480" w:lineRule="auto" w:after="0" w:before="0"/>
        <w:jc w:val="both"/>
      </w:pPr>
      <w:r>
        <w:rPr>
          <w:rFonts w:ascii="Times New Roman" w:hAnsi="Times New Roman" w:cs="Times New Roman"/>
          <w:rFonts w:ascii="Times New Roman" w:hAnsi="Times New Roman"/>
          <w:b w:val="0"/>
          <w:i w:val="0"/>
          <w:sz w:val="24"/>
        </w:rPr>
        <w:t>This scoping review followed PRISMA-ScR guidelines. Four databases (PubMed, Europe PMC, Scopus, OpenAlex) were searched on March 30, 2026. Eligible studies were interventional RCTs of pharmacological agents for DSM-5/ICD-10 mental disorders with at least one verified Canadian recruitment site, published 2016 to 2026 in English. Data were charted using the PROGRESS-Plus framework across 50+ variables per study. Dual screening with reconciliation was performed; data extraction used AI-assisted methods with human quality assurance (Pass 2 Cohen's κ ≥ 0.86 for all tested fields).</w:t>
      </w:r>
    </w:p>
    <w:p>
      <w:pPr>
        <w:spacing w:line="480" w:lineRule="auto" w:after="0" w:before="0"/>
      </w:pPr>
      <w:r>
        <w:rPr>
          <w:rFonts w:ascii="Times New Roman" w:hAnsi="Times New Roman" w:cs="Times New Roman"/>
          <w:rFonts w:ascii="Times New Roman" w:hAnsi="Times New Roman"/>
          <w:b/>
          <w:i w:val="0"/>
          <w:sz w:val="24"/>
        </w:rPr>
        <w:t>Results</w:t>
      </w:r>
    </w:p>
    <w:p>
      <w:pPr>
        <w:spacing w:line="480" w:lineRule="auto" w:after="0" w:before="0"/>
        <w:jc w:val="both"/>
      </w:pPr>
      <w:r>
        <w:rPr>
          <w:rFonts w:ascii="Times New Roman" w:hAnsi="Times New Roman" w:cs="Times New Roman"/>
          <w:rFonts w:ascii="Times New Roman" w:hAnsi="Times New Roman"/>
          <w:b w:val="0"/>
          <w:i w:val="0"/>
          <w:sz w:val="24"/>
        </w:rPr>
        <w:t>Of 10,904 records screened, 63 RCTs (N = 8,837 participants) were included. Race/ethnicity was reported in 57.1% (36/63) of trials; among reporters, 50.0% did not state a race classification framework and 61.1% used coarse granularity. Sex was reported in 95.2% (60/63) but only 6.3% (4/63) explicitly distinguished sex from gender; all published after 2021. Religion (0%), sexual orientation/gender identity (3.2%), social capital (3.2%), and intersectional analysis (0%) were rarely or never reported. Indigenous participation was documented in 11.1% (7/63), yet no trial referenced OCAP principles or reported Indigenous outcomes separately. No trial achieved full CONSORT-Equity compliance (0%); 73.0% had none. Race/ethnicity reporting was significantly associated with international collaboration (80.8% vs. 40.5%; p = 0.002) and larger sample size (p = 0.007). Among CIHR-funded trials, 31.3% (5/16) did not report race/ethnicity despite Sex- and Gender-Based Analysis Plus (SGBA+) requirements.</w:t>
      </w:r>
    </w:p>
    <w:p>
      <w:pPr>
        <w:spacing w:line="480" w:lineRule="auto" w:after="0" w:before="0"/>
      </w:pPr>
      <w:r>
        <w:rPr>
          <w:rFonts w:ascii="Times New Roman" w:hAnsi="Times New Roman" w:cs="Times New Roman"/>
          <w:rFonts w:ascii="Times New Roman" w:hAnsi="Times New Roman"/>
          <w:b/>
          <w:i w:val="0"/>
          <w:sz w:val="24"/>
        </w:rPr>
        <w:t>Conclusions</w:t>
      </w:r>
    </w:p>
    <w:p>
      <w:pPr>
        <w:spacing w:line="480" w:lineRule="auto" w:after="0" w:before="0"/>
        <w:jc w:val="both"/>
      </w:pPr>
      <w:r>
        <w:rPr>
          <w:rFonts w:ascii="Times New Roman" w:hAnsi="Times New Roman" w:cs="Times New Roman"/>
          <w:rFonts w:ascii="Times New Roman" w:hAnsi="Times New Roman"/>
          <w:b w:val="0"/>
          <w:i w:val="0"/>
          <w:sz w:val="24"/>
        </w:rPr>
        <w:t>Substantial EDIA reporting gaps persist in Canadian mental health pharmacotherapy RCTs, particularly for race/ethnicity frameworks, sex/gender distinction, Indigenous data sovereignty, and intersectional analysis. Mandatory PROGRESS-Plus minimum reporting standards for federally funded trials could establish accountability and improve equity in Canadian clinical research.</w:t>
      </w:r>
    </w:p>
    <w:p>
      <w:pPr>
        <w:spacing w:line="480" w:lineRule="auto" w:after="0" w:before="0"/>
      </w:pPr>
      <w:r>
        <w:rPr>
          <w:rFonts w:ascii="Times New Roman" w:hAnsi="Times New Roman" w:cs="Times New Roman"/>
          <w:rFonts w:ascii="Times New Roman" w:hAnsi="Times New Roman"/>
          <w:b/>
          <w:i w:val="0"/>
          <w:sz w:val="24"/>
        </w:rPr>
        <w:t>Keywords</w:t>
      </w:r>
    </w:p>
    <w:p>
      <w:pPr>
        <w:spacing w:line="480" w:lineRule="auto" w:after="0" w:before="0"/>
        <w:jc w:val="both"/>
      </w:pPr>
      <w:r>
        <w:rPr>
          <w:rFonts w:ascii="Times New Roman" w:hAnsi="Times New Roman" w:cs="Times New Roman"/>
          <w:rFonts w:ascii="Times New Roman" w:hAnsi="Times New Roman"/>
          <w:b w:val="0"/>
          <w:i w:val="0"/>
          <w:sz w:val="24"/>
        </w:rPr>
        <w:t>scoping review; equity; diversity; inclusion; PROGRESS-Plus; randomized controlled trial; mental health; pharmacotherapy; Canada; CONSORT-Equity</w:t>
      </w:r>
    </w:p>
    <w:p>
      <w:pPr>
        <w:spacing w:line="480" w:lineRule="auto" w:after="0" w:before="0"/>
      </w:pPr>
      <w:r>
        <w:rPr>
          <w:rFonts w:ascii="Times New Roman" w:hAnsi="Times New Roman" w:cs="Times New Roman"/>
          <w:rFonts w:ascii="Times New Roman" w:hAnsi="Times New Roman"/>
          <w:b w:val="0"/>
          <w:i w:val="0"/>
          <w:sz w:val="24"/>
        </w:rPr>
      </w:r>
    </w:p>
    <w:p>
      <w:pPr>
        <w:spacing w:line="480" w:lineRule="auto" w:after="0" w:before="0"/>
      </w:pPr>
      <w:r>
        <w:rPr>
          <w:rFonts w:ascii="Times New Roman" w:hAnsi="Times New Roman" w:cs="Times New Roman"/>
          <w:rFonts w:ascii="Times New Roman" w:hAnsi="Times New Roman"/>
          <w:b/>
          <w:i w:val="0"/>
          <w:sz w:val="24"/>
        </w:rPr>
        <w:t>INTRODUCTION</w:t>
      </w:r>
    </w:p>
    <w:p>
      <w:pPr>
        <w:spacing w:line="480" w:lineRule="auto" w:after="0" w:before="120"/>
      </w:pPr>
      <w:r>
        <w:rPr>
          <w:rFonts w:ascii="Times New Roman" w:hAnsi="Times New Roman" w:cs="Times New Roman"/>
          <w:rFonts w:ascii="Times New Roman" w:hAnsi="Times New Roman"/>
          <w:b w:val="0"/>
          <w:i/>
          <w:sz w:val="24"/>
        </w:rPr>
        <w:t>Background</w:t>
      </w:r>
    </w:p>
    <w:p>
      <w:pPr>
        <w:spacing w:line="480" w:lineRule="auto" w:after="0" w:before="0"/>
        <w:ind w:firstLine="720"/>
        <w:jc w:val="both"/>
      </w:pPr>
      <w:r>
        <w:rPr>
          <w:rFonts w:ascii="Times New Roman" w:hAnsi="Times New Roman" w:cs="Times New Roman"/>
          <w:rFonts w:ascii="Times New Roman" w:hAnsi="Times New Roman"/>
          <w:b w:val="0"/>
          <w:i w:val="0"/>
          <w:sz w:val="24"/>
        </w:rPr>
        <w:t>Health equity in clinical research demands that study populations reflect the diversity of the communities trials seek to serve. Persistent underrepresentation of racialized groups, Indigenous peoples, and other equity-deserving populations in randomized controlled trials (RCTs) compromises the generalizability of evidence and perpetuates health disparities.</w:t>
      </w:r>
      <w:r>
        <w:rPr>
          <w:rFonts w:ascii="Times New Roman" w:hAnsi="Times New Roman" w:cs="Times New Roman"/>
          <w:rFonts w:ascii="Times New Roman" w:hAnsi="Times New Roman"/>
          <w:b w:val="0"/>
          <w:i w:val="0"/>
          <w:sz w:val="24"/>
          <w:vertAlign w:val="superscript"/>
        </w:rPr>
        <w:t>1,2</w:t>
      </w:r>
      <w:r>
        <w:rPr>
          <w:rFonts w:ascii="Times New Roman" w:hAnsi="Times New Roman" w:cs="Times New Roman"/>
          <w:rFonts w:ascii="Times New Roman" w:hAnsi="Times New Roman"/>
          <w:b w:val="0"/>
          <w:i w:val="0"/>
          <w:sz w:val="24"/>
        </w:rPr>
        <w:t xml:space="preserve"> International efforts to address these gaps have intensified: the United States National Institutes of Health (NIH) Revitalization Act of 1993 mandated the inclusion of women and minorities in federally funded research,</w:t>
      </w:r>
      <w:r>
        <w:rPr>
          <w:rFonts w:ascii="Times New Roman" w:hAnsi="Times New Roman" w:cs="Times New Roman"/>
          <w:rFonts w:ascii="Times New Roman" w:hAnsi="Times New Roman"/>
          <w:b w:val="0"/>
          <w:i w:val="0"/>
          <w:sz w:val="24"/>
          <w:vertAlign w:val="superscript"/>
        </w:rPr>
        <w:t>3</w:t>
      </w:r>
      <w:r>
        <w:rPr>
          <w:rFonts w:ascii="Times New Roman" w:hAnsi="Times New Roman" w:cs="Times New Roman"/>
          <w:rFonts w:ascii="Times New Roman" w:hAnsi="Times New Roman"/>
          <w:b w:val="0"/>
          <w:i w:val="0"/>
          <w:sz w:val="24"/>
        </w:rPr>
        <w:t xml:space="preserve"> and subsequent reporting requirements have increased race/ethnicity reporting in US trials to over 80%.</w:t>
      </w:r>
      <w:r>
        <w:rPr>
          <w:rFonts w:ascii="Times New Roman" w:hAnsi="Times New Roman" w:cs="Times New Roman"/>
          <w:rFonts w:ascii="Times New Roman" w:hAnsi="Times New Roman"/>
          <w:b w:val="0"/>
          <w:i w:val="0"/>
          <w:sz w:val="24"/>
          <w:vertAlign w:val="superscript"/>
        </w:rPr>
        <w:t>4,5</w:t>
      </w:r>
    </w:p>
    <w:p>
      <w:pPr>
        <w:spacing w:line="480" w:lineRule="auto" w:after="0" w:before="0"/>
        <w:ind w:firstLine="720"/>
        <w:jc w:val="both"/>
      </w:pPr>
      <w:r>
        <w:rPr>
          <w:rFonts w:ascii="Times New Roman" w:hAnsi="Times New Roman" w:cs="Times New Roman"/>
          <w:rFonts w:ascii="Times New Roman" w:hAnsi="Times New Roman"/>
          <w:b w:val="0"/>
          <w:i w:val="0"/>
          <w:sz w:val="24"/>
        </w:rPr>
        <w:t>Canada has developed its own equity-oriented policy frameworks. The Canadian Institutes of Health Research (CIHR) Sex- and Gender-Based Analysis Plus (SGBA+) policy, formalized in 2019, requires applicants to integrate sex, gender, and other identity factors into research design.</w:t>
      </w:r>
      <w:r>
        <w:rPr>
          <w:rFonts w:ascii="Times New Roman" w:hAnsi="Times New Roman" w:cs="Times New Roman"/>
          <w:rFonts w:ascii="Times New Roman" w:hAnsi="Times New Roman"/>
          <w:b w:val="0"/>
          <w:i w:val="0"/>
          <w:sz w:val="24"/>
          <w:vertAlign w:val="superscript"/>
        </w:rPr>
        <w:t>6</w:t>
      </w:r>
      <w:r>
        <w:rPr>
          <w:rFonts w:ascii="Times New Roman" w:hAnsi="Times New Roman" w:cs="Times New Roman"/>
          <w:rFonts w:ascii="Times New Roman" w:hAnsi="Times New Roman"/>
          <w:b w:val="0"/>
          <w:i w:val="0"/>
          <w:sz w:val="24"/>
        </w:rPr>
        <w:t xml:space="preserve"> The Tri-Council Policy Statement: Ethical Conduct for Research Involving Humans (TCPS2), updated in 2018, includes Chapter 9 on research involving First Nations, Inuit, and Métis peoples, emphasizing community engagement and data governance.</w:t>
      </w:r>
      <w:r>
        <w:rPr>
          <w:rFonts w:ascii="Times New Roman" w:hAnsi="Times New Roman" w:cs="Times New Roman"/>
          <w:rFonts w:ascii="Times New Roman" w:hAnsi="Times New Roman"/>
          <w:b w:val="0"/>
          <w:i w:val="0"/>
          <w:sz w:val="24"/>
          <w:vertAlign w:val="superscript"/>
        </w:rPr>
        <w:t>7</w:t>
      </w:r>
      <w:r>
        <w:rPr>
          <w:rFonts w:ascii="Times New Roman" w:hAnsi="Times New Roman" w:cs="Times New Roman"/>
          <w:rFonts w:ascii="Times New Roman" w:hAnsi="Times New Roman"/>
          <w:b w:val="0"/>
          <w:i w:val="0"/>
          <w:sz w:val="24"/>
        </w:rPr>
        <w:t xml:space="preserve"> The Tri-Agency (CIHR, NSERC, SSHRC) Equity, Diversity and Inclusion Action Plan, launched in 2018, further committed federal research funders to systemic change in research culture and practice.</w:t>
      </w:r>
      <w:r>
        <w:rPr>
          <w:rFonts w:ascii="Times New Roman" w:hAnsi="Times New Roman" w:cs="Times New Roman"/>
          <w:rFonts w:ascii="Times New Roman" w:hAnsi="Times New Roman"/>
          <w:b w:val="0"/>
          <w:i w:val="0"/>
          <w:sz w:val="24"/>
          <w:vertAlign w:val="superscript"/>
        </w:rPr>
        <w:t>8</w:t>
      </w:r>
      <w:r>
        <w:rPr>
          <w:rFonts w:ascii="Times New Roman" w:hAnsi="Times New Roman" w:cs="Times New Roman"/>
          <w:rFonts w:ascii="Times New Roman" w:hAnsi="Times New Roman"/>
          <w:b w:val="0"/>
          <w:i w:val="0"/>
          <w:sz w:val="24"/>
        </w:rPr>
        <w:t xml:space="preserve"> Despite these policies, the extent to which Canadian clinical trials report participant diversity remains poorly characterized.</w:t>
      </w:r>
    </w:p>
    <w:p>
      <w:pPr>
        <w:spacing w:line="480" w:lineRule="auto" w:after="0" w:before="0"/>
        <w:ind w:firstLine="720"/>
        <w:jc w:val="both"/>
      </w:pPr>
      <w:r>
        <w:rPr>
          <w:rFonts w:ascii="Times New Roman" w:hAnsi="Times New Roman" w:cs="Times New Roman"/>
          <w:rFonts w:ascii="Times New Roman" w:hAnsi="Times New Roman"/>
          <w:b w:val="0"/>
          <w:i w:val="0"/>
          <w:sz w:val="24"/>
        </w:rPr>
        <w:t>The PROGRESS-Plus framework provides a structured approach to identifying equity-relevant variables in health research.</w:t>
      </w:r>
      <w:r>
        <w:rPr>
          <w:rFonts w:ascii="Times New Roman" w:hAnsi="Times New Roman" w:cs="Times New Roman"/>
          <w:rFonts w:ascii="Times New Roman" w:hAnsi="Times New Roman"/>
          <w:b w:val="0"/>
          <w:i w:val="0"/>
          <w:sz w:val="24"/>
          <w:vertAlign w:val="superscript"/>
        </w:rPr>
        <w:t>9</w:t>
      </w:r>
      <w:r>
        <w:rPr>
          <w:rFonts w:ascii="Times New Roman" w:hAnsi="Times New Roman" w:cs="Times New Roman"/>
          <w:rFonts w:ascii="Times New Roman" w:hAnsi="Times New Roman"/>
          <w:b w:val="0"/>
          <w:i w:val="0"/>
          <w:sz w:val="24"/>
        </w:rPr>
        <w:t xml:space="preserve"> Originally developed for systematic reviews, it encompasses Place of residence, Race/ethnicity/culture/language, Occupation, Gender/sex, Religion, Education, Socioeconomic status (SES), and Social capital, plus additional factors including age, disability, and sexual orientation and gender identity (SOGI).</w:t>
      </w:r>
      <w:r>
        <w:rPr>
          <w:rFonts w:ascii="Times New Roman" w:hAnsi="Times New Roman" w:cs="Times New Roman"/>
          <w:rFonts w:ascii="Times New Roman" w:hAnsi="Times New Roman"/>
          <w:b w:val="0"/>
          <w:i w:val="0"/>
          <w:sz w:val="24"/>
          <w:vertAlign w:val="superscript"/>
        </w:rPr>
        <w:t>9</w:t>
      </w:r>
      <w:r>
        <w:rPr>
          <w:rFonts w:ascii="Times New Roman" w:hAnsi="Times New Roman" w:cs="Times New Roman"/>
          <w:rFonts w:ascii="Times New Roman" w:hAnsi="Times New Roman"/>
          <w:b w:val="0"/>
          <w:i w:val="0"/>
          <w:sz w:val="24"/>
        </w:rPr>
        <w:t xml:space="preserve"> CONSORT-Equity extends the CONSORT reporting guidelines to promote equity-relevant reporting in RCTs.</w:t>
      </w:r>
      <w:r>
        <w:rPr>
          <w:rFonts w:ascii="Times New Roman" w:hAnsi="Times New Roman" w:cs="Times New Roman"/>
          <w:rFonts w:ascii="Times New Roman" w:hAnsi="Times New Roman"/>
          <w:b w:val="0"/>
          <w:i w:val="0"/>
          <w:sz w:val="24"/>
          <w:vertAlign w:val="superscript"/>
        </w:rPr>
        <w:t>10</w:t>
      </w:r>
    </w:p>
    <w:p>
      <w:pPr>
        <w:spacing w:line="480" w:lineRule="auto" w:after="0" w:before="0"/>
        <w:ind w:firstLine="720"/>
        <w:jc w:val="both"/>
      </w:pPr>
      <w:r>
        <w:rPr>
          <w:rFonts w:ascii="Times New Roman" w:hAnsi="Times New Roman" w:cs="Times New Roman"/>
          <w:rFonts w:ascii="Times New Roman" w:hAnsi="Times New Roman"/>
          <w:b w:val="0"/>
          <w:i w:val="0"/>
          <w:sz w:val="24"/>
        </w:rPr>
        <w:t>Pharmacotherapy trials warrant particular scrutiny for EDIA reporting. Known population-level variation in drug metabolism enzymes (e.g., CYP2D6, CYP2C19) is associated with ancestral population groups, influencing therapeutic efficacy and adverse effect profiles for psychotropic medications including antidepressants, antipsychotics, and mood stabilizers.</w:t>
      </w:r>
      <w:r>
        <w:rPr>
          <w:rFonts w:ascii="Times New Roman" w:hAnsi="Times New Roman" w:cs="Times New Roman"/>
          <w:rFonts w:ascii="Times New Roman" w:hAnsi="Times New Roman"/>
          <w:b w:val="0"/>
          <w:i w:val="0"/>
          <w:sz w:val="24"/>
          <w:vertAlign w:val="superscript"/>
        </w:rPr>
        <w:t>11,12</w:t>
      </w:r>
      <w:r>
        <w:rPr>
          <w:rFonts w:ascii="Times New Roman" w:hAnsi="Times New Roman" w:cs="Times New Roman"/>
          <w:rFonts w:ascii="Times New Roman" w:hAnsi="Times New Roman"/>
          <w:b w:val="0"/>
          <w:i w:val="0"/>
          <w:sz w:val="24"/>
        </w:rPr>
        <w:t xml:space="preserve"> Canada's 2021 Census reported that 26.5% of the population identified as visible minorities, a share that has grown with each successive census.</w:t>
      </w:r>
      <w:r>
        <w:rPr>
          <w:rFonts w:ascii="Times New Roman" w:hAnsi="Times New Roman" w:cs="Times New Roman"/>
          <w:rFonts w:ascii="Times New Roman" w:hAnsi="Times New Roman"/>
          <w:b w:val="0"/>
          <w:i w:val="0"/>
          <w:sz w:val="24"/>
          <w:vertAlign w:val="superscript"/>
        </w:rPr>
        <w:t>13</w:t>
      </w:r>
      <w:r>
        <w:rPr>
          <w:rFonts w:ascii="Times New Roman" w:hAnsi="Times New Roman" w:cs="Times New Roman"/>
          <w:rFonts w:ascii="Times New Roman" w:hAnsi="Times New Roman"/>
          <w:b w:val="0"/>
          <w:i w:val="0"/>
          <w:sz w:val="24"/>
        </w:rPr>
        <w:t xml:space="preserve"> Without adequate demographic reporting, the applicability of pharmacotherapy evidence to this increasingly diverse population cannot be assessed, and inequities in treatment safety and efficacy may go undetected.</w:t>
      </w:r>
    </w:p>
    <w:p>
      <w:pPr>
        <w:spacing w:line="480" w:lineRule="auto" w:after="0" w:before="120"/>
      </w:pPr>
      <w:r>
        <w:rPr>
          <w:rFonts w:ascii="Times New Roman" w:hAnsi="Times New Roman" w:cs="Times New Roman"/>
          <w:rFonts w:ascii="Times New Roman" w:hAnsi="Times New Roman"/>
          <w:b w:val="0"/>
          <w:i/>
          <w:sz w:val="24"/>
        </w:rPr>
        <w:t>Rationale</w:t>
      </w:r>
    </w:p>
    <w:p>
      <w:pPr>
        <w:spacing w:line="480" w:lineRule="auto" w:after="0" w:before="0"/>
        <w:ind w:firstLine="720"/>
        <w:jc w:val="both"/>
      </w:pPr>
      <w:r>
        <w:rPr>
          <w:rFonts w:ascii="Times New Roman" w:hAnsi="Times New Roman" w:cs="Times New Roman"/>
          <w:rFonts w:ascii="Times New Roman" w:hAnsi="Times New Roman"/>
          <w:b w:val="0"/>
          <w:i w:val="0"/>
          <w:sz w:val="24"/>
        </w:rPr>
        <w:t>No scoping review has systematically assessed PROGRESS-Plus EDIA reporting in Canadian mental health pharmacotherapy RCTs. Previous reviews have focused predominantly on US contexts, where the NIH inclusion mandate has shaped reporting practices,</w:t>
      </w:r>
      <w:r>
        <w:rPr>
          <w:rFonts w:ascii="Times New Roman" w:hAnsi="Times New Roman" w:cs="Times New Roman"/>
          <w:rFonts w:ascii="Times New Roman" w:hAnsi="Times New Roman"/>
          <w:b w:val="0"/>
          <w:i w:val="0"/>
          <w:sz w:val="24"/>
          <w:vertAlign w:val="superscript"/>
        </w:rPr>
        <w:t>4,5</w:t>
      </w:r>
      <w:r>
        <w:rPr>
          <w:rFonts w:ascii="Times New Roman" w:hAnsi="Times New Roman" w:cs="Times New Roman"/>
          <w:rFonts w:ascii="Times New Roman" w:hAnsi="Times New Roman"/>
          <w:b w:val="0"/>
          <w:i w:val="0"/>
          <w:sz w:val="24"/>
        </w:rPr>
        <w:t xml:space="preserve"> and have not isolated Canadian-specific patterns. Canada's unique demographic landscape (including official categories for "visible minorities" (Statistics Canada), constitutional recognition of Indigenous self-determination, and substantial francophone populations) requires dedicated examination.</w:t>
      </w:r>
    </w:p>
    <w:p>
      <w:pPr>
        <w:spacing w:line="480" w:lineRule="auto" w:after="0" w:before="0"/>
        <w:ind w:firstLine="720"/>
        <w:jc w:val="both"/>
      </w:pPr>
      <w:r>
        <w:rPr>
          <w:rFonts w:ascii="Times New Roman" w:hAnsi="Times New Roman" w:cs="Times New Roman"/>
          <w:rFonts w:ascii="Times New Roman" w:hAnsi="Times New Roman"/>
          <w:b w:val="0"/>
          <w:i w:val="0"/>
          <w:sz w:val="24"/>
        </w:rPr>
        <w:t>This review addresses the gap by applying the PROGRESS-Plus framework to Canadian mental health pharmacotherapy RCTs, providing the first systematic characterization of EDIA reporting practices in this specific context. The focus on pharmacotherapy, rather than all clinical research, reflects the particular relevance of population-level pharmacokinetic and pharmacogenomic variation to treatment outcomes in psychiatry.</w:t>
      </w:r>
    </w:p>
    <w:p>
      <w:pPr>
        <w:spacing w:line="480" w:lineRule="auto" w:after="0" w:before="120"/>
      </w:pPr>
      <w:r>
        <w:rPr>
          <w:rFonts w:ascii="Times New Roman" w:hAnsi="Times New Roman" w:cs="Times New Roman"/>
          <w:rFonts w:ascii="Times New Roman" w:hAnsi="Times New Roman"/>
          <w:b w:val="0"/>
          <w:i/>
          <w:sz w:val="24"/>
        </w:rPr>
        <w:t>Objectives</w:t>
      </w:r>
    </w:p>
    <w:p>
      <w:pPr>
        <w:spacing w:line="480" w:lineRule="auto" w:after="0" w:before="0"/>
        <w:ind w:firstLine="720"/>
        <w:jc w:val="both"/>
      </w:pPr>
      <w:r>
        <w:rPr>
          <w:rFonts w:ascii="Times New Roman" w:hAnsi="Times New Roman" w:cs="Times New Roman"/>
          <w:rFonts w:ascii="Times New Roman" w:hAnsi="Times New Roman"/>
          <w:b w:val="0"/>
          <w:i w:val="0"/>
          <w:sz w:val="24"/>
        </w:rPr>
        <w:t>The primary objectives were to: (1) determine the proportion of Canadian mental health pharmacotherapy RCTs reporting participant race/ethnicity and characterize reporting completeness and granularity; (2) assess the comparability of reported race/ethnicity categories with Statistics Canada 2021 Census visible minority classifications; and (3) identify trial-level factors associated with race/ethnicity reporting.</w:t>
      </w:r>
    </w:p>
    <w:p>
      <w:pPr>
        <w:spacing w:line="480" w:lineRule="auto" w:after="0" w:before="0"/>
        <w:ind w:firstLine="720"/>
        <w:jc w:val="both"/>
      </w:pPr>
      <w:r>
        <w:rPr>
          <w:rFonts w:ascii="Times New Roman" w:hAnsi="Times New Roman" w:cs="Times New Roman"/>
          <w:rFonts w:ascii="Times New Roman" w:hAnsi="Times New Roman"/>
          <w:b w:val="0"/>
          <w:i w:val="0"/>
          <w:sz w:val="24"/>
        </w:rPr>
        <w:t>Secondary objectives were to: (1) assess how race/ethnicity data were incorporated into trial design and analysis; (2) characterize reporting of other PROGRESS-Plus variables (gender/sex, religion, education, SES, social capital, occupation, age, disability, SOGI); (3) evaluate Indigenous participation reporting and adherence to OCAP (Ownership, Control, Access, Possession) principles; and (4) compare EDIA reporting in trials published before versus after 2020, reflecting the anticipated impact of CIHR EDI policy changes.</w:t>
      </w:r>
    </w:p>
    <w:p>
      <w:pPr>
        <w:spacing w:line="480" w:lineRule="auto" w:after="0" w:before="0"/>
      </w:pPr>
      <w:r>
        <w:rPr>
          <w:rFonts w:ascii="Times New Roman" w:hAnsi="Times New Roman" w:cs="Times New Roman"/>
          <w:rFonts w:ascii="Times New Roman" w:hAnsi="Times New Roman"/>
          <w:b w:val="0"/>
          <w:i w:val="0"/>
          <w:sz w:val="24"/>
        </w:rPr>
      </w:r>
    </w:p>
    <w:p>
      <w:pPr>
        <w:spacing w:line="480" w:lineRule="auto" w:after="0" w:before="0"/>
      </w:pPr>
      <w:r>
        <w:rPr>
          <w:rFonts w:ascii="Times New Roman" w:hAnsi="Times New Roman" w:cs="Times New Roman"/>
          <w:rFonts w:ascii="Times New Roman" w:hAnsi="Times New Roman"/>
          <w:b/>
          <w:i w:val="0"/>
          <w:sz w:val="24"/>
        </w:rPr>
        <w:t>METHODS</w:t>
      </w:r>
    </w:p>
    <w:p>
      <w:pPr>
        <w:spacing w:line="480" w:lineRule="auto" w:after="0" w:before="120"/>
      </w:pPr>
      <w:r>
        <w:rPr>
          <w:rFonts w:ascii="Times New Roman" w:hAnsi="Times New Roman" w:cs="Times New Roman"/>
          <w:rFonts w:ascii="Times New Roman" w:hAnsi="Times New Roman"/>
          <w:b w:val="0"/>
          <w:i/>
          <w:sz w:val="24"/>
        </w:rPr>
        <w:t>Protocol and Registration</w:t>
      </w:r>
    </w:p>
    <w:p>
      <w:pPr>
        <w:spacing w:line="480" w:lineRule="auto" w:after="0" w:before="0"/>
        <w:ind w:firstLine="720"/>
        <w:jc w:val="both"/>
      </w:pPr>
      <w:r>
        <w:rPr>
          <w:rFonts w:ascii="Times New Roman" w:hAnsi="Times New Roman" w:cs="Times New Roman"/>
          <w:rFonts w:ascii="Times New Roman" w:hAnsi="Times New Roman"/>
          <w:b w:val="0"/>
          <w:i w:val="0"/>
          <w:sz w:val="24"/>
        </w:rPr>
        <w:t>This scoping review was not prospectively registered with PROSPERO or other protocol registries. To compensate, we ensured full methodological transparency: the complete codebase including search scripts, screening reconciliation files, data extraction codebook, and analytical code is publicly available on GitHub.</w:t>
      </w:r>
      <w:r>
        <w:rPr>
          <w:rFonts w:ascii="Times New Roman" w:hAnsi="Times New Roman" w:cs="Times New Roman"/>
          <w:rFonts w:ascii="Times New Roman" w:hAnsi="Times New Roman"/>
          <w:b w:val="0"/>
          <w:i w:val="0"/>
          <w:sz w:val="24"/>
          <w:vertAlign w:val="superscript"/>
        </w:rPr>
        <w:t>14</w:t>
      </w:r>
      <w:r>
        <w:rPr>
          <w:rFonts w:ascii="Times New Roman" w:hAnsi="Times New Roman" w:cs="Times New Roman"/>
          <w:rFonts w:ascii="Times New Roman" w:hAnsi="Times New Roman"/>
          <w:b w:val="0"/>
          <w:i w:val="0"/>
          <w:sz w:val="24"/>
        </w:rPr>
        <w:t xml:space="preserve"> The review followed the Joanna Briggs Institute (JBI) methodology for scoping reviews</w:t>
      </w:r>
      <w:r>
        <w:rPr>
          <w:rFonts w:ascii="Times New Roman" w:hAnsi="Times New Roman" w:cs="Times New Roman"/>
          <w:rFonts w:ascii="Times New Roman" w:hAnsi="Times New Roman"/>
          <w:b w:val="0"/>
          <w:i w:val="0"/>
          <w:sz w:val="24"/>
          <w:vertAlign w:val="superscript"/>
        </w:rPr>
        <w:t>15</w:t>
      </w:r>
      <w:r>
        <w:rPr>
          <w:rFonts w:ascii="Times New Roman" w:hAnsi="Times New Roman" w:cs="Times New Roman"/>
          <w:rFonts w:ascii="Times New Roman" w:hAnsi="Times New Roman"/>
          <w:b w:val="0"/>
          <w:i w:val="0"/>
          <w:sz w:val="24"/>
        </w:rPr>
        <w:t xml:space="preserve"> and the framework proposed by Arksey and O'Malley</w:t>
      </w:r>
      <w:r>
        <w:rPr>
          <w:rFonts w:ascii="Times New Roman" w:hAnsi="Times New Roman" w:cs="Times New Roman"/>
          <w:rFonts w:ascii="Times New Roman" w:hAnsi="Times New Roman"/>
          <w:b w:val="0"/>
          <w:i w:val="0"/>
          <w:sz w:val="24"/>
          <w:vertAlign w:val="superscript"/>
        </w:rPr>
        <w:t>16</w:t>
      </w:r>
      <w:r>
        <w:rPr>
          <w:rFonts w:ascii="Times New Roman" w:hAnsi="Times New Roman" w:cs="Times New Roman"/>
          <w:rFonts w:ascii="Times New Roman" w:hAnsi="Times New Roman"/>
          <w:b w:val="0"/>
          <w:i w:val="0"/>
          <w:sz w:val="24"/>
        </w:rPr>
        <w:t xml:space="preserve"> as enhanced by Levac et al.</w:t>
      </w:r>
      <w:r>
        <w:rPr>
          <w:rFonts w:ascii="Times New Roman" w:hAnsi="Times New Roman" w:cs="Times New Roman"/>
          <w:rFonts w:ascii="Times New Roman" w:hAnsi="Times New Roman"/>
          <w:b w:val="0"/>
          <w:i w:val="0"/>
          <w:sz w:val="24"/>
          <w:vertAlign w:val="superscript"/>
        </w:rPr>
        <w:t>17</w:t>
      </w:r>
      <w:r>
        <w:rPr>
          <w:rFonts w:ascii="Times New Roman" w:hAnsi="Times New Roman" w:cs="Times New Roman"/>
          <w:rFonts w:ascii="Times New Roman" w:hAnsi="Times New Roman"/>
          <w:b w:val="0"/>
          <w:i w:val="0"/>
          <w:sz w:val="24"/>
        </w:rPr>
        <w:t xml:space="preserve"> Reporting adheres to the PRISMA Extension for Scoping Reviews (PRISMA-ScR; Supplementary Table S1).</w:t>
      </w:r>
      <w:r>
        <w:rPr>
          <w:rFonts w:ascii="Times New Roman" w:hAnsi="Times New Roman" w:cs="Times New Roman"/>
          <w:rFonts w:ascii="Times New Roman" w:hAnsi="Times New Roman"/>
          <w:b w:val="0"/>
          <w:i w:val="0"/>
          <w:sz w:val="24"/>
          <w:vertAlign w:val="superscript"/>
        </w:rPr>
        <w:t>18</w:t>
      </w:r>
    </w:p>
    <w:p>
      <w:pPr>
        <w:spacing w:line="480" w:lineRule="auto" w:after="0" w:before="120"/>
      </w:pPr>
      <w:r>
        <w:rPr>
          <w:rFonts w:ascii="Times New Roman" w:hAnsi="Times New Roman" w:cs="Times New Roman"/>
          <w:rFonts w:ascii="Times New Roman" w:hAnsi="Times New Roman"/>
          <w:b w:val="0"/>
          <w:i/>
          <w:sz w:val="24"/>
        </w:rPr>
        <w:t>Eligibility Criteria</w:t>
      </w:r>
    </w:p>
    <w:p>
      <w:pPr>
        <w:spacing w:line="480" w:lineRule="auto" w:after="0" w:before="0"/>
        <w:ind w:firstLine="720"/>
        <w:jc w:val="both"/>
      </w:pPr>
      <w:r>
        <w:rPr>
          <w:rFonts w:ascii="Times New Roman" w:hAnsi="Times New Roman" w:cs="Times New Roman"/>
          <w:rFonts w:ascii="Times New Roman" w:hAnsi="Times New Roman"/>
          <w:b w:val="0"/>
          <w:i w:val="0"/>
          <w:sz w:val="24"/>
        </w:rPr>
        <w:t>Studies were eligible if they were: (1) interventional RCTs (parallel, crossover, or factorial design); (2) testing a pharmacological agent as the primary intervention for a DSM-5 or ICD-10 mental disorder; (3) conducted at one or more verified Canadian recruitment sites; and (4) published in English between January 1, 2016 and March 30, 2026.</w:t>
      </w:r>
    </w:p>
    <w:p>
      <w:pPr>
        <w:spacing w:line="480" w:lineRule="auto" w:after="0" w:before="0"/>
        <w:ind w:firstLine="720"/>
        <w:jc w:val="both"/>
      </w:pPr>
      <w:r>
        <w:rPr>
          <w:rFonts w:ascii="Times New Roman" w:hAnsi="Times New Roman" w:cs="Times New Roman"/>
          <w:rFonts w:ascii="Times New Roman" w:hAnsi="Times New Roman"/>
          <w:b w:val="0"/>
          <w:i w:val="0"/>
          <w:sz w:val="24"/>
        </w:rPr>
        <w:t>We excluded observational studies, non-pharmacological intervention trials, secondary or post-hoc analyses of previously published RCTs, protocols without results, systematic reviews, meta-analyses, case reports, and trials with exclusively non-Canadian recruitment sites. The eligibility criterion for Canadian involvement was refined during the review process from "Canadian principal investigator or institutional affiliation" to "verified Canadian recruitment site," verified via ClinicalTrials.gov and published methods sections. This refinement, documented in the study repository, resulted in the exclusion of three previously included records (all with Canadian-affiliated authors but no Canadian sites; Supplementary Table S6).</w:t>
      </w:r>
    </w:p>
    <w:p>
      <w:pPr>
        <w:spacing w:line="480" w:lineRule="auto" w:after="0" w:before="120"/>
      </w:pPr>
      <w:r>
        <w:rPr>
          <w:rFonts w:ascii="Times New Roman" w:hAnsi="Times New Roman" w:cs="Times New Roman"/>
          <w:rFonts w:ascii="Times New Roman" w:hAnsi="Times New Roman"/>
          <w:b w:val="0"/>
          <w:i/>
          <w:sz w:val="24"/>
        </w:rPr>
        <w:t>Information Sources and Search Strategy</w:t>
      </w:r>
    </w:p>
    <w:p>
      <w:pPr>
        <w:spacing w:line="480" w:lineRule="auto" w:after="0" w:before="0"/>
        <w:ind w:firstLine="720"/>
        <w:jc w:val="both"/>
      </w:pPr>
      <w:r>
        <w:rPr>
          <w:rFonts w:ascii="Times New Roman" w:hAnsi="Times New Roman" w:cs="Times New Roman"/>
          <w:rFonts w:ascii="Times New Roman" w:hAnsi="Times New Roman"/>
          <w:b w:val="0"/>
          <w:i w:val="0"/>
          <w:sz w:val="24"/>
        </w:rPr>
        <w:t>Four electronic databases were searched on March 30, 2026: PubMed (via E-utilities API), Europe PMC (REST API), Scopus (Elsevier API), and OpenAlex (REST API). The search strategy combined three concept blocks using Boolean AND: (1) mental health disorders (MeSH terms and free-text synonyms for DSM-5/ICD-10 categories including depressive, bipolar, psychotic, anxiety, trauma, substance use, neurocognitive, neurodevelopmental, and eating disorders); (2) RCT design (Cochrane Highly Sensitive Search Strategy adaptation plus design-specific terms); and (3) Canadian context (geographic terms, institutional affiliations, and provincial/territorial names).</w:t>
      </w:r>
    </w:p>
    <w:p>
      <w:pPr>
        <w:spacing w:line="480" w:lineRule="auto" w:after="0" w:before="0"/>
        <w:ind w:firstLine="720"/>
        <w:jc w:val="both"/>
      </w:pPr>
      <w:r>
        <w:rPr>
          <w:rFonts w:ascii="Times New Roman" w:hAnsi="Times New Roman" w:cs="Times New Roman"/>
          <w:rFonts w:ascii="Times New Roman" w:hAnsi="Times New Roman"/>
          <w:b w:val="0"/>
          <w:i w:val="0"/>
          <w:sz w:val="24"/>
        </w:rPr>
        <w:t>EDIA-specific search terms were intentionally excluded from the search strategy to avoid preferentially identifying trials that already report diversity data, which would have biased the primary outcome.</w:t>
      </w:r>
      <w:r>
        <w:rPr>
          <w:rFonts w:ascii="Times New Roman" w:hAnsi="Times New Roman" w:cs="Times New Roman"/>
          <w:rFonts w:ascii="Times New Roman" w:hAnsi="Times New Roman"/>
          <w:b w:val="0"/>
          <w:i w:val="0"/>
          <w:sz w:val="24"/>
          <w:vertAlign w:val="superscript"/>
        </w:rPr>
        <w:t>19</w:t>
      </w:r>
      <w:r>
        <w:rPr>
          <w:rFonts w:ascii="Times New Roman" w:hAnsi="Times New Roman" w:cs="Times New Roman"/>
          <w:rFonts w:ascii="Times New Roman" w:hAnsi="Times New Roman"/>
          <w:b w:val="0"/>
          <w:i w:val="0"/>
          <w:sz w:val="24"/>
        </w:rPr>
        <w:t xml:space="preserve"> Full search strategies for all four databases are provided in Supplementary Table S2. Database selection was limited to sources with programmatic (API) access to ensure full reproducibility; this excluded PsycINFO and CINAHL, which is acknowledged as a limitation.</w:t>
      </w:r>
    </w:p>
    <w:p>
      <w:pPr>
        <w:spacing w:line="480" w:lineRule="auto" w:after="0" w:before="120"/>
      </w:pPr>
      <w:r>
        <w:rPr>
          <w:rFonts w:ascii="Times New Roman" w:hAnsi="Times New Roman" w:cs="Times New Roman"/>
          <w:rFonts w:ascii="Times New Roman" w:hAnsi="Times New Roman"/>
          <w:b w:val="0"/>
          <w:i/>
          <w:sz w:val="24"/>
        </w:rPr>
        <w:t>Selection of Sources of Evidence</w:t>
      </w:r>
    </w:p>
    <w:p>
      <w:pPr>
        <w:spacing w:line="480" w:lineRule="auto" w:after="0" w:before="0"/>
        <w:ind w:firstLine="720"/>
        <w:jc w:val="both"/>
      </w:pPr>
      <w:r>
        <w:rPr>
          <w:rFonts w:ascii="Times New Roman" w:hAnsi="Times New Roman" w:cs="Times New Roman"/>
          <w:rFonts w:ascii="Times New Roman" w:hAnsi="Times New Roman"/>
          <w:b w:val="0"/>
          <w:i w:val="0"/>
          <w:sz w:val="24"/>
        </w:rPr>
        <w:t>Records were deduplicated using exact DOI match, exact PMID match, and fuzzy title matching (threshold &gt;0.93), removing 14,497 duplicates from 54,483 raw records. After automated pre-screening filters (no abstract, outside date range, missing core terms, systematic reviews/meta-analyses), 10,904 records underwent dual independent title/abstract screening. Inter-rater agreement was 97.8% (normalized); Cohen's κ = 0.39 (fair). The low kappa reflects the extreme class imbalance inherent to scoping review screening: with a 96% exclusion base rate, agreement on the rare inclusion decisions was less well-characterized than the near-perfect exclusion agreement.</w:t>
      </w:r>
      <w:r>
        <w:rPr>
          <w:rFonts w:ascii="Times New Roman" w:hAnsi="Times New Roman" w:cs="Times New Roman"/>
          <w:rFonts w:ascii="Times New Roman" w:hAnsi="Times New Roman"/>
          <w:b w:val="0"/>
          <w:i w:val="0"/>
          <w:sz w:val="24"/>
          <w:vertAlign w:val="superscript"/>
        </w:rPr>
        <w:t>20</w:t>
      </w:r>
      <w:r>
        <w:rPr>
          <w:rFonts w:ascii="Times New Roman" w:hAnsi="Times New Roman" w:cs="Times New Roman"/>
          <w:rFonts w:ascii="Times New Roman" w:hAnsi="Times New Roman"/>
          <w:b w:val="0"/>
          <w:i w:val="0"/>
          <w:sz w:val="24"/>
        </w:rPr>
        <w:t xml:space="preserve"> A false-negative validation check of approximately 5,900 excluded records identified zero missed inclusions.</w:t>
      </w:r>
    </w:p>
    <w:p>
      <w:pPr>
        <w:spacing w:line="480" w:lineRule="auto" w:after="0" w:before="0"/>
        <w:ind w:firstLine="720"/>
        <w:jc w:val="both"/>
      </w:pPr>
      <w:r>
        <w:rPr>
          <w:rFonts w:ascii="Times New Roman" w:hAnsi="Times New Roman" w:cs="Times New Roman"/>
          <w:rFonts w:ascii="Times New Roman" w:hAnsi="Times New Roman"/>
          <w:b w:val="0"/>
          <w:i w:val="0"/>
          <w:sz w:val="24"/>
        </w:rPr>
        <w:t>Of 134 records forwarded for full-text assessment (including 5 retroactively propagated after quality assurance audit), one was unobtainable, and 133 were assessed against eligibility criteria. Seventy records were excluded (35 secondary analyses, 16 no Canadian site, 10 not RCT/protocol/review, 8 non-pharmacological, 1 pre-2016 results), yielding 63 included studies.</w:t>
      </w:r>
    </w:p>
    <w:p>
      <w:pPr>
        <w:spacing w:line="480" w:lineRule="auto" w:after="0" w:before="120"/>
      </w:pPr>
      <w:r>
        <w:rPr>
          <w:rFonts w:ascii="Times New Roman" w:hAnsi="Times New Roman" w:cs="Times New Roman"/>
          <w:rFonts w:ascii="Times New Roman" w:hAnsi="Times New Roman"/>
          <w:b w:val="0"/>
          <w:i/>
          <w:sz w:val="24"/>
        </w:rPr>
        <w:t>Data Charting Process</w:t>
      </w:r>
    </w:p>
    <w:p>
      <w:pPr>
        <w:spacing w:line="480" w:lineRule="auto" w:after="0" w:before="0"/>
        <w:ind w:firstLine="720"/>
        <w:jc w:val="both"/>
      </w:pPr>
      <w:r>
        <w:rPr>
          <w:rFonts w:ascii="Times New Roman" w:hAnsi="Times New Roman" w:cs="Times New Roman"/>
          <w:rFonts w:ascii="Times New Roman" w:hAnsi="Times New Roman"/>
          <w:b w:val="0"/>
          <w:i w:val="0"/>
          <w:sz w:val="24"/>
        </w:rPr>
        <w:t>Data were charted using a standardized extraction form based on the PROGRESS-Plus framework, encompassing over 50 variables per study organized into trial-level covariates, PROGRESS-Plus equity variables, Indigenous-specific indicators, and CONSORT-Equity compliance. The extraction codebook with decision rules and coding conventions is provided in Supplementary File S3. Per-study extracted data are provided in Supplementary Table S4.</w:t>
      </w:r>
    </w:p>
    <w:p>
      <w:pPr>
        <w:spacing w:line="480" w:lineRule="auto" w:after="0" w:before="0"/>
        <w:ind w:firstLine="720"/>
        <w:jc w:val="both"/>
      </w:pPr>
      <w:r>
        <w:rPr>
          <w:rFonts w:ascii="Times New Roman" w:hAnsi="Times New Roman" w:cs="Times New Roman"/>
          <w:rFonts w:ascii="Times New Roman" w:hAnsi="Times New Roman"/>
          <w:b w:val="0"/>
          <w:i w:val="0"/>
          <w:sz w:val="24"/>
        </w:rPr>
        <w:t>Extraction was conducted using a two-pass approach, adapting emerging methods for LLM-assisted evidence synthesis.</w:t>
      </w:r>
      <w:r>
        <w:rPr>
          <w:rFonts w:ascii="Times New Roman" w:hAnsi="Times New Roman" w:cs="Times New Roman"/>
          <w:rFonts w:ascii="Times New Roman" w:hAnsi="Times New Roman"/>
          <w:b w:val="0"/>
          <w:i w:val="0"/>
          <w:sz w:val="24"/>
          <w:vertAlign w:val="superscript"/>
        </w:rPr>
        <w:t>21</w:t>
      </w:r>
      <w:r>
        <w:rPr>
          <w:rFonts w:ascii="Times New Roman" w:hAnsi="Times New Roman" w:cs="Times New Roman"/>
          <w:rFonts w:ascii="Times New Roman" w:hAnsi="Times New Roman"/>
          <w:b w:val="0"/>
          <w:i w:val="0"/>
          <w:sz w:val="24"/>
        </w:rPr>
        <w:t xml:space="preserve"> In Pass 1, large language model (LLM) AI tools extracted data from full-text PDFs under structured prompts aligned with the codebook; all extracted values were reviewed and verified by the author (human quality assurance). In Pass 2, a random sample of 20 records (32%) was independently re-extracted by separate LLM agents operating blind to Pass 1 values. Inter-rater reliability was assessed using Cohen's κ for four key fields: race reported (κ = 1.00), sex/gender distinguished (κ = 1.00), Indigenous participation (κ = 0.86), and education reported (κ = 0.89). All exceeded the pre-specified threshold of 0.80. The two discordances (2.5% cell-level rate) were resolved by consensus review. Three additional fields specified in the codebook were not independently verified in Pass 2; this partial coverage is acknowledged as a limitation. Full Pass 2 inter-rater reliability results are reported in Supplementary Table S5.</w:t>
      </w:r>
    </w:p>
    <w:p>
      <w:pPr>
        <w:spacing w:line="480" w:lineRule="auto" w:after="0" w:before="120"/>
      </w:pPr>
      <w:r>
        <w:rPr>
          <w:rFonts w:ascii="Times New Roman" w:hAnsi="Times New Roman" w:cs="Times New Roman"/>
          <w:rFonts w:ascii="Times New Roman" w:hAnsi="Times New Roman"/>
          <w:b w:val="0"/>
          <w:i/>
          <w:sz w:val="24"/>
        </w:rPr>
        <w:t>Data Items</w:t>
      </w:r>
    </w:p>
    <w:p>
      <w:pPr>
        <w:spacing w:line="480" w:lineRule="auto" w:after="0" w:before="0"/>
        <w:ind w:firstLine="720"/>
        <w:jc w:val="both"/>
      </w:pPr>
      <w:r>
        <w:rPr>
          <w:rFonts w:ascii="Times New Roman" w:hAnsi="Times New Roman" w:cs="Times New Roman"/>
          <w:rFonts w:ascii="Times New Roman" w:hAnsi="Times New Roman"/>
          <w:b w:val="0"/>
          <w:i w:val="0"/>
          <w:sz w:val="24"/>
        </w:rPr>
        <w:t>Extracted variables included: trial-level characteristics (publication year, journal, disorder category, intervention, sample size, design, number of sites, funder type, trial registration); PROGRESS-Plus variables (place, race/ethnicity, occupation, gender/sex, religion, education, SES, social capital, age, disability, SOGI, intersectionality); Indigenous-specific indicators (participation documented, groups named, specific trial design, separate reporting, community partnership, OCAP principles, data sovereignty score 0 to 3); and CONSORT-Equity compliance (full/partial/none). Full definitions are in Supplementary File S3.</w:t>
      </w:r>
    </w:p>
    <w:p>
      <w:pPr>
        <w:spacing w:line="480" w:lineRule="auto" w:after="0" w:before="120"/>
      </w:pPr>
      <w:r>
        <w:rPr>
          <w:rFonts w:ascii="Times New Roman" w:hAnsi="Times New Roman" w:cs="Times New Roman"/>
          <w:rFonts w:ascii="Times New Roman" w:hAnsi="Times New Roman"/>
          <w:b w:val="0"/>
          <w:i/>
          <w:sz w:val="24"/>
        </w:rPr>
        <w:t>Synthesis of Results</w:t>
      </w:r>
    </w:p>
    <w:p>
      <w:pPr>
        <w:spacing w:line="480" w:lineRule="auto" w:after="0" w:before="0"/>
        <w:ind w:firstLine="720"/>
        <w:jc w:val="both"/>
      </w:pPr>
      <w:r>
        <w:rPr>
          <w:rFonts w:ascii="Times New Roman" w:hAnsi="Times New Roman" w:cs="Times New Roman"/>
          <w:rFonts w:ascii="Times New Roman" w:hAnsi="Times New Roman"/>
          <w:b w:val="0"/>
          <w:i w:val="0"/>
          <w:sz w:val="24"/>
        </w:rPr>
        <w:t>Results were synthesized descriptively using counts and proportions with 95% Wilson score confidence intervals for each PROGRESS-Plus variable. Temporal comparison examined reporting rates in trials published pre-2020 versus post-2020 (January 2020 onward), with sensitivity analyses at the 2018 TCPS2 and 2022 CIHR EDI policy cutpoints. Race/ethnicity data were benchmarked against Statistics Canada 2021 Census visible minority categories where possible. No meta-analysis was conducted, consistent with scoping review methodology.</w:t>
      </w:r>
    </w:p>
    <w:p>
      <w:pPr>
        <w:spacing w:line="480" w:lineRule="auto" w:after="0" w:before="120"/>
      </w:pPr>
      <w:r>
        <w:rPr>
          <w:rFonts w:ascii="Times New Roman" w:hAnsi="Times New Roman" w:cs="Times New Roman"/>
          <w:rFonts w:ascii="Times New Roman" w:hAnsi="Times New Roman"/>
          <w:b w:val="0"/>
          <w:i/>
          <w:sz w:val="24"/>
        </w:rPr>
        <w:t>Patient and Public Involvement</w:t>
      </w:r>
    </w:p>
    <w:p>
      <w:pPr>
        <w:spacing w:line="480" w:lineRule="auto" w:after="0" w:before="0"/>
        <w:ind w:firstLine="720"/>
        <w:jc w:val="both"/>
      </w:pPr>
      <w:r>
        <w:rPr>
          <w:rFonts w:ascii="Times New Roman" w:hAnsi="Times New Roman" w:cs="Times New Roman"/>
          <w:rFonts w:ascii="Times New Roman" w:hAnsi="Times New Roman"/>
          <w:b w:val="0"/>
          <w:i w:val="0"/>
          <w:sz w:val="24"/>
        </w:rPr>
        <w:t>No patients or members of the public were involved in the design, conduct, or reporting of this review, which analyzed previously published secondary data.</w:t>
      </w:r>
    </w:p>
    <w:p>
      <w:pPr>
        <w:spacing w:line="480" w:lineRule="auto" w:after="0" w:before="0"/>
      </w:pPr>
      <w:r>
        <w:rPr>
          <w:rFonts w:ascii="Times New Roman" w:hAnsi="Times New Roman" w:cs="Times New Roman"/>
          <w:rFonts w:ascii="Times New Roman" w:hAnsi="Times New Roman"/>
          <w:b w:val="0"/>
          <w:i w:val="0"/>
          <w:sz w:val="24"/>
        </w:rPr>
      </w:r>
    </w:p>
    <w:p>
      <w:pPr>
        <w:spacing w:line="480" w:lineRule="auto" w:after="0" w:before="0"/>
      </w:pPr>
      <w:r>
        <w:rPr>
          <w:rFonts w:ascii="Times New Roman" w:hAnsi="Times New Roman" w:cs="Times New Roman"/>
          <w:rFonts w:ascii="Times New Roman" w:hAnsi="Times New Roman"/>
          <w:b/>
          <w:i w:val="0"/>
          <w:sz w:val="24"/>
        </w:rPr>
        <w:t>RESULTS</w:t>
      </w:r>
    </w:p>
    <w:p>
      <w:pPr>
        <w:spacing w:line="480" w:lineRule="auto" w:after="0" w:before="120"/>
      </w:pPr>
      <w:r>
        <w:rPr>
          <w:rFonts w:ascii="Times New Roman" w:hAnsi="Times New Roman" w:cs="Times New Roman"/>
          <w:rFonts w:ascii="Times New Roman" w:hAnsi="Times New Roman"/>
          <w:b w:val="0"/>
          <w:i/>
          <w:sz w:val="24"/>
        </w:rPr>
        <w:t>Selection of Sources of Evidence</w:t>
      </w:r>
    </w:p>
    <w:p>
      <w:pPr>
        <w:spacing w:line="480" w:lineRule="auto" w:after="0" w:before="0"/>
        <w:ind w:firstLine="720"/>
        <w:jc w:val="both"/>
      </w:pPr>
      <w:r>
        <w:rPr>
          <w:rFonts w:ascii="Times New Roman" w:hAnsi="Times New Roman" w:cs="Times New Roman"/>
          <w:rFonts w:ascii="Times New Roman" w:hAnsi="Times New Roman"/>
          <w:b w:val="0"/>
          <w:i w:val="0"/>
          <w:sz w:val="24"/>
        </w:rPr>
        <w:t>The PRISMA-ScR flow diagram (Figure 1) summarizes the study selection process. Database searches identified 54,483 records (PubMed 9,964; Europe PMC 15,772; Scopus 27,983; OpenAlex 764). After removing 14,497 duplicates and applying automated pre-screening filters, 10,904 records underwent title/abstract screening. Of these, 134 were forwarded for full-text assessment, and 63 studies met all inclusion criteria. The most common full-text exclusion reasons were secondary/post-hoc analysis (n = 35, 50.0%), no verified Canadian recruitment site (n = 16, 22.9%), and non-RCT design (n = 10, 14.3%).</w:t>
      </w:r>
    </w:p>
    <w:p>
      <w:pPr>
        <w:spacing w:line="240" w:lineRule="auto" w:after="0" w:before="120"/>
        <w:jc w:val="center"/>
      </w:pPr>
      <w:r>
        <w:drawing>
          <wp:inline xmlns:a="http://schemas.openxmlformats.org/drawingml/2006/main" xmlns:pic="http://schemas.openxmlformats.org/drawingml/2006/picture">
            <wp:extent cx="5400000" cy="7458113"/>
            <wp:docPr id="1" name="Picture 1"/>
            <wp:cNvGraphicFramePr>
              <a:graphicFrameLocks noChangeAspect="1"/>
            </wp:cNvGraphicFramePr>
            <a:graphic>
              <a:graphicData uri="http://schemas.openxmlformats.org/drawingml/2006/picture">
                <pic:pic>
                  <pic:nvPicPr>
                    <pic:cNvPr id="0" name="figure1_prisma_flow.png"/>
                    <pic:cNvPicPr/>
                  </pic:nvPicPr>
                  <pic:blipFill>
                    <a:blip r:embed="rId11"/>
                    <a:stretch>
                      <a:fillRect/>
                    </a:stretch>
                  </pic:blipFill>
                  <pic:spPr>
                    <a:xfrm>
                      <a:off x="0" y="0"/>
                      <a:ext cx="5400000" cy="7458113"/>
                    </a:xfrm>
                    <a:prstGeom prst="rect"/>
                  </pic:spPr>
                </pic:pic>
              </a:graphicData>
            </a:graphic>
          </wp:inline>
        </w:drawing>
      </w:r>
    </w:p>
    <w:p>
      <w:pPr>
        <w:spacing w:line="480" w:lineRule="auto" w:after="120" w:before="60"/>
        <w:jc w:val="center"/>
      </w:pPr>
      <w:r>
        <w:rPr>
          <w:rFonts w:ascii="Times New Roman" w:hAnsi="Times New Roman" w:cs="Times New Roman"/>
          <w:rFonts w:ascii="Times New Roman" w:hAnsi="Times New Roman"/>
          <w:b w:val="0"/>
          <w:i/>
          <w:sz w:val="24"/>
        </w:rPr>
        <w:t>Figure 1. PRISMA-ScR flow diagram of study selection.</w:t>
      </w:r>
    </w:p>
    <w:p>
      <w:pPr>
        <w:spacing w:line="480" w:lineRule="auto" w:after="0" w:before="120"/>
      </w:pPr>
      <w:r>
        <w:rPr>
          <w:rFonts w:ascii="Times New Roman" w:hAnsi="Times New Roman" w:cs="Times New Roman"/>
          <w:rFonts w:ascii="Times New Roman" w:hAnsi="Times New Roman"/>
          <w:b w:val="0"/>
          <w:i/>
          <w:sz w:val="24"/>
        </w:rPr>
        <w:t>Characteristics of Included Studies</w:t>
      </w:r>
    </w:p>
    <w:p>
      <w:pPr>
        <w:spacing w:line="480" w:lineRule="auto" w:after="0" w:before="0"/>
        <w:ind w:firstLine="720"/>
        <w:jc w:val="both"/>
      </w:pPr>
      <w:r>
        <w:rPr>
          <w:rFonts w:ascii="Times New Roman" w:hAnsi="Times New Roman" w:cs="Times New Roman"/>
          <w:rFonts w:ascii="Times New Roman" w:hAnsi="Times New Roman"/>
          <w:b w:val="0"/>
          <w:i w:val="0"/>
          <w:sz w:val="24"/>
        </w:rPr>
        <w:t>Table 1 presents the characteristics of the 63 included trials, which enrolled a combined 8,837 participants. The median sample size was 60 (range 6 to 785). The majority used parallel-group designs (76.2%; 48/63), followed by crossover designs (19.0%; 12/63). Most trials were multisite (60.3%; 38/63) and 41.3% (26/63) included international sites outside Canada.</w:t>
      </w:r>
    </w:p>
    <w:p>
      <w:pPr>
        <w:spacing w:line="480" w:lineRule="auto" w:after="0" w:before="0"/>
        <w:ind w:firstLine="720"/>
        <w:jc w:val="both"/>
      </w:pPr>
      <w:r>
        <w:rPr>
          <w:rFonts w:ascii="Times New Roman" w:hAnsi="Times New Roman" w:cs="Times New Roman"/>
          <w:rFonts w:ascii="Times New Roman" w:hAnsi="Times New Roman"/>
          <w:b w:val="0"/>
          <w:i w:val="0"/>
          <w:sz w:val="24"/>
        </w:rPr>
        <w:t>Depression was the most common disorder category (25.4%; 16/63), followed by dementia (15.9%; 10/63), bipolar/mood disorders and substance use disorders (14.3% each; 9/63), psychotic disorders (11.1%; 7/63), ADHD (7.9%; 5/63), anxiety/trauma/OCD (4.8%; 3/63), other disorders (4.8%; 3/63), and eating disorders (1.6%; 1/63). The most common funder types were foundations (30.2%; 19/63), CIHR (25.4%; 16/63), industry (20.6%; 13/63), other government agencies (11.1%; 7/63), and NIH (11.1%; 7/63).</w:t>
      </w:r>
    </w:p>
    <w:p>
      <w:pPr>
        <w:spacing w:line="480" w:lineRule="auto" w:after="0" w:before="0"/>
        <w:ind w:firstLine="720"/>
        <w:jc w:val="both"/>
      </w:pPr>
      <w:r>
        <w:rPr>
          <w:rFonts w:ascii="Times New Roman" w:hAnsi="Times New Roman" w:cs="Times New Roman"/>
          <w:rFonts w:ascii="Times New Roman" w:hAnsi="Times New Roman"/>
          <w:b w:val="0"/>
          <w:i w:val="0"/>
          <w:sz w:val="24"/>
        </w:rPr>
        <w:t>Publication years spanned 2013 to 2026, with the majority (62/63) published between 2016 and 2026; the highest annual counts were in 2016 (n = 10) and 2025 (n = 10). One study (Malla et al., risperidone long-acting injectable for early psychosis, n = 85) was published in 2013 but was captured by database searches covering the target period and met all other eligibility criteria; its inclusion was retained as a conservative decision to avoid post-hoc exclusion, and sensitivity analysis excluding this study did not change any headline findings.</w:t>
      </w:r>
    </w:p>
    <w:p>
      <w:pPr>
        <w:spacing w:line="480" w:lineRule="auto" w:after="0" w:before="120"/>
      </w:pPr>
      <w:r>
        <w:rPr>
          <w:rFonts w:ascii="Times New Roman" w:hAnsi="Times New Roman" w:cs="Times New Roman"/>
          <w:rFonts w:ascii="Times New Roman" w:hAnsi="Times New Roman"/>
          <w:b w:val="0"/>
          <w:i/>
          <w:sz w:val="24"/>
        </w:rPr>
        <w:t>Table 1. Characteristics of included trials (n = 63).</w:t>
      </w:r>
    </w:p>
    <w:p>
      <w:pPr>
        <w:spacing w:line="480" w:lineRule="auto" w:after="0" w:before="120"/>
      </w:pPr>
      <w:r>
        <w:rPr>
          <w:rFonts w:ascii="Times New Roman" w:hAnsi="Times New Roman" w:cs="Times New Roman"/>
          <w:rFonts w:ascii="Times New Roman" w:hAnsi="Times New Roman"/>
          <w:b w:val="0"/>
          <w:i/>
          <w:sz w:val="24"/>
        </w:rPr>
        <w:t>Race/Ethnicity Reporting: Primary Outcome</w:t>
      </w:r>
    </w:p>
    <w:p>
      <w:pPr>
        <w:spacing w:line="240" w:lineRule="auto" w:after="0" w:before="120"/>
        <w:jc w:val="center"/>
      </w:pPr>
      <w:r>
        <w:drawing>
          <wp:inline xmlns:a="http://schemas.openxmlformats.org/drawingml/2006/main" xmlns:pic="http://schemas.openxmlformats.org/drawingml/2006/picture">
            <wp:extent cx="5400000" cy="3579775"/>
            <wp:docPr id="2" name="Picture 2"/>
            <wp:cNvGraphicFramePr>
              <a:graphicFrameLocks noChangeAspect="1"/>
            </wp:cNvGraphicFramePr>
            <a:graphic>
              <a:graphicData uri="http://schemas.openxmlformats.org/drawingml/2006/picture">
                <pic:pic>
                  <pic:nvPicPr>
                    <pic:cNvPr id="0" name="figure2_progress_plus_bars.png"/>
                    <pic:cNvPicPr/>
                  </pic:nvPicPr>
                  <pic:blipFill>
                    <a:blip r:embed="rId12"/>
                    <a:stretch>
                      <a:fillRect/>
                    </a:stretch>
                  </pic:blipFill>
                  <pic:spPr>
                    <a:xfrm>
                      <a:off x="0" y="0"/>
                      <a:ext cx="5400000" cy="3579775"/>
                    </a:xfrm>
                    <a:prstGeom prst="rect"/>
                  </pic:spPr>
                </pic:pic>
              </a:graphicData>
            </a:graphic>
          </wp:inline>
        </w:drawing>
      </w:r>
    </w:p>
    <w:p>
      <w:pPr>
        <w:spacing w:line="480" w:lineRule="auto" w:after="120" w:before="60"/>
        <w:jc w:val="center"/>
      </w:pPr>
      <w:r>
        <w:rPr>
          <w:rFonts w:ascii="Times New Roman" w:hAnsi="Times New Roman" w:cs="Times New Roman"/>
          <w:rFonts w:ascii="Times New Roman" w:hAnsi="Times New Roman"/>
          <w:b w:val="0"/>
          <w:i/>
          <w:sz w:val="24"/>
        </w:rPr>
        <w:t>Figure 2. PROGRESS-Plus variable reporting rates across 63 included Canadian mental health pharmacotherapy RCTs.</w:t>
      </w:r>
    </w:p>
    <w:p>
      <w:pPr>
        <w:spacing w:line="480" w:lineRule="auto" w:after="0" w:before="0"/>
        <w:ind w:firstLine="720"/>
        <w:jc w:val="both"/>
      </w:pPr>
      <w:r>
        <w:rPr>
          <w:rFonts w:ascii="Times New Roman" w:hAnsi="Times New Roman" w:cs="Times New Roman"/>
          <w:rFonts w:ascii="Times New Roman" w:hAnsi="Times New Roman"/>
          <w:b w:val="0"/>
          <w:i w:val="0"/>
          <w:sz w:val="24"/>
        </w:rPr>
        <w:t>Race/ethnicity was reported in 57.1% (36/63; 95% CI 44.9 to 68.6%) of included trials (Figure 2). Among the 36 trials reporting race/ethnicity, classification frameworks were heterogeneous: 50.0% (18/36) did not state a framework, 27.8% (10/36) used US-derived categories (e.g., NIH/OMB classifications), 13.9% (5/36) used study-specific categories coded as "Other," 5.6% (2/36) used self-identified categories, and only 2.8% (1/36) used Canadian Census (visible minority) categories.</w:t>
      </w:r>
    </w:p>
    <w:p>
      <w:pPr>
        <w:spacing w:line="480" w:lineRule="auto" w:after="0" w:before="0"/>
        <w:ind w:firstLine="720"/>
        <w:jc w:val="both"/>
      </w:pPr>
      <w:r>
        <w:rPr>
          <w:rFonts w:ascii="Times New Roman" w:hAnsi="Times New Roman" w:cs="Times New Roman"/>
          <w:rFonts w:ascii="Times New Roman" w:hAnsi="Times New Roman"/>
          <w:b w:val="0"/>
          <w:i w:val="0"/>
          <w:sz w:val="24"/>
        </w:rPr>
        <w:t>Race/ethnicity granularity was predominantly coarse: 61.1% (22/36) of reporters used coarse categories (3 to 5 groups with limited differentiation), 19.4% (7/36) moderate, 16.7% (6/36) binary (e.g., "White" vs. "non-White"), and only 2.8% (1/36) achieved granular reporting (≥7 well-defined categories). The median number of race/ethnicity groups reported was 4 (range 1 to 10).</w:t>
      </w:r>
    </w:p>
    <w:p>
      <w:pPr>
        <w:spacing w:line="480" w:lineRule="auto" w:after="0" w:before="0"/>
        <w:ind w:firstLine="720"/>
        <w:jc w:val="both"/>
      </w:pPr>
      <w:r>
        <w:rPr>
          <w:rFonts w:ascii="Times New Roman" w:hAnsi="Times New Roman" w:cs="Times New Roman"/>
          <w:rFonts w:ascii="Times New Roman" w:hAnsi="Times New Roman"/>
          <w:b w:val="0"/>
          <w:i w:val="0"/>
          <w:sz w:val="24"/>
        </w:rPr>
        <w:t>Analytical use of race/ethnicity data was limited. Among all 63 trials, only 4.8% (3/63) conducted race/ethnicity subgroup analyses and 3.2% (2/63) included race/ethnicity as a covariate; the remainder used race/ethnicity descriptively only or did not collect it. Notably, no trial (0/63) acknowledged race as a social construct or discussed the distinction between race and ethnicity in its conceptual framework.</w:t>
      </w:r>
    </w:p>
    <w:p>
      <w:pPr>
        <w:spacing w:line="480" w:lineRule="auto" w:after="0" w:before="0"/>
        <w:ind w:firstLine="720"/>
        <w:jc w:val="both"/>
      </w:pPr>
      <w:r>
        <w:rPr>
          <w:rFonts w:ascii="Times New Roman" w:hAnsi="Times New Roman" w:cs="Times New Roman"/>
          <w:rFonts w:ascii="Times New Roman" w:hAnsi="Times New Roman"/>
          <w:b w:val="0"/>
          <w:i w:val="0"/>
          <w:sz w:val="24"/>
        </w:rPr>
        <w:t>Two trials collected race/ethnicity data but did not report it in their publications. One pharmacogenomics trial examining CYP2D6-guided dosing (an enzyme with known population-level frequency variation) did not collect race/ethnicity data despite the direct pharmacogenomic relevance.</w:t>
      </w:r>
    </w:p>
    <w:p>
      <w:pPr>
        <w:spacing w:line="480" w:lineRule="auto" w:after="0" w:before="0"/>
        <w:ind w:firstLine="720"/>
        <w:jc w:val="both"/>
      </w:pPr>
      <w:r>
        <w:rPr>
          <w:rFonts w:ascii="Times New Roman" w:hAnsi="Times New Roman" w:cs="Times New Roman"/>
          <w:rFonts w:ascii="Times New Roman" w:hAnsi="Times New Roman"/>
          <w:b w:val="0"/>
          <w:i w:val="0"/>
          <w:sz w:val="24"/>
        </w:rPr>
        <w:t>Among 21 trials reporting extractable overall-sample White/Caucasian proportions (excluding three trials that reported race/ethnicity by treatment arm only), the median was 84.0% (range 12.0 to 96.0%). For context, the 2021 Canadian Census reported that 26.5% of the population identified as visible minorities,</w:t>
      </w:r>
      <w:r>
        <w:rPr>
          <w:rFonts w:ascii="Times New Roman" w:hAnsi="Times New Roman" w:cs="Times New Roman"/>
          <w:rFonts w:ascii="Times New Roman" w:hAnsi="Times New Roman"/>
          <w:b w:val="0"/>
          <w:i w:val="0"/>
          <w:sz w:val="24"/>
          <w:vertAlign w:val="superscript"/>
        </w:rPr>
        <w:t>13</w:t>
      </w:r>
      <w:r>
        <w:rPr>
          <w:rFonts w:ascii="Times New Roman" w:hAnsi="Times New Roman" w:cs="Times New Roman"/>
          <w:rFonts w:ascii="Times New Roman" w:hAnsi="Times New Roman"/>
          <w:b w:val="0"/>
          <w:i w:val="0"/>
          <w:sz w:val="24"/>
        </w:rPr>
        <w:t xml:space="preserve"> implying approximately 73.5% non-visible-minority. Although direct comparison is limited by differences in classification systems (most trials used US-derived or unstated categories rather than the Canadian visible minority taxonomy); the overall pattern suggests that trial populations were less diverse than the Canadian general population for many studies, though notable exceptions existed (e.g., one international trial with 12% White participants and one Vancouver-based trial with 67% White participants in a highly diverse community).</w:t>
      </w:r>
    </w:p>
    <w:p>
      <w:pPr>
        <w:spacing w:line="480" w:lineRule="auto" w:after="0" w:before="120"/>
      </w:pPr>
      <w:r>
        <w:rPr>
          <w:rFonts w:ascii="Times New Roman" w:hAnsi="Times New Roman" w:cs="Times New Roman"/>
          <w:rFonts w:ascii="Times New Roman" w:hAnsi="Times New Roman"/>
          <w:b w:val="0"/>
          <w:i/>
          <w:sz w:val="24"/>
        </w:rPr>
        <w:t>Sex and Gender Reporting</w:t>
      </w:r>
    </w:p>
    <w:p>
      <w:pPr>
        <w:spacing w:line="480" w:lineRule="auto" w:after="0" w:before="0"/>
        <w:ind w:firstLine="720"/>
        <w:jc w:val="both"/>
      </w:pPr>
      <w:r>
        <w:rPr>
          <w:rFonts w:ascii="Times New Roman" w:hAnsi="Times New Roman" w:cs="Times New Roman"/>
          <w:rFonts w:ascii="Times New Roman" w:hAnsi="Times New Roman"/>
          <w:b w:val="0"/>
          <w:i w:val="0"/>
          <w:sz w:val="24"/>
        </w:rPr>
        <w:t>Sex was reported in 95.2% (60/63; 59 "Yes" + 1 "Partial") of trials. Gender identity was reported in 14.3% (9/63; 6 "Yes" + 3 "Partial"). However, only 6.3% (4/63; 95% CI 2.5 to 15.2%) of trials explicitly distinguished between sex and gender in their reporting; all four were published between 2022 and 2025, suggesting an emerging but nascent awareness of this distinction.</w:t>
      </w:r>
    </w:p>
    <w:p>
      <w:pPr>
        <w:spacing w:line="480" w:lineRule="auto" w:after="0" w:before="0"/>
        <w:ind w:firstLine="720"/>
        <w:jc w:val="both"/>
      </w:pPr>
      <w:r>
        <w:rPr>
          <w:rFonts w:ascii="Times New Roman" w:hAnsi="Times New Roman" w:cs="Times New Roman"/>
          <w:rFonts w:ascii="Times New Roman" w:hAnsi="Times New Roman"/>
          <w:b w:val="0"/>
          <w:i w:val="0"/>
          <w:sz w:val="24"/>
        </w:rPr>
        <w:t>Sex-based subgroup analyses were conducted in 14.3% (9/63) of trials, with an additional 3.2% (2/63) reporting partial analyses. Despite CIHR's SGBA+ policy requiring integration of sex and gender considerations since 2019, the vast majority of trials (93.7%) continued to conflate these concepts or report only one dimension.</w:t>
      </w:r>
    </w:p>
    <w:p>
      <w:pPr>
        <w:spacing w:line="480" w:lineRule="auto" w:after="0" w:before="120"/>
      </w:pPr>
      <w:r>
        <w:rPr>
          <w:rFonts w:ascii="Times New Roman" w:hAnsi="Times New Roman" w:cs="Times New Roman"/>
          <w:rFonts w:ascii="Times New Roman" w:hAnsi="Times New Roman"/>
          <w:b w:val="0"/>
          <w:i/>
          <w:sz w:val="24"/>
        </w:rPr>
        <w:t>Other PROGRESS-Plus Variables</w:t>
      </w:r>
    </w:p>
    <w:p>
      <w:pPr>
        <w:spacing w:line="480" w:lineRule="auto" w:after="0" w:before="0"/>
        <w:ind w:firstLine="720"/>
        <w:jc w:val="both"/>
      </w:pPr>
      <w:r>
        <w:rPr>
          <w:rFonts w:ascii="Times New Roman" w:hAnsi="Times New Roman" w:cs="Times New Roman"/>
          <w:rFonts w:ascii="Times New Roman" w:hAnsi="Times New Roman"/>
          <w:b w:val="0"/>
          <w:i w:val="0"/>
          <w:sz w:val="24"/>
        </w:rPr>
        <w:t>Table 2 presents reporting rates across all PROGRESS-Plus variables. Age was universally reported (100%; 63/63), and place of residence was nearly universal (98.4%; 62/63 including partial). Beyond these, reporting was inconsistent: education 34.9% (22/63), disability 41.3% (26/63), SES/income 28.6% (18/63), sex 95.2% (60/63), occupation 14.3% (9/63), gender 14.3% (9/63), social capital 3.2% (2/63), SOGI 3.2% (2/63), and religion 0% (0/63). No trial conducted intersectional analysis (0/63).</w:t>
      </w:r>
    </w:p>
    <w:p>
      <w:pPr>
        <w:spacing w:line="480" w:lineRule="auto" w:after="0" w:before="0"/>
        <w:ind w:firstLine="720"/>
        <w:jc w:val="both"/>
      </w:pPr>
      <w:r>
        <w:rPr>
          <w:rFonts w:ascii="Times New Roman" w:hAnsi="Times New Roman" w:cs="Times New Roman"/>
          <w:rFonts w:ascii="Times New Roman" w:hAnsi="Times New Roman"/>
          <w:b w:val="0"/>
          <w:i w:val="0"/>
          <w:sz w:val="24"/>
        </w:rPr>
        <w:t>The two trials reporting SOGI data were both published after 2021: one documented gender dysphoria prevalence (9.6%) and one reported transgender participants (n = 2, 0.7%). Social capital was captured indirectly through measures of social support or housing stability in two trials.</w:t>
      </w:r>
    </w:p>
    <w:p>
      <w:pPr>
        <w:spacing w:line="480" w:lineRule="auto" w:after="0" w:before="120"/>
      </w:pPr>
      <w:r>
        <w:rPr>
          <w:rFonts w:ascii="Times New Roman" w:hAnsi="Times New Roman" w:cs="Times New Roman"/>
          <w:rFonts w:ascii="Times New Roman" w:hAnsi="Times New Roman"/>
          <w:b w:val="0"/>
          <w:i/>
          <w:sz w:val="24"/>
        </w:rPr>
        <w:t>Table 2. PROGRESS-Plus variable reporting rates across 63 included trials.</w:t>
      </w:r>
    </w:p>
    <w:p>
      <w:pPr>
        <w:spacing w:line="480" w:lineRule="auto" w:after="0" w:before="120"/>
      </w:pPr>
      <w:r>
        <w:rPr>
          <w:rFonts w:ascii="Times New Roman" w:hAnsi="Times New Roman" w:cs="Times New Roman"/>
          <w:rFonts w:ascii="Times New Roman" w:hAnsi="Times New Roman"/>
          <w:b w:val="0"/>
          <w:i/>
          <w:sz w:val="24"/>
        </w:rPr>
        <w:t>Indigenous Participation</w:t>
      </w:r>
    </w:p>
    <w:p>
      <w:pPr>
        <w:spacing w:line="480" w:lineRule="auto" w:after="0" w:before="0"/>
        <w:ind w:firstLine="720"/>
        <w:jc w:val="both"/>
      </w:pPr>
      <w:r>
        <w:rPr>
          <w:rFonts w:ascii="Times New Roman" w:hAnsi="Times New Roman" w:cs="Times New Roman"/>
          <w:rFonts w:ascii="Times New Roman" w:hAnsi="Times New Roman"/>
          <w:b w:val="0"/>
          <w:i w:val="0"/>
          <w:sz w:val="24"/>
        </w:rPr>
        <w:t>Indigenous participation was documented in 11.1% (7/63) of trials. The most detailed reporting was in the OPTIMA trial,</w:t>
      </w:r>
      <w:r>
        <w:rPr>
          <w:rFonts w:ascii="Times New Roman" w:hAnsi="Times New Roman" w:cs="Times New Roman"/>
          <w:rFonts w:ascii="Times New Roman" w:hAnsi="Times New Roman"/>
          <w:b w:val="0"/>
          <w:i w:val="0"/>
          <w:sz w:val="24"/>
          <w:vertAlign w:val="superscript"/>
        </w:rPr>
        <w:t>22</w:t>
      </w:r>
      <w:r>
        <w:rPr>
          <w:rFonts w:ascii="Times New Roman" w:hAnsi="Times New Roman" w:cs="Times New Roman"/>
          <w:rFonts w:ascii="Times New Roman" w:hAnsi="Times New Roman"/>
          <w:b w:val="0"/>
          <w:i w:val="0"/>
          <w:sz w:val="24"/>
        </w:rPr>
        <w:t xml:space="preserve"> which enrolled First Nations (16.9%) and Métis (4.8%) participants at Canadian sites funded by CIHR and the Canadian Research Initiative in Substance Misuse, the only trial to name Canadian-specific Indigenous groups. The SALOME trial</w:t>
      </w:r>
      <w:r>
        <w:rPr>
          <w:rFonts w:ascii="Times New Roman" w:hAnsi="Times New Roman" w:cs="Times New Roman"/>
          <w:rFonts w:ascii="Times New Roman" w:hAnsi="Times New Roman"/>
          <w:b w:val="0"/>
          <w:i w:val="0"/>
          <w:sz w:val="24"/>
          <w:vertAlign w:val="superscript"/>
        </w:rPr>
        <w:t>23</w:t>
      </w:r>
      <w:r>
        <w:rPr>
          <w:rFonts w:ascii="Times New Roman" w:hAnsi="Times New Roman" w:cs="Times New Roman"/>
          <w:rFonts w:ascii="Times New Roman" w:hAnsi="Times New Roman"/>
          <w:b w:val="0"/>
          <w:i w:val="0"/>
          <w:sz w:val="24"/>
        </w:rPr>
        <w:t xml:space="preserve"> reported approximately 30% Aboriginal ancestry participants recruited from Vancouver's Downtown Eastside. The remaining five trials with documented Indigenous participation used non-specific or US-context labels (e.g., "Aboriginal," "American Indian/Alaska Native") with small absolute numbers (n = 2 to 6 per study).</w:t>
      </w:r>
    </w:p>
    <w:p>
      <w:pPr>
        <w:spacing w:line="480" w:lineRule="auto" w:after="0" w:before="0"/>
        <w:ind w:firstLine="720"/>
        <w:jc w:val="both"/>
      </w:pPr>
      <w:r>
        <w:rPr>
          <w:rFonts w:ascii="Times New Roman" w:hAnsi="Times New Roman" w:cs="Times New Roman"/>
          <w:rFonts w:ascii="Times New Roman" w:hAnsi="Times New Roman"/>
          <w:b w:val="0"/>
          <w:i w:val="0"/>
          <w:sz w:val="24"/>
        </w:rPr>
        <w:t>No trial (0/63) referenced OCAP principles (Ownership, Control, Access, Possession), described Indigenous community partnership in research governance, reported outcomes separately for Indigenous participants, or was designed specifically with or for Indigenous communities. The Indigenous data sovereignty score was 0 for all 63 studies. This finding is particularly concerning for CIHR-funded trials involving Indigenous participants, given TCPS2 Chapter 9 requirements for community engagement.</w:t>
      </w:r>
    </w:p>
    <w:p>
      <w:pPr>
        <w:spacing w:line="480" w:lineRule="auto" w:after="0" w:before="120"/>
      </w:pPr>
      <w:r>
        <w:rPr>
          <w:rFonts w:ascii="Times New Roman" w:hAnsi="Times New Roman" w:cs="Times New Roman"/>
          <w:rFonts w:ascii="Times New Roman" w:hAnsi="Times New Roman"/>
          <w:b w:val="0"/>
          <w:i/>
          <w:sz w:val="24"/>
        </w:rPr>
        <w:t>CONSORT-Equity Compliance</w:t>
      </w:r>
    </w:p>
    <w:p>
      <w:pPr>
        <w:spacing w:line="480" w:lineRule="auto" w:after="0" w:before="0"/>
        <w:ind w:firstLine="720"/>
        <w:jc w:val="both"/>
      </w:pPr>
      <w:r>
        <w:rPr>
          <w:rFonts w:ascii="Times New Roman" w:hAnsi="Times New Roman" w:cs="Times New Roman"/>
          <w:rFonts w:ascii="Times New Roman" w:hAnsi="Times New Roman"/>
          <w:b w:val="0"/>
          <w:i w:val="0"/>
          <w:sz w:val="24"/>
        </w:rPr>
        <w:t>No trial achieved full CONSORT-Equity compliance (0/63). Partial compliance, defined as reporting equity-relevant baseline characteristics without equity-focused subgroup analyses or explicitly referencing equity frameworks, was observed in 27.0% (17/63). The majority (73.0%; 46/63) demonstrated no CONSORT-Equity compliance. This finding aligns with international data showing low awareness and adoption of equity-focused reporting guidelines in RCTs.</w:t>
      </w:r>
    </w:p>
    <w:p>
      <w:pPr>
        <w:spacing w:line="480" w:lineRule="auto" w:after="0" w:before="120"/>
      </w:pPr>
      <w:r>
        <w:rPr>
          <w:rFonts w:ascii="Times New Roman" w:hAnsi="Times New Roman" w:cs="Times New Roman"/>
          <w:rFonts w:ascii="Times New Roman" w:hAnsi="Times New Roman"/>
          <w:b w:val="0"/>
          <w:i/>
          <w:sz w:val="24"/>
        </w:rPr>
        <w:t>Funder Patterns</w:t>
      </w:r>
    </w:p>
    <w:p>
      <w:pPr>
        <w:spacing w:line="480" w:lineRule="auto" w:after="0" w:before="0"/>
        <w:ind w:firstLine="720"/>
        <w:jc w:val="both"/>
      </w:pPr>
      <w:r>
        <w:rPr>
          <w:rFonts w:ascii="Times New Roman" w:hAnsi="Times New Roman" w:cs="Times New Roman"/>
          <w:rFonts w:ascii="Times New Roman" w:hAnsi="Times New Roman"/>
          <w:b w:val="0"/>
          <w:i w:val="0"/>
          <w:sz w:val="24"/>
        </w:rPr>
        <w:t>Table 3 displays race/ethnicity reporting by funder type. Among CIHR-funded trials, 68.8% (11/16) reported race/ethnicity, but 31.3% (5/16) did not: a notable gap given CIHR's SGBA+ policy requirements. All NIH-funded trials reported race/ethnicity (100%; 7/7), consistent with the NIH inclusion mandate. Industry-funded trials showed intermediate reporting (53.8%; 7/13), and foundation-funded trials had the lowest rate (36.8%; 7/19).</w:t>
      </w:r>
    </w:p>
    <w:p>
      <w:pPr>
        <w:spacing w:line="480" w:lineRule="auto" w:after="0" w:before="0"/>
        <w:ind w:firstLine="720"/>
        <w:jc w:val="both"/>
      </w:pPr>
      <w:r>
        <w:rPr>
          <w:rFonts w:ascii="Times New Roman" w:hAnsi="Times New Roman" w:cs="Times New Roman"/>
          <w:rFonts w:ascii="Times New Roman" w:hAnsi="Times New Roman"/>
          <w:b w:val="0"/>
          <w:i w:val="0"/>
          <w:sz w:val="24"/>
        </w:rPr>
        <w:t>The higher race/ethnicity reporting rate in NIH-funded trials likely reflects the longstanding NIH Revitalization Act requirements, which have no direct Canadian equivalent. That nearly one-third of CIHR-funded trials omitted race/ethnicity data suggests that SGBA+ requirements have not yet been operationalized at the trial reporting level.</w:t>
      </w:r>
    </w:p>
    <w:p>
      <w:pPr>
        <w:spacing w:line="480" w:lineRule="auto" w:after="0" w:before="120"/>
      </w:pPr>
      <w:r>
        <w:rPr>
          <w:rFonts w:ascii="Times New Roman" w:hAnsi="Times New Roman" w:cs="Times New Roman"/>
          <w:rFonts w:ascii="Times New Roman" w:hAnsi="Times New Roman"/>
          <w:b w:val="0"/>
          <w:i/>
          <w:sz w:val="24"/>
        </w:rPr>
        <w:t>Table 3. Race/ethnicity reporting by funder type.</w:t>
      </w:r>
    </w:p>
    <w:p>
      <w:pPr>
        <w:spacing w:line="480" w:lineRule="auto" w:after="0" w:before="120"/>
      </w:pPr>
      <w:r>
        <w:rPr>
          <w:rFonts w:ascii="Times New Roman" w:hAnsi="Times New Roman" w:cs="Times New Roman"/>
          <w:rFonts w:ascii="Times New Roman" w:hAnsi="Times New Roman"/>
          <w:b w:val="0"/>
          <w:i/>
          <w:sz w:val="24"/>
        </w:rPr>
        <w:t>Trial-Level Factors Associated with Race/Ethnicity Reporting</w:t>
      </w:r>
    </w:p>
    <w:p>
      <w:pPr>
        <w:spacing w:line="480" w:lineRule="auto" w:after="0" w:before="0"/>
        <w:ind w:firstLine="720"/>
        <w:jc w:val="both"/>
      </w:pPr>
      <w:r>
        <w:rPr>
          <w:rFonts w:ascii="Times New Roman" w:hAnsi="Times New Roman" w:cs="Times New Roman"/>
          <w:rFonts w:ascii="Times New Roman" w:hAnsi="Times New Roman"/>
          <w:b w:val="0"/>
          <w:i w:val="0"/>
          <w:sz w:val="24"/>
        </w:rPr>
        <w:t>Several trial-level characteristics were associated with race/ethnicity reporting. Trials with international sites were significantly more likely to report race/ethnicity than all-Canadian trials (80.8%, 21/26 vs. 40.5%, 15/37; Fisher's exact test p = 0.002). Multisite trials also reported race more frequently than single-site trials (68.4%, 26/38 vs. 40.0%, 10/25; p = 0.038). Trials reporting race/ethnicity had larger sample sizes (median 90, range 25 to 785) than non-reporters (median 39, range 6 to 737; Mann-Whitney U = 682, p = 0.007). By disorder category, substance use trials had the highest race reporting rate (77.8%, 7/9), while anxiety/trauma/OCD trials had the lowest (0%, 0/3), though subgroup sizes were small. These analyses were exploratory and not corrected for multiple comparisons; they should be interpreted as hypothesis-generating rather than confirmatory.</w:t>
      </w:r>
    </w:p>
    <w:p>
      <w:pPr>
        <w:spacing w:line="480" w:lineRule="auto" w:after="0" w:before="120"/>
      </w:pPr>
      <w:r>
        <w:rPr>
          <w:rFonts w:ascii="Times New Roman" w:hAnsi="Times New Roman" w:cs="Times New Roman"/>
          <w:rFonts w:ascii="Times New Roman" w:hAnsi="Times New Roman"/>
          <w:b w:val="0"/>
          <w:i/>
          <w:sz w:val="24"/>
        </w:rPr>
        <w:t>Temporal Patterns</w:t>
      </w:r>
    </w:p>
    <w:p>
      <w:pPr>
        <w:spacing w:line="480" w:lineRule="auto" w:after="0" w:before="0"/>
        <w:ind w:firstLine="720"/>
        <w:jc w:val="both"/>
      </w:pPr>
      <w:r>
        <w:rPr>
          <w:rFonts w:ascii="Times New Roman" w:hAnsi="Times New Roman" w:cs="Times New Roman"/>
          <w:rFonts w:ascii="Times New Roman" w:hAnsi="Times New Roman"/>
          <w:b w:val="0"/>
          <w:i w:val="0"/>
          <w:sz w:val="24"/>
        </w:rPr>
        <w:t>Temporal trends showed improvement in EDIA reporting after 2020 (Supplementary Figure S1). Among pre-2020 trials (2013 to 2019; n = 26), race/ethnicity reporting was 46.2% (12/26), compared with 64.9% (24/37) in post-2020 trials (2020 to 2026), an 18.7 percentage-point increase, though this difference did not reach statistical significance (Fisher's exact test p = 0.20). The sex/gender distinction emerged exclusively in post-2022 publications (4/4 studies published 2022 to 2025), suggesting a delayed but potentially accelerating response to CIHR SGBA+ implementation.</w:t>
      </w:r>
    </w:p>
    <w:p>
      <w:pPr>
        <w:spacing w:line="480" w:lineRule="auto" w:after="0" w:before="0"/>
      </w:pPr>
      <w:r>
        <w:rPr>
          <w:rFonts w:ascii="Times New Roman" w:hAnsi="Times New Roman" w:cs="Times New Roman"/>
          <w:rFonts w:ascii="Times New Roman" w:hAnsi="Times New Roman"/>
          <w:b w:val="0"/>
          <w:i w:val="0"/>
          <w:sz w:val="24"/>
        </w:rPr>
      </w:r>
    </w:p>
    <w:p>
      <w:pPr>
        <w:spacing w:line="480" w:lineRule="auto" w:after="0" w:before="0"/>
      </w:pPr>
      <w:r>
        <w:rPr>
          <w:rFonts w:ascii="Times New Roman" w:hAnsi="Times New Roman" w:cs="Times New Roman"/>
          <w:rFonts w:ascii="Times New Roman" w:hAnsi="Times New Roman"/>
          <w:b/>
          <w:i w:val="0"/>
          <w:sz w:val="24"/>
        </w:rPr>
        <w:t>DISCUSSION</w:t>
      </w:r>
    </w:p>
    <w:p>
      <w:pPr>
        <w:spacing w:line="480" w:lineRule="auto" w:after="0" w:before="120"/>
      </w:pPr>
      <w:r>
        <w:rPr>
          <w:rFonts w:ascii="Times New Roman" w:hAnsi="Times New Roman" w:cs="Times New Roman"/>
          <w:rFonts w:ascii="Times New Roman" w:hAnsi="Times New Roman"/>
          <w:b w:val="0"/>
          <w:i/>
          <w:sz w:val="24"/>
        </w:rPr>
        <w:t>Summary of Evidence</w:t>
      </w:r>
    </w:p>
    <w:p>
      <w:pPr>
        <w:spacing w:line="480" w:lineRule="auto" w:after="0" w:before="0"/>
        <w:ind w:firstLine="720"/>
        <w:jc w:val="both"/>
      </w:pPr>
      <w:r>
        <w:rPr>
          <w:rFonts w:ascii="Times New Roman" w:hAnsi="Times New Roman" w:cs="Times New Roman"/>
          <w:rFonts w:ascii="Times New Roman" w:hAnsi="Times New Roman"/>
          <w:b w:val="0"/>
          <w:i w:val="0"/>
          <w:sz w:val="24"/>
        </w:rPr>
        <w:t>This scoping review provides the first systematic characterization of EDIA reporting practices in Canadian mental health pharmacotherapy RCTs using the PROGRESS-Plus framework. Among 63 included trials enrolling 8,837 participants, we found substantial and pervasive gaps across nearly all equity dimensions. Race/ethnicity, the primary outcome, was unreported in 42.9% of trials, and when reported, classification was predominantly non-standardized (50.0% unstated framework) and coarse-grained (61.1% coarse granularity). Sex and gender were conflated in 93.7% of trials. Religion, SOGI, and intersectional analysis were effectively absent (0%, 3.2%, and 0%, respectively). Indigenous data sovereignty protections were completely lacking despite documented Indigenous participation in 11.1% of trials. No trial achieved full CONSORT-Equity compliance.</w:t>
      </w:r>
    </w:p>
    <w:p>
      <w:pPr>
        <w:spacing w:line="480" w:lineRule="auto" w:after="0" w:before="0"/>
        <w:ind w:firstLine="720"/>
        <w:jc w:val="both"/>
      </w:pPr>
      <w:r>
        <w:rPr>
          <w:rFonts w:ascii="Times New Roman" w:hAnsi="Times New Roman" w:cs="Times New Roman"/>
          <w:rFonts w:ascii="Times New Roman" w:hAnsi="Times New Roman"/>
          <w:b w:val="0"/>
          <w:i w:val="0"/>
          <w:sz w:val="24"/>
        </w:rPr>
        <w:t>These findings indicate that Canada's equity-oriented research policies, including CIHR SGBA+ (2019), TCPS2 Chapter 9 (2018), and the Tri-Agency EDI Action Plan (2018), have not yet substantively translated into improved EDIA reporting in mental health pharmacotherapy trials.</w:t>
      </w:r>
    </w:p>
    <w:p>
      <w:pPr>
        <w:spacing w:line="480" w:lineRule="auto" w:after="0" w:before="120"/>
      </w:pPr>
      <w:r>
        <w:rPr>
          <w:rFonts w:ascii="Times New Roman" w:hAnsi="Times New Roman" w:cs="Times New Roman"/>
          <w:rFonts w:ascii="Times New Roman" w:hAnsi="Times New Roman"/>
          <w:b w:val="0"/>
          <w:i/>
          <w:sz w:val="24"/>
        </w:rPr>
        <w:t>Comparison with Existing Literature</w:t>
      </w:r>
    </w:p>
    <w:p>
      <w:pPr>
        <w:spacing w:line="480" w:lineRule="auto" w:after="0" w:before="0"/>
        <w:ind w:firstLine="720"/>
        <w:jc w:val="both"/>
      </w:pPr>
      <w:r>
        <w:rPr>
          <w:rFonts w:ascii="Times New Roman" w:hAnsi="Times New Roman" w:cs="Times New Roman"/>
          <w:rFonts w:ascii="Times New Roman" w:hAnsi="Times New Roman"/>
          <w:b w:val="0"/>
          <w:i w:val="0"/>
          <w:sz w:val="24"/>
        </w:rPr>
        <w:t>Our finding of 57.1% race/ethnicity reporting in Canadian trials contrasts unfavorably with US estimates. Following the NIH Revitalization Act and subsequent reporting mandates, race/ethnicity reporting in US clinical trials has reached approximately 80%.</w:t>
      </w:r>
      <w:r>
        <w:rPr>
          <w:rFonts w:ascii="Times New Roman" w:hAnsi="Times New Roman" w:cs="Times New Roman"/>
          <w:rFonts w:ascii="Times New Roman" w:hAnsi="Times New Roman"/>
          <w:b w:val="0"/>
          <w:i w:val="0"/>
          <w:sz w:val="24"/>
          <w:vertAlign w:val="superscript"/>
        </w:rPr>
        <w:t>4,5</w:t>
      </w:r>
      <w:r>
        <w:rPr>
          <w:rFonts w:ascii="Times New Roman" w:hAnsi="Times New Roman" w:cs="Times New Roman"/>
          <w:rFonts w:ascii="Times New Roman" w:hAnsi="Times New Roman"/>
          <w:b w:val="0"/>
          <w:i w:val="0"/>
          <w:sz w:val="24"/>
        </w:rPr>
        <w:t xml:space="preserve"> Turner et al. examined over 20,000 US clinical trials registered on ClinicalTrials.gov and found that 82.8% reported race/ethnicity data, with reporting rates increasing over time in response to policy requirements.</w:t>
      </w:r>
      <w:r>
        <w:rPr>
          <w:rFonts w:ascii="Times New Roman" w:hAnsi="Times New Roman" w:cs="Times New Roman"/>
          <w:rFonts w:ascii="Times New Roman" w:hAnsi="Times New Roman"/>
          <w:b w:val="0"/>
          <w:i w:val="0"/>
          <w:sz w:val="24"/>
          <w:vertAlign w:val="superscript"/>
        </w:rPr>
        <w:t>5</w:t>
      </w:r>
      <w:r>
        <w:rPr>
          <w:rFonts w:ascii="Times New Roman" w:hAnsi="Times New Roman" w:cs="Times New Roman"/>
          <w:rFonts w:ascii="Times New Roman" w:hAnsi="Times New Roman"/>
          <w:b w:val="0"/>
          <w:i w:val="0"/>
          <w:sz w:val="24"/>
        </w:rPr>
        <w:t xml:space="preserve"> Oh et al. similarly found that race/ethnicity reporting increased significantly in US trials after federal mandates but remained inconsistent in non-federally funded research.</w:t>
      </w:r>
      <w:r>
        <w:rPr>
          <w:rFonts w:ascii="Times New Roman" w:hAnsi="Times New Roman" w:cs="Times New Roman"/>
          <w:rFonts w:ascii="Times New Roman" w:hAnsi="Times New Roman"/>
          <w:b w:val="0"/>
          <w:i w:val="0"/>
          <w:sz w:val="24"/>
          <w:vertAlign w:val="superscript"/>
        </w:rPr>
        <w:t>4</w:t>
      </w:r>
      <w:r>
        <w:rPr>
          <w:rFonts w:ascii="Times New Roman" w:hAnsi="Times New Roman" w:cs="Times New Roman"/>
          <w:rFonts w:ascii="Times New Roman" w:hAnsi="Times New Roman"/>
          <w:b w:val="0"/>
          <w:i w:val="0"/>
          <w:sz w:val="24"/>
        </w:rPr>
        <w:t xml:space="preserve"> Canada lacks an equivalent mandatory reporting requirement, and our data suggest this policy gap translates directly to lower reporting rates.</w:t>
      </w:r>
    </w:p>
    <w:p>
      <w:pPr>
        <w:spacing w:line="480" w:lineRule="auto" w:after="0" w:before="0"/>
        <w:ind w:firstLine="720"/>
        <w:jc w:val="both"/>
      </w:pPr>
      <w:r>
        <w:rPr>
          <w:rFonts w:ascii="Times New Roman" w:hAnsi="Times New Roman" w:cs="Times New Roman"/>
          <w:rFonts w:ascii="Times New Roman" w:hAnsi="Times New Roman"/>
          <w:b w:val="0"/>
          <w:i w:val="0"/>
          <w:sz w:val="24"/>
        </w:rPr>
        <w:t>The heterogeneity of race/ethnicity classification frameworks in our sample (with 50.0% not stating any framework, 27.8% using US-derived categories, and only 2.8% using Canadian Census visible minority categories) mirrors the broader lack of standardization in international clinical research. This heterogeneity precluded meaningful benchmarking against Statistics Canada 2021 Census data, as most reporting trials used categories that were not directly comparable to the visible minority taxonomy. The predominance of US-derived frameworks (e.g., NIH/OMB categories) in Canadian-context trials raises questions about the validity of these classifications for the Canadian population and the influence of international collaborations on demographic data collection.</w:t>
      </w:r>
    </w:p>
    <w:p>
      <w:pPr>
        <w:spacing w:line="480" w:lineRule="auto" w:after="0" w:before="0"/>
        <w:ind w:firstLine="720"/>
        <w:jc w:val="both"/>
      </w:pPr>
      <w:r>
        <w:rPr>
          <w:rFonts w:ascii="Times New Roman" w:hAnsi="Times New Roman" w:cs="Times New Roman"/>
          <w:rFonts w:ascii="Times New Roman" w:hAnsi="Times New Roman"/>
          <w:b w:val="0"/>
          <w:i w:val="0"/>
          <w:sz w:val="24"/>
        </w:rPr>
        <w:t>The association between international collaboration and higher race/ethnicity reporting (80.8% vs. 40.5%; p = 0.002) likely reflects the influence of NIH inclusion requirements on multinational trials: when a US site is involved, NIH-mandated demographic collection extends to the entire trial. Similarly, larger and multisite trials may have more standardized data collection infrastructure. These findings suggest that Canadian-only trials, particularly smaller single-site studies, are where the reporting gap is most acute and where targeted policy interventions would have the greatest impact.</w:t>
      </w:r>
    </w:p>
    <w:p>
      <w:pPr>
        <w:spacing w:line="480" w:lineRule="auto" w:after="0" w:before="0"/>
        <w:ind w:firstLine="720"/>
        <w:jc w:val="both"/>
      </w:pPr>
      <w:r>
        <w:rPr>
          <w:rFonts w:ascii="Times New Roman" w:hAnsi="Times New Roman" w:cs="Times New Roman"/>
          <w:rFonts w:ascii="Times New Roman" w:hAnsi="Times New Roman"/>
          <w:b w:val="0"/>
          <w:i w:val="0"/>
          <w:sz w:val="24"/>
        </w:rPr>
        <w:t>The 0% intersectional analysis finding is consistent with international data. Intersectional approaches, which examine how multiple social identities interact to shape health outcomes, remain rare in clinical trials globally despite growing recognition of their importance.</w:t>
      </w:r>
      <w:r>
        <w:rPr>
          <w:rFonts w:ascii="Times New Roman" w:hAnsi="Times New Roman" w:cs="Times New Roman"/>
          <w:rFonts w:ascii="Times New Roman" w:hAnsi="Times New Roman"/>
          <w:b w:val="0"/>
          <w:i w:val="0"/>
          <w:sz w:val="24"/>
          <w:vertAlign w:val="superscript"/>
        </w:rPr>
        <w:t>24</w:t>
      </w:r>
      <w:r>
        <w:rPr>
          <w:rFonts w:ascii="Times New Roman" w:hAnsi="Times New Roman" w:cs="Times New Roman"/>
          <w:rFonts w:ascii="Times New Roman" w:hAnsi="Times New Roman"/>
          <w:b w:val="0"/>
          <w:i w:val="0"/>
          <w:sz w:val="24"/>
        </w:rPr>
        <w:t xml:space="preserve"> The complete absence in our sample reflects both the methodological complexity of intersectional approaches in adequately powered RCTs and the lack of policy incentives to implement them in Canadian research.</w:t>
      </w:r>
    </w:p>
    <w:p>
      <w:pPr>
        <w:spacing w:line="480" w:lineRule="auto" w:after="0" w:before="0"/>
        <w:ind w:firstLine="720"/>
        <w:jc w:val="both"/>
      </w:pPr>
      <w:r>
        <w:rPr>
          <w:rFonts w:ascii="Times New Roman" w:hAnsi="Times New Roman" w:cs="Times New Roman"/>
          <w:rFonts w:ascii="Times New Roman" w:hAnsi="Times New Roman"/>
          <w:b w:val="0"/>
          <w:i w:val="0"/>
          <w:sz w:val="24"/>
        </w:rPr>
        <w:t>The complete absence of religion reporting (0/63) is striking given the well-documented relevance of religious and spiritual beliefs to mental health treatment engagement, medication adherence, and attitudes toward psychiatry.</w:t>
      </w:r>
      <w:r>
        <w:rPr>
          <w:rFonts w:ascii="Times New Roman" w:hAnsi="Times New Roman" w:cs="Times New Roman"/>
          <w:rFonts w:ascii="Times New Roman" w:hAnsi="Times New Roman"/>
          <w:b w:val="0"/>
          <w:i w:val="0"/>
          <w:sz w:val="24"/>
          <w:vertAlign w:val="superscript"/>
        </w:rPr>
        <w:t>25</w:t>
      </w:r>
      <w:r>
        <w:rPr>
          <w:rFonts w:ascii="Times New Roman" w:hAnsi="Times New Roman" w:cs="Times New Roman"/>
          <w:rFonts w:ascii="Times New Roman" w:hAnsi="Times New Roman"/>
          <w:b w:val="0"/>
          <w:i w:val="0"/>
          <w:sz w:val="24"/>
        </w:rPr>
        <w:t xml:space="preserve"> In Canada's multicultural context, religious identity intersects with ethnocultural background in ways that shape access to and acceptance of pharmacotherapy. Similarly, occupation and employment status, reported in only 14.3% (9/63) of trials, represent a notable gap given the well-established bidirectional relationship between employment and mental health outcomes,</w:t>
      </w:r>
      <w:r>
        <w:rPr>
          <w:rFonts w:ascii="Times New Roman" w:hAnsi="Times New Roman" w:cs="Times New Roman"/>
          <w:rFonts w:ascii="Times New Roman" w:hAnsi="Times New Roman"/>
          <w:b w:val="0"/>
          <w:i w:val="0"/>
          <w:sz w:val="24"/>
          <w:vertAlign w:val="superscript"/>
        </w:rPr>
        <w:t>26</w:t>
      </w:r>
      <w:r>
        <w:rPr>
          <w:rFonts w:ascii="Times New Roman" w:hAnsi="Times New Roman" w:cs="Times New Roman"/>
          <w:rFonts w:ascii="Times New Roman" w:hAnsi="Times New Roman"/>
          <w:b w:val="0"/>
          <w:i w:val="0"/>
          <w:sz w:val="24"/>
        </w:rPr>
        <w:t xml:space="preserve"> and the relevance of occupational status to treatment adherence, functional recovery, and socioeconomic determinants of health.</w:t>
      </w:r>
    </w:p>
    <w:p>
      <w:pPr>
        <w:spacing w:line="480" w:lineRule="auto" w:after="0" w:before="0"/>
        <w:ind w:firstLine="720"/>
        <w:jc w:val="both"/>
      </w:pPr>
      <w:r>
        <w:rPr>
          <w:rFonts w:ascii="Times New Roman" w:hAnsi="Times New Roman" w:cs="Times New Roman"/>
          <w:rFonts w:ascii="Times New Roman" w:hAnsi="Times New Roman"/>
          <w:b w:val="0"/>
          <w:i w:val="0"/>
          <w:sz w:val="24"/>
        </w:rPr>
        <w:t>The 6.3% sex/gender distinction rate, while low, represents an emerging trend post-2022 that aligns with increasing attention to CIHR's SGBA+ framework. Clayton and Tannenbaum articulated the importance of reporting both sex and gender in clinical research, noting that sex influences biological mechanisms while gender shapes health behaviors and access to care.</w:t>
      </w:r>
      <w:r>
        <w:rPr>
          <w:rFonts w:ascii="Times New Roman" w:hAnsi="Times New Roman" w:cs="Times New Roman"/>
          <w:rFonts w:ascii="Times New Roman" w:hAnsi="Times New Roman"/>
          <w:b w:val="0"/>
          <w:i w:val="0"/>
          <w:sz w:val="24"/>
          <w:vertAlign w:val="superscript"/>
        </w:rPr>
        <w:t>27</w:t>
      </w:r>
      <w:r>
        <w:rPr>
          <w:rFonts w:ascii="Times New Roman" w:hAnsi="Times New Roman" w:cs="Times New Roman"/>
          <w:rFonts w:ascii="Times New Roman" w:hAnsi="Times New Roman"/>
          <w:b w:val="0"/>
          <w:i w:val="0"/>
          <w:sz w:val="24"/>
        </w:rPr>
        <w:t xml:space="preserve"> That only four trials in our sample implemented this distinction, all published between 2022 and 2025, suggests that the scientific community is beginning to respond, but progress is slow.</w:t>
      </w:r>
    </w:p>
    <w:p>
      <w:pPr>
        <w:spacing w:line="480" w:lineRule="auto" w:after="0" w:before="120"/>
      </w:pPr>
      <w:r>
        <w:rPr>
          <w:rFonts w:ascii="Times New Roman" w:hAnsi="Times New Roman" w:cs="Times New Roman"/>
          <w:rFonts w:ascii="Times New Roman" w:hAnsi="Times New Roman"/>
          <w:b w:val="0"/>
          <w:i/>
          <w:sz w:val="24"/>
        </w:rPr>
        <w:t>Canadian Policy Implications</w:t>
      </w:r>
    </w:p>
    <w:p>
      <w:pPr>
        <w:spacing w:line="480" w:lineRule="auto" w:after="0" w:before="0"/>
        <w:ind w:firstLine="720"/>
        <w:jc w:val="both"/>
      </w:pPr>
      <w:r>
        <w:rPr>
          <w:rFonts w:ascii="Times New Roman" w:hAnsi="Times New Roman" w:cs="Times New Roman"/>
          <w:rFonts w:ascii="Times New Roman" w:hAnsi="Times New Roman"/>
          <w:b w:val="0"/>
          <w:i w:val="0"/>
          <w:sz w:val="24"/>
        </w:rPr>
        <w:t>Our findings highlight a gap between Canadian equity policy aspirations and trial-level practice. Three specific policy disconnects merit attention.</w:t>
      </w:r>
    </w:p>
    <w:p>
      <w:pPr>
        <w:spacing w:line="480" w:lineRule="auto" w:after="0" w:before="0"/>
        <w:ind w:firstLine="720"/>
        <w:jc w:val="both"/>
      </w:pPr>
      <w:r>
        <w:rPr>
          <w:rFonts w:ascii="Times New Roman" w:hAnsi="Times New Roman" w:cs="Times New Roman"/>
          <w:rFonts w:ascii="Times New Roman" w:hAnsi="Times New Roman"/>
          <w:b w:val="0"/>
          <w:i w:val="0"/>
          <w:sz w:val="24"/>
        </w:rPr>
        <w:t>First, CIHR SGBA+ requirements, introduced in 2019, mandate that applicants articulate how sex, gender, and other identity factors will be integrated into research.</w:t>
      </w:r>
      <w:r>
        <w:rPr>
          <w:rFonts w:ascii="Times New Roman" w:hAnsi="Times New Roman" w:cs="Times New Roman"/>
          <w:rFonts w:ascii="Times New Roman" w:hAnsi="Times New Roman"/>
          <w:b w:val="0"/>
          <w:i w:val="0"/>
          <w:sz w:val="24"/>
          <w:vertAlign w:val="superscript"/>
        </w:rPr>
        <w:t>6</w:t>
      </w:r>
      <w:r>
        <w:rPr>
          <w:rFonts w:ascii="Times New Roman" w:hAnsi="Times New Roman" w:cs="Times New Roman"/>
          <w:rFonts w:ascii="Times New Roman" w:hAnsi="Times New Roman"/>
          <w:b w:val="0"/>
          <w:i w:val="0"/>
          <w:sz w:val="24"/>
        </w:rPr>
        <w:t xml:space="preserve"> However, 31.3% of CIHR-funded trials in our sample did not report race/ethnicity, and 93.7% of all trials failed to distinguish sex from gender. SGBA+ appears to function primarily as a grant application requirement rather than a data reporting standard; a compliance gap that could be addressed by requiring PROGRESS-Plus minimum reporting as a condition of final grant reporting.</w:t>
      </w:r>
      <w:r>
        <w:rPr>
          <w:rFonts w:ascii="Times New Roman" w:hAnsi="Times New Roman" w:cs="Times New Roman"/>
          <w:rFonts w:ascii="Times New Roman" w:hAnsi="Times New Roman"/>
          <w:b w:val="0"/>
          <w:i w:val="0"/>
          <w:sz w:val="24"/>
          <w:vertAlign w:val="superscript"/>
        </w:rPr>
        <w:t>9</w:t>
      </w:r>
    </w:p>
    <w:p>
      <w:pPr>
        <w:spacing w:line="480" w:lineRule="auto" w:after="0" w:before="0"/>
        <w:ind w:firstLine="720"/>
        <w:jc w:val="both"/>
      </w:pPr>
      <w:r>
        <w:rPr>
          <w:rFonts w:ascii="Times New Roman" w:hAnsi="Times New Roman" w:cs="Times New Roman"/>
          <w:rFonts w:ascii="Times New Roman" w:hAnsi="Times New Roman"/>
          <w:b w:val="0"/>
          <w:i w:val="0"/>
          <w:sz w:val="24"/>
        </w:rPr>
        <w:t>Second, TCPS2 Chapter 9 establishes ethical obligations for research involving First Nations, Inuit, and Métis peoples, including community engagement and culturally appropriate data governance.</w:t>
      </w:r>
      <w:r>
        <w:rPr>
          <w:rFonts w:ascii="Times New Roman" w:hAnsi="Times New Roman" w:cs="Times New Roman"/>
          <w:rFonts w:ascii="Times New Roman" w:hAnsi="Times New Roman"/>
          <w:b w:val="0"/>
          <w:i w:val="0"/>
          <w:sz w:val="24"/>
          <w:vertAlign w:val="superscript"/>
        </w:rPr>
        <w:t>7</w:t>
      </w:r>
      <w:r>
        <w:rPr>
          <w:rFonts w:ascii="Times New Roman" w:hAnsi="Times New Roman" w:cs="Times New Roman"/>
          <w:rFonts w:ascii="Times New Roman" w:hAnsi="Times New Roman"/>
          <w:b w:val="0"/>
          <w:i w:val="0"/>
          <w:sz w:val="24"/>
        </w:rPr>
        <w:t xml:space="preserve"> Yet no trial in our sample, including those with substantial Indigenous participation, referenced OCAP principles or described Indigenous governance structures. This represents not merely a reporting gap but an ethical gap in the conduct of CIHR-funded research involving Indigenous peoples.</w:t>
      </w:r>
    </w:p>
    <w:p>
      <w:pPr>
        <w:spacing w:line="480" w:lineRule="auto" w:after="0" w:before="0"/>
        <w:ind w:firstLine="720"/>
        <w:jc w:val="both"/>
      </w:pPr>
      <w:r>
        <w:rPr>
          <w:rFonts w:ascii="Times New Roman" w:hAnsi="Times New Roman" w:cs="Times New Roman"/>
          <w:rFonts w:ascii="Times New Roman" w:hAnsi="Times New Roman"/>
          <w:b w:val="0"/>
          <w:i w:val="0"/>
          <w:sz w:val="24"/>
        </w:rPr>
        <w:t>Third, Canadian trial registries (ClinicalTrials.gov entries for Canadian trials and the now-retired ISRCTN registrations) do not require demographic data fields beyond sex. Adding structured PROGRESS-Plus fields to trial registration could normalize equity-relevant reporting from the protocol stage onward, similar to the prospective demographic collection requirements imposed by the NIH for US-registered trials.</w:t>
      </w:r>
    </w:p>
    <w:p>
      <w:pPr>
        <w:spacing w:line="480" w:lineRule="auto" w:after="0" w:before="0"/>
        <w:ind w:firstLine="720"/>
        <w:jc w:val="both"/>
      </w:pPr>
      <w:r>
        <w:rPr>
          <w:rFonts w:ascii="Times New Roman" w:hAnsi="Times New Roman" w:cs="Times New Roman"/>
          <w:rFonts w:ascii="Times New Roman" w:hAnsi="Times New Roman"/>
          <w:b w:val="0"/>
          <w:i w:val="0"/>
          <w:sz w:val="24"/>
        </w:rPr>
        <w:t>We recommend that CIHR mandate PROGRESS-Plus minimum reporting standards for all funded trials, aligning with Canada's stated commitment to equity in health research. Such a mandate would parallel the NIH model while incorporating Canada-specific dimensions including Indigenous data sovereignty. This recommendation aligns with the Truth and Reconciliation Commission's Call to Action 19, which calls for addressing the "distinct health needs of the Métis, Inuit, and off-reserve Aboriginal peoples," a goal that requires, at minimum, the systematic collection and reporting of Indigenous identity data in clinical research.</w:t>
      </w:r>
      <w:r>
        <w:rPr>
          <w:rFonts w:ascii="Times New Roman" w:hAnsi="Times New Roman" w:cs="Times New Roman"/>
          <w:rFonts w:ascii="Times New Roman" w:hAnsi="Times New Roman"/>
          <w:b w:val="0"/>
          <w:i w:val="0"/>
          <w:sz w:val="24"/>
          <w:vertAlign w:val="superscript"/>
        </w:rPr>
        <w:t>28</w:t>
      </w:r>
    </w:p>
    <w:p>
      <w:pPr>
        <w:spacing w:line="480" w:lineRule="auto" w:after="0" w:before="120"/>
      </w:pPr>
      <w:r>
        <w:rPr>
          <w:rFonts w:ascii="Times New Roman" w:hAnsi="Times New Roman" w:cs="Times New Roman"/>
          <w:rFonts w:ascii="Times New Roman" w:hAnsi="Times New Roman"/>
          <w:b w:val="0"/>
          <w:i/>
          <w:sz w:val="24"/>
        </w:rPr>
        <w:t>Sex/Gender Distinction</w:t>
      </w:r>
    </w:p>
    <w:p>
      <w:pPr>
        <w:spacing w:line="480" w:lineRule="auto" w:after="0" w:before="0"/>
        <w:ind w:firstLine="720"/>
        <w:jc w:val="both"/>
      </w:pPr>
      <w:r>
        <w:rPr>
          <w:rFonts w:ascii="Times New Roman" w:hAnsi="Times New Roman" w:cs="Times New Roman"/>
          <w:rFonts w:ascii="Times New Roman" w:hAnsi="Times New Roman"/>
          <w:b w:val="0"/>
          <w:i w:val="0"/>
          <w:sz w:val="24"/>
        </w:rPr>
        <w:t>The finding that 93.7% of trials conflated sex and gender underscores a fundamental implementation gap in CIHR SGBA+. Sex (biological attributes) and gender (socially constructed roles) have distinct relevance in pharmacotherapy research: sex influences pharmacokinetics and pharmacodynamics, while gender affects treatment-seeking behavior, adherence, and outcomes reporting.</w:t>
      </w:r>
      <w:r>
        <w:rPr>
          <w:rFonts w:ascii="Times New Roman" w:hAnsi="Times New Roman" w:cs="Times New Roman"/>
          <w:rFonts w:ascii="Times New Roman" w:hAnsi="Times New Roman"/>
          <w:b w:val="0"/>
          <w:i w:val="0"/>
          <w:sz w:val="24"/>
          <w:vertAlign w:val="superscript"/>
        </w:rPr>
        <w:t>27</w:t>
      </w:r>
      <w:r>
        <w:rPr>
          <w:rFonts w:ascii="Times New Roman" w:hAnsi="Times New Roman" w:cs="Times New Roman"/>
          <w:rFonts w:ascii="Times New Roman" w:hAnsi="Times New Roman"/>
          <w:b w:val="0"/>
          <w:i w:val="0"/>
          <w:sz w:val="24"/>
        </w:rPr>
        <w:t xml:space="preserve"> Conflating these dimensions obscures both biological and social determinants of treatment response. In psychiatry specifically, gender-related factors including socialization, help-seeking patterns, and exposure to gender-based violence shape both the epidemiology of mental illness and treatment engagement.</w:t>
      </w:r>
      <w:r>
        <w:rPr>
          <w:rFonts w:ascii="Times New Roman" w:hAnsi="Times New Roman" w:cs="Times New Roman"/>
          <w:rFonts w:ascii="Times New Roman" w:hAnsi="Times New Roman"/>
          <w:b w:val="0"/>
          <w:i w:val="0"/>
          <w:sz w:val="24"/>
          <w:vertAlign w:val="superscript"/>
        </w:rPr>
        <w:t>29</w:t>
      </w:r>
    </w:p>
    <w:p>
      <w:pPr>
        <w:spacing w:line="480" w:lineRule="auto" w:after="0" w:before="0"/>
        <w:ind w:firstLine="720"/>
        <w:jc w:val="both"/>
      </w:pPr>
      <w:r>
        <w:rPr>
          <w:rFonts w:ascii="Times New Roman" w:hAnsi="Times New Roman" w:cs="Times New Roman"/>
          <w:rFonts w:ascii="Times New Roman" w:hAnsi="Times New Roman"/>
          <w:b w:val="0"/>
          <w:i w:val="0"/>
          <w:sz w:val="24"/>
        </w:rPr>
        <w:t>The temporal clustering of all four sex/gender-distinguishing studies in 2022 to 2025 suggests that awareness is increasing, possibly reflecting the lag between SGBA+ policy introduction (2019) and its integration into research practice. Notably, race/ethnicity reporting also showed temporal improvement, increasing from 46.2% (12/26) in pre-2020 trials to 64.9% (24/37) post-2020, though this difference did not reach statistical significance (Fisher's exact test p = 0.20). Whether these trends accelerate will depend on enforcement mechanisms that extend beyond grant applications to encompass peer review standards, journal reporting requirements, and trial registration norms.</w:t>
      </w:r>
    </w:p>
    <w:p>
      <w:pPr>
        <w:spacing w:line="480" w:lineRule="auto" w:after="0" w:before="120"/>
      </w:pPr>
      <w:r>
        <w:rPr>
          <w:rFonts w:ascii="Times New Roman" w:hAnsi="Times New Roman" w:cs="Times New Roman"/>
          <w:rFonts w:ascii="Times New Roman" w:hAnsi="Times New Roman"/>
          <w:b w:val="0"/>
          <w:i/>
          <w:sz w:val="24"/>
        </w:rPr>
        <w:t>Indigenous Data Sovereignty</w:t>
      </w:r>
    </w:p>
    <w:p>
      <w:pPr>
        <w:spacing w:line="480" w:lineRule="auto" w:after="0" w:before="0"/>
        <w:ind w:firstLine="720"/>
        <w:jc w:val="both"/>
      </w:pPr>
      <w:r>
        <w:rPr>
          <w:rFonts w:ascii="Times New Roman" w:hAnsi="Times New Roman" w:cs="Times New Roman"/>
          <w:rFonts w:ascii="Times New Roman" w:hAnsi="Times New Roman"/>
          <w:b w:val="0"/>
          <w:i w:val="0"/>
          <w:sz w:val="24"/>
        </w:rPr>
        <w:t>The juxtaposition of documented Indigenous participation (11.1%) and absent data sovereignty protections (0%) represents the most ethically consequential finding of this review. Two trials illustrate the concern: the SALOME trial enrolled approximately 30% Aboriginal ancestry participants from a highly marginalized community (Vancouver's Downtown Eastside), and the OPTIMA trial included 21.7% First Nations and Métis participants across Canadian sites.</w:t>
      </w:r>
      <w:r>
        <w:rPr>
          <w:rFonts w:ascii="Times New Roman" w:hAnsi="Times New Roman" w:cs="Times New Roman"/>
          <w:rFonts w:ascii="Times New Roman" w:hAnsi="Times New Roman"/>
          <w:b w:val="0"/>
          <w:i w:val="0"/>
          <w:sz w:val="24"/>
          <w:vertAlign w:val="superscript"/>
        </w:rPr>
        <w:t>22,23</w:t>
      </w:r>
      <w:r>
        <w:rPr>
          <w:rFonts w:ascii="Times New Roman" w:hAnsi="Times New Roman" w:cs="Times New Roman"/>
          <w:rFonts w:ascii="Times New Roman" w:hAnsi="Times New Roman"/>
          <w:b w:val="0"/>
          <w:i w:val="0"/>
          <w:sz w:val="24"/>
        </w:rPr>
        <w:t xml:space="preserve"> Both were CIHR-funded. Neither described OCAP principles, community governance, or separate Indigenous outcome reporting.</w:t>
      </w:r>
    </w:p>
    <w:p>
      <w:pPr>
        <w:spacing w:line="480" w:lineRule="auto" w:after="0" w:before="0"/>
        <w:ind w:firstLine="720"/>
        <w:jc w:val="both"/>
      </w:pPr>
      <w:r>
        <w:rPr>
          <w:rFonts w:ascii="Times New Roman" w:hAnsi="Times New Roman" w:cs="Times New Roman"/>
          <w:rFonts w:ascii="Times New Roman" w:hAnsi="Times New Roman"/>
          <w:b w:val="0"/>
          <w:i w:val="0"/>
          <w:sz w:val="24"/>
        </w:rPr>
        <w:t>The First Nations Information Governance Centre (FNIGC) developed OCAP principles (Ownership, Control, Access, and Possession) to assert First Nations jurisdiction over their data.</w:t>
      </w:r>
      <w:r>
        <w:rPr>
          <w:rFonts w:ascii="Times New Roman" w:hAnsi="Times New Roman" w:cs="Times New Roman"/>
          <w:rFonts w:ascii="Times New Roman" w:hAnsi="Times New Roman"/>
          <w:b w:val="0"/>
          <w:i w:val="0"/>
          <w:sz w:val="24"/>
          <w:vertAlign w:val="superscript"/>
        </w:rPr>
        <w:t>30</w:t>
      </w:r>
      <w:r>
        <w:rPr>
          <w:rFonts w:ascii="Times New Roman" w:hAnsi="Times New Roman" w:cs="Times New Roman"/>
          <w:rFonts w:ascii="Times New Roman" w:hAnsi="Times New Roman"/>
          <w:b w:val="0"/>
          <w:i w:val="0"/>
          <w:sz w:val="24"/>
        </w:rPr>
        <w:t xml:space="preserve"> These principles are reflected in TCPS2 Chapter 9 and are endorsed by CIHR as part of ethical research conduct.</w:t>
      </w:r>
      <w:r>
        <w:rPr>
          <w:rFonts w:ascii="Times New Roman" w:hAnsi="Times New Roman" w:cs="Times New Roman"/>
          <w:rFonts w:ascii="Times New Roman" w:hAnsi="Times New Roman"/>
          <w:b w:val="0"/>
          <w:i w:val="0"/>
          <w:sz w:val="24"/>
          <w:vertAlign w:val="superscript"/>
        </w:rPr>
        <w:t>7</w:t>
      </w:r>
      <w:r>
        <w:rPr>
          <w:rFonts w:ascii="Times New Roman" w:hAnsi="Times New Roman" w:cs="Times New Roman"/>
          <w:rFonts w:ascii="Times New Roman" w:hAnsi="Times New Roman"/>
          <w:b w:val="0"/>
          <w:i w:val="0"/>
          <w:sz w:val="24"/>
        </w:rPr>
        <w:t xml:space="preserve"> Their complete absence from trials actively enrolling Indigenous participants suggests a structural disconnect between ethics policy and research practice. The Truth and Reconciliation Commission of Canada identified this disconnect as a priority, calling for measurable goals to "identify and close the gaps in health outcomes" between Indigenous and non-Indigenous Canadians.</w:t>
      </w:r>
      <w:r>
        <w:rPr>
          <w:rFonts w:ascii="Times New Roman" w:hAnsi="Times New Roman" w:cs="Times New Roman"/>
          <w:rFonts w:ascii="Times New Roman" w:hAnsi="Times New Roman"/>
          <w:b w:val="0"/>
          <w:i w:val="0"/>
          <w:sz w:val="24"/>
          <w:vertAlign w:val="superscript"/>
        </w:rPr>
        <w:t>28</w:t>
      </w:r>
    </w:p>
    <w:p>
      <w:pPr>
        <w:spacing w:line="480" w:lineRule="auto" w:after="0" w:before="0"/>
        <w:ind w:firstLine="720"/>
        <w:jc w:val="both"/>
      </w:pPr>
      <w:r>
        <w:rPr>
          <w:rFonts w:ascii="Times New Roman" w:hAnsi="Times New Roman" w:cs="Times New Roman"/>
          <w:rFonts w:ascii="Times New Roman" w:hAnsi="Times New Roman"/>
          <w:b w:val="0"/>
          <w:i w:val="0"/>
          <w:sz w:val="24"/>
        </w:rPr>
        <w:t>This is not merely a reporting gap to be addressed by improved checklists. It reflects a deeper failure to implement Indigenous self-determination principles in the design and governance of clinical research; a failure that demands engagement beyond reporting standards, including Indigenous-led research governance models and community partnership requirements. Future trials enrolling Indigenous participants should be co-designed with Indigenous communities from inception, with data governance agreements established prior to data collection.</w:t>
      </w:r>
      <w:r>
        <w:rPr>
          <w:rFonts w:ascii="Times New Roman" w:hAnsi="Times New Roman" w:cs="Times New Roman"/>
          <w:rFonts w:ascii="Times New Roman" w:hAnsi="Times New Roman"/>
          <w:b w:val="0"/>
          <w:i w:val="0"/>
          <w:sz w:val="24"/>
          <w:vertAlign w:val="superscript"/>
        </w:rPr>
        <w:t>31</w:t>
      </w:r>
    </w:p>
    <w:p>
      <w:pPr>
        <w:spacing w:line="480" w:lineRule="auto" w:after="0" w:before="120"/>
      </w:pPr>
      <w:r>
        <w:rPr>
          <w:rFonts w:ascii="Times New Roman" w:hAnsi="Times New Roman" w:cs="Times New Roman"/>
          <w:rFonts w:ascii="Times New Roman" w:hAnsi="Times New Roman"/>
          <w:b w:val="0"/>
          <w:i/>
          <w:sz w:val="24"/>
        </w:rPr>
        <w:t>Limitations</w:t>
      </w:r>
    </w:p>
    <w:p>
      <w:pPr>
        <w:spacing w:line="480" w:lineRule="auto" w:after="0" w:before="0"/>
        <w:ind w:firstLine="720"/>
        <w:jc w:val="both"/>
      </w:pPr>
      <w:r>
        <w:rPr>
          <w:rFonts w:ascii="Times New Roman" w:hAnsi="Times New Roman" w:cs="Times New Roman"/>
          <w:rFonts w:ascii="Times New Roman" w:hAnsi="Times New Roman"/>
          <w:b w:val="0"/>
          <w:i w:val="0"/>
          <w:sz w:val="24"/>
        </w:rPr>
        <w:t>Several limitations warrant consideration. First, restricting to English-language publications excluded francophone trials, potentially omitting Quebec-based research (Quebec represents approximately 23% of Canada's population). Second, our search was limited to four databases with programmatic API access, excluding PsycINFO and CINAHL; trials indexed exclusively in these databases may have been missed. Third, AI-assisted screening and extraction methods, while disclosed with reliability statistics (Cohen's κ ≥ 0.86 for extraction), represent an emerging methodology;</w:t>
      </w:r>
      <w:r>
        <w:rPr>
          <w:rFonts w:ascii="Times New Roman" w:hAnsi="Times New Roman" w:cs="Times New Roman"/>
          <w:rFonts w:ascii="Times New Roman" w:hAnsi="Times New Roman"/>
          <w:b w:val="0"/>
          <w:i w:val="0"/>
          <w:sz w:val="24"/>
          <w:vertAlign w:val="superscript"/>
        </w:rPr>
        <w:t>21</w:t>
      </w:r>
      <w:r>
        <w:rPr>
          <w:rFonts w:ascii="Times New Roman" w:hAnsi="Times New Roman" w:cs="Times New Roman"/>
          <w:rFonts w:ascii="Times New Roman" w:hAnsi="Times New Roman"/>
          <w:b w:val="0"/>
          <w:i w:val="0"/>
          <w:sz w:val="24"/>
        </w:rPr>
        <w:t xml:space="preserve"> although pilot studies have demonstrated feasibility, best practices for LLM-assisted evidence synthesis are still evolving. Fourth, this review was not prospectively registered, though full transparency was ensured through public code availability. Fifth, title/abstract screening inter-rater reliability (κ = 0.39) was fair; however, this metric is difficult to interpret given the 96% exclusion base rate, and false-negative validation identified zero missed inclusions. Sixth, temporal comparison windows were unequal (pre-2020: 7 years including one 2013 study; post-2020: approximately 6 years), and the difference in race/ethnicity reporting rates (46.2% vs. 64.9%) did not reach statistical significance (p = 0.20), limiting causal inference. Seventh, Pass 2 quality control covered four of seven codebook-specified fields; the three untested fields (Indigenous data sovereignty, SES, CONSORT-Equity compliance) have lower expected variability but were not independently verified. Eighth, our findings are specific to mental health pharmacotherapy RCTs and may not generalize to other therapeutic areas or non-pharmacological trials in Canada; no comparable Canadian-specific PROGRESS-Plus review exists for benchmarking across disciplines. Ninth, the stated objective of benchmarking reported race/ethnicity categories against Statistics Canada 2021 Census visible minority classifications was substantially precluded by the heterogeneity of classification frameworks across trials, with only one of 36 reporters using Canadian Census categories, limiting this analysis to qualitative comparison rather than the quantitative benchmarking originally envisioned.</w:t>
      </w:r>
    </w:p>
    <w:p>
      <w:pPr>
        <w:spacing w:line="480" w:lineRule="auto" w:after="0" w:before="0"/>
      </w:pPr>
      <w:r>
        <w:rPr>
          <w:rFonts w:ascii="Times New Roman" w:hAnsi="Times New Roman" w:cs="Times New Roman"/>
          <w:rFonts w:ascii="Times New Roman" w:hAnsi="Times New Roman"/>
          <w:b w:val="0"/>
          <w:i w:val="0"/>
          <w:sz w:val="24"/>
        </w:rPr>
      </w:r>
    </w:p>
    <w:p>
      <w:pPr>
        <w:spacing w:line="480" w:lineRule="auto" w:after="0" w:before="0"/>
      </w:pPr>
      <w:r>
        <w:rPr>
          <w:rFonts w:ascii="Times New Roman" w:hAnsi="Times New Roman" w:cs="Times New Roman"/>
          <w:rFonts w:ascii="Times New Roman" w:hAnsi="Times New Roman"/>
          <w:b/>
          <w:i w:val="0"/>
          <w:sz w:val="24"/>
        </w:rPr>
        <w:t>CONCLUSIONS</w:t>
      </w:r>
    </w:p>
    <w:p>
      <w:pPr>
        <w:spacing w:line="480" w:lineRule="auto" w:after="0" w:before="0"/>
        <w:ind w:firstLine="720"/>
        <w:jc w:val="both"/>
      </w:pPr>
      <w:r>
        <w:rPr>
          <w:rFonts w:ascii="Times New Roman" w:hAnsi="Times New Roman" w:cs="Times New Roman"/>
          <w:rFonts w:ascii="Times New Roman" w:hAnsi="Times New Roman"/>
          <w:b w:val="0"/>
          <w:i w:val="0"/>
          <w:sz w:val="24"/>
        </w:rPr>
        <w:t>This scoping review reveals substantial EDIA reporting gaps in Canadian mental health pharmacotherapy RCTs published between 2016 and 2026. Race/ethnicity was unreported in 42.9% of trials; when reported, classification frameworks were inconsistent and predominantly coarse. Sex and gender were conflated in the vast majority of trials. Religion, SOGI, and intersectional analysis were effectively absent from the evidence base. Most critically, Indigenous data sovereignty protections were completely lacking despite documented Indigenous participation in over one in ten trials.</w:t>
      </w:r>
    </w:p>
    <w:p>
      <w:pPr>
        <w:spacing w:line="480" w:lineRule="auto" w:after="0" w:before="0"/>
        <w:ind w:firstLine="720"/>
        <w:jc w:val="both"/>
      </w:pPr>
      <w:r>
        <w:rPr>
          <w:rFonts w:ascii="Times New Roman" w:hAnsi="Times New Roman" w:cs="Times New Roman"/>
          <w:rFonts w:ascii="Times New Roman" w:hAnsi="Times New Roman"/>
          <w:b w:val="0"/>
          <w:i w:val="0"/>
          <w:sz w:val="24"/>
        </w:rPr>
        <w:t>These findings indicate that Canada's existing equity research policies (CIHR SGBA+, TCPS2 Chapter 9, and CIHR EDI requirements) have not yet achieved their stated objectives at the level of trial reporting. We offer four specific recommendations. First, CIHR should mandate PROGRESS-Plus minimum reporting as a condition of final grant reporting for all funded trials, moving beyond the current SGBA+ framework which functions primarily at the application stage. Second, Canadian trial registries should incorporate structured PROGRESS-Plus demographic data fields, enabling prospective demographic collection from the protocol stage. Third, research involving Indigenous peoples should require documented OCAP compliance and community partnership agreements prior to ethics approval, with separate Indigenous outcome reporting as standard practice. Fourth, psychiatric journals should adopt CONSORT-Equity as a required reporting standard, with editorial checklists that prompt authors to report, or explicitly justify the omission of, equity-relevant baseline data.</w:t>
      </w:r>
    </w:p>
    <w:p>
      <w:pPr>
        <w:spacing w:line="480" w:lineRule="auto" w:after="0" w:before="0"/>
        <w:ind w:firstLine="720"/>
        <w:jc w:val="both"/>
      </w:pPr>
      <w:r>
        <w:rPr>
          <w:rFonts w:ascii="Times New Roman" w:hAnsi="Times New Roman" w:cs="Times New Roman"/>
          <w:rFonts w:ascii="Times New Roman" w:hAnsi="Times New Roman"/>
          <w:b w:val="0"/>
          <w:i w:val="0"/>
          <w:sz w:val="24"/>
        </w:rPr>
        <w:t>The finding that international collaboration and larger sample size were independently associated with race/ethnicity reporting suggests that policy interventions should specifically target the smaller, Canadian-only trials where reporting gaps are most concentrated. This pattern also underscores the influence of international research norms, particularly US NIH requirements, in driving Canadian reporting practices, even in the absence of domestic mandates.</w:t>
      </w:r>
    </w:p>
    <w:p>
      <w:pPr>
        <w:spacing w:line="480" w:lineRule="auto" w:after="0" w:before="0"/>
        <w:ind w:firstLine="720"/>
        <w:jc w:val="both"/>
      </w:pPr>
      <w:r>
        <w:rPr>
          <w:rFonts w:ascii="Times New Roman" w:hAnsi="Times New Roman" w:cs="Times New Roman"/>
          <w:rFonts w:ascii="Times New Roman" w:hAnsi="Times New Roman"/>
          <w:b w:val="0"/>
          <w:i w:val="0"/>
          <w:sz w:val="24"/>
        </w:rPr>
        <w:t>This review establishes a baseline against which future improvements in EDIA reporting can be measured. As Canada's population continues to diversify and as calls for health equity intensify, ensuring that clinical trial evidence reflects this diversity is not merely a methodological aspiration; it is an ethical obligation.</w:t>
      </w:r>
    </w:p>
    <w:p>
      <w:pPr>
        <w:spacing w:line="480" w:lineRule="auto" w:after="0" w:before="0"/>
      </w:pPr>
      <w:r>
        <w:rPr>
          <w:rFonts w:ascii="Times New Roman" w:hAnsi="Times New Roman" w:cs="Times New Roman"/>
          <w:rFonts w:ascii="Times New Roman" w:hAnsi="Times New Roman"/>
          <w:b w:val="0"/>
          <w:i w:val="0"/>
          <w:sz w:val="24"/>
        </w:rPr>
      </w:r>
    </w:p>
    <w:p>
      <w:pPr>
        <w:spacing w:line="480" w:lineRule="auto" w:after="0" w:before="0"/>
      </w:pPr>
      <w:r>
        <w:rPr>
          <w:rFonts w:ascii="Times New Roman" w:hAnsi="Times New Roman" w:cs="Times New Roman"/>
          <w:rFonts w:ascii="Times New Roman" w:hAnsi="Times New Roman"/>
          <w:b/>
          <w:i w:val="0"/>
          <w:sz w:val="24"/>
        </w:rPr>
        <w:t>TABLES</w:t>
      </w:r>
    </w:p>
    <w:p>
      <w:pPr>
        <w:spacing w:line="480" w:lineRule="auto" w:after="0" w:before="0"/>
      </w:pPr>
      <w:r>
        <w:rPr>
          <w:rFonts w:ascii="Times New Roman" w:hAnsi="Times New Roman" w:cs="Times New Roman"/>
          <w:rFonts w:ascii="Times New Roman" w:hAnsi="Times New Roman"/>
          <w:b w:val="0"/>
          <w:i w:val="0"/>
          <w:sz w:val="24"/>
        </w:rPr>
      </w:r>
    </w:p>
    <w:p>
      <w:pPr>
        <w:spacing w:line="480" w:lineRule="auto" w:after="0" w:before="120"/>
      </w:pPr>
      <w:r>
        <w:rPr>
          <w:rFonts w:ascii="Times New Roman" w:hAnsi="Times New Roman" w:cs="Times New Roman"/>
          <w:rFonts w:ascii="Times New Roman" w:hAnsi="Times New Roman"/>
          <w:b/>
          <w:i w:val="0"/>
          <w:sz w:val="24"/>
        </w:rPr>
        <w:t>Table 1. Characteristics of included trials (n = 63).</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419"/>
        <w:gridCol w:w="4419"/>
      </w:tblGrid>
      <w:tr>
        <w:tc>
          <w:tcPr>
            <w:tcW w:type="dxa" w:w="4419"/>
            <w:tcBorders>
              <w:top w:val="single" w:sz="8" w:color="000000" w:space="0"/>
              <w:bottom w:val="single" w:sz="4" w:color="000000" w:space="0"/>
            </w:tcBorders>
          </w:tcPr>
          <w:p>
            <w:pPr>
              <w:spacing w:line="240" w:lineRule="auto" w:after="40" w:before="40"/>
            </w:pPr>
            <w:r/>
            <w:r>
              <w:rPr>
                <w:rFonts w:ascii="Times New Roman" w:hAnsi="Times New Roman" w:cs="Times New Roman"/>
                <w:rFonts w:ascii="Times New Roman" w:hAnsi="Times New Roman"/>
                <w:b/>
                <w:i w:val="0"/>
                <w:sz w:val="20"/>
              </w:rPr>
              <w:t>Characteristic</w:t>
            </w:r>
          </w:p>
        </w:tc>
        <w:tc>
          <w:tcPr>
            <w:tcW w:type="dxa" w:w="4419"/>
            <w:tcBorders>
              <w:top w:val="single" w:sz="8" w:color="000000" w:space="0"/>
              <w:bottom w:val="single" w:sz="4" w:color="000000" w:space="0"/>
            </w:tcBorders>
          </w:tcPr>
          <w:p>
            <w:pPr>
              <w:spacing w:line="240" w:lineRule="auto" w:after="40" w:before="40"/>
            </w:pPr>
            <w:r/>
            <w:r>
              <w:rPr>
                <w:rFonts w:ascii="Times New Roman" w:hAnsi="Times New Roman" w:cs="Times New Roman"/>
                <w:rFonts w:ascii="Times New Roman" w:hAnsi="Times New Roman"/>
                <w:b/>
                <w:i w:val="0"/>
                <w:sz w:val="20"/>
              </w:rPr>
              <w:t>n (%)</w:t>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Total trials</w:t>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63</w:t>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Total participants, N</w:t>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8,837</w:t>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Median sample size (range)</w:t>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60 (6 to 785)</w:t>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Trial design</w:t>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 xml:space="preserve">  Parallel-group</w:t>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48 (76.2%)</w:t>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 xml:space="preserve">  Crossover</w:t>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12 (19.0%)</w:t>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 xml:space="preserve">  Other/factorial</w:t>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3 (4.8%)</w:t>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Number of sites</w:t>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 xml:space="preserve">  Single-site</w:t>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25 (39.7%)</w:t>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 xml:space="preserve">  Multisite</w:t>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38 (60.3%)</w:t>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 xml:space="preserve">  International sites included</w:t>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26 (41.3%)</w:t>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Disorder category</w:t>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 xml:space="preserve">  Depression</w:t>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16 (25.4%)</w:t>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 xml:space="preserve">  Dementia</w:t>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10 (15.9%)</w:t>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 xml:space="preserve">  Bipolar/mood disorder</w:t>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9 (14.3%)</w:t>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 xml:space="preserve">  Substance use disorder</w:t>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9 (14.3%)</w:t>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 xml:space="preserve">  Psychotic disorder</w:t>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7 (11.1%)</w:t>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 xml:space="preserve">  ADHD</w:t>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5 (7.9%)</w:t>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 xml:space="preserve">  Anxiety/trauma/OCD</w:t>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3 (4.8%)</w:t>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 xml:space="preserve">  Other</w:t>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3 (4.8%)</w:t>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 xml:space="preserve">  Eating disorder</w:t>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1 (1.6%)</w:t>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Funder type</w:t>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 xml:space="preserve">  Foundation</w:t>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19 (30.2%)</w:t>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 xml:space="preserve">  CIHR</w:t>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16 (25.4%)</w:t>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 xml:space="preserve">  Industry</w:t>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13 (20.6%)</w:t>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 xml:space="preserve">  Other government</w:t>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7 (11.1%)</w:t>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 xml:space="preserve">  NIH</w:t>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7 (11.1%)</w:t>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 xml:space="preserve">  Not reported</w:t>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1 (1.6%)</w:t>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Trial registration</w:t>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r>
          </w:p>
        </w:tc>
      </w:tr>
      <w:tr>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 xml:space="preserve">  Registered</w:t>
            </w:r>
          </w:p>
        </w:tc>
        <w:tc>
          <w:tcPr>
            <w:tcW w:type="dxa" w:w="4419"/>
            <w:tcBorders/>
          </w:tcPr>
          <w:p>
            <w:pPr>
              <w:spacing w:line="240" w:lineRule="auto" w:after="40" w:before="40"/>
            </w:pPr>
            <w:r/>
            <w:r>
              <w:rPr>
                <w:rFonts w:ascii="Times New Roman" w:hAnsi="Times New Roman" w:cs="Times New Roman"/>
                <w:rFonts w:ascii="Times New Roman" w:hAnsi="Times New Roman"/>
                <w:b w:val="0"/>
                <w:i w:val="0"/>
                <w:sz w:val="20"/>
              </w:rPr>
              <w:t>50 (79.4%)</w:t>
            </w:r>
          </w:p>
        </w:tc>
      </w:tr>
      <w:tr>
        <w:tc>
          <w:tcPr>
            <w:tcW w:type="dxa" w:w="4419"/>
            <w:tcBorders>
              <w:bottom w:val="single" w:sz="8" w:color="000000" w:space="0"/>
            </w:tcBorders>
          </w:tcPr>
          <w:p>
            <w:pPr>
              <w:spacing w:line="240" w:lineRule="auto" w:after="40" w:before="40"/>
            </w:pPr>
            <w:r/>
            <w:r>
              <w:rPr>
                <w:rFonts w:ascii="Times New Roman" w:hAnsi="Times New Roman" w:cs="Times New Roman"/>
                <w:rFonts w:ascii="Times New Roman" w:hAnsi="Times New Roman"/>
                <w:b w:val="0"/>
                <w:i w:val="0"/>
                <w:sz w:val="20"/>
              </w:rPr>
              <w:t xml:space="preserve">  Not registered/unclear</w:t>
            </w:r>
          </w:p>
        </w:tc>
        <w:tc>
          <w:tcPr>
            <w:tcW w:type="dxa" w:w="4419"/>
            <w:tcBorders>
              <w:bottom w:val="single" w:sz="8" w:color="000000" w:space="0"/>
            </w:tcBorders>
          </w:tcPr>
          <w:p>
            <w:pPr>
              <w:spacing w:line="240" w:lineRule="auto" w:after="40" w:before="40"/>
            </w:pPr>
            <w:r/>
            <w:r>
              <w:rPr>
                <w:rFonts w:ascii="Times New Roman" w:hAnsi="Times New Roman" w:cs="Times New Roman"/>
                <w:rFonts w:ascii="Times New Roman" w:hAnsi="Times New Roman"/>
                <w:b w:val="0"/>
                <w:i w:val="0"/>
                <w:sz w:val="20"/>
              </w:rPr>
              <w:t>13 (20.6%)</w:t>
            </w:r>
          </w:p>
        </w:tc>
      </w:tr>
    </w:tbl>
    <w:p>
      <w:pPr>
        <w:spacing w:line="480" w:lineRule="auto" w:after="0" w:before="0"/>
      </w:pPr>
      <w:r>
        <w:rPr>
          <w:rFonts w:ascii="Times New Roman" w:hAnsi="Times New Roman" w:cs="Times New Roman"/>
          <w:rFonts w:ascii="Times New Roman" w:hAnsi="Times New Roman"/>
          <w:b w:val="0"/>
          <w:i w:val="0"/>
          <w:sz w:val="24"/>
        </w:rPr>
      </w:r>
    </w:p>
    <w:p>
      <w:pPr>
        <w:spacing w:line="480" w:lineRule="auto" w:after="0" w:before="120"/>
      </w:pPr>
      <w:r>
        <w:rPr>
          <w:rFonts w:ascii="Times New Roman" w:hAnsi="Times New Roman" w:cs="Times New Roman"/>
          <w:rFonts w:ascii="Times New Roman" w:hAnsi="Times New Roman"/>
          <w:b/>
          <w:i w:val="0"/>
          <w:sz w:val="24"/>
        </w:rPr>
        <w:t>Table 2. PROGRESS-Plus variable reporting rates across 63 included trials.</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2946"/>
        <w:gridCol w:w="2946"/>
        <w:gridCol w:w="2946"/>
      </w:tblGrid>
      <w:tr>
        <w:tc>
          <w:tcPr>
            <w:tcW w:type="dxa" w:w="2946"/>
            <w:tcBorders>
              <w:top w:val="single" w:sz="8" w:color="000000" w:space="0"/>
              <w:bottom w:val="single" w:sz="4" w:color="000000" w:space="0"/>
            </w:tcBorders>
          </w:tcPr>
          <w:p>
            <w:pPr>
              <w:spacing w:line="240" w:lineRule="auto" w:after="40" w:before="40"/>
            </w:pPr>
            <w:r/>
            <w:r>
              <w:rPr>
                <w:rFonts w:ascii="Times New Roman" w:hAnsi="Times New Roman" w:cs="Times New Roman"/>
                <w:rFonts w:ascii="Times New Roman" w:hAnsi="Times New Roman"/>
                <w:b/>
                <w:i w:val="0"/>
                <w:sz w:val="20"/>
              </w:rPr>
              <w:t>PROGRESS-Plus Variable</w:t>
            </w:r>
          </w:p>
        </w:tc>
        <w:tc>
          <w:tcPr>
            <w:tcW w:type="dxa" w:w="2946"/>
            <w:tcBorders>
              <w:top w:val="single" w:sz="8" w:color="000000" w:space="0"/>
              <w:bottom w:val="single" w:sz="4" w:color="000000" w:space="0"/>
            </w:tcBorders>
          </w:tcPr>
          <w:p>
            <w:pPr>
              <w:spacing w:line="240" w:lineRule="auto" w:after="40" w:before="40"/>
            </w:pPr>
            <w:r/>
            <w:r>
              <w:rPr>
                <w:rFonts w:ascii="Times New Roman" w:hAnsi="Times New Roman" w:cs="Times New Roman"/>
                <w:rFonts w:ascii="Times New Roman" w:hAnsi="Times New Roman"/>
                <w:b/>
                <w:i w:val="0"/>
                <w:sz w:val="20"/>
              </w:rPr>
              <w:t>Reported, n (%)</w:t>
            </w:r>
          </w:p>
        </w:tc>
        <w:tc>
          <w:tcPr>
            <w:tcW w:type="dxa" w:w="2946"/>
            <w:tcBorders>
              <w:top w:val="single" w:sz="8" w:color="000000" w:space="0"/>
              <w:bottom w:val="single" w:sz="4" w:color="000000" w:space="0"/>
            </w:tcBorders>
          </w:tcPr>
          <w:p>
            <w:pPr>
              <w:spacing w:line="240" w:lineRule="auto" w:after="40" w:before="40"/>
            </w:pPr>
            <w:r/>
            <w:r>
              <w:rPr>
                <w:rFonts w:ascii="Times New Roman" w:hAnsi="Times New Roman" w:cs="Times New Roman"/>
                <w:rFonts w:ascii="Times New Roman" w:hAnsi="Times New Roman"/>
                <w:b/>
                <w:i w:val="0"/>
                <w:sz w:val="20"/>
              </w:rPr>
              <w:t>95% CI</w:t>
            </w:r>
          </w:p>
        </w:tc>
      </w:tr>
      <w:tr>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Age (mean/range)</w:t>
            </w:r>
          </w:p>
        </w:tc>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63 (100%)</w:t>
            </w:r>
          </w:p>
        </w:tc>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94.3 to 100%</w:t>
            </w:r>
          </w:p>
        </w:tc>
      </w:tr>
      <w:tr>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Place of residence</w:t>
            </w:r>
          </w:p>
        </w:tc>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62 (98.4%)</w:t>
            </w:r>
          </w:p>
        </w:tc>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91.5 to 99.7%</w:t>
            </w:r>
          </w:p>
        </w:tc>
      </w:tr>
      <w:tr>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Sex</w:t>
            </w:r>
          </w:p>
        </w:tc>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60 (95.2%)</w:t>
            </w:r>
          </w:p>
        </w:tc>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86.9 to 98.4%</w:t>
            </w:r>
          </w:p>
        </w:tc>
      </w:tr>
      <w:tr>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Race/ethnicity</w:t>
            </w:r>
          </w:p>
        </w:tc>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36 (57.1%)</w:t>
            </w:r>
          </w:p>
        </w:tc>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44.9 to 68.6%</w:t>
            </w:r>
          </w:p>
        </w:tc>
      </w:tr>
      <w:tr>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Disability</w:t>
            </w:r>
          </w:p>
        </w:tc>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26 (41.3%)</w:t>
            </w:r>
          </w:p>
        </w:tc>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30.0 to 53.6%</w:t>
            </w:r>
          </w:p>
        </w:tc>
      </w:tr>
      <w:tr>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Education</w:t>
            </w:r>
          </w:p>
        </w:tc>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22 (34.9%)</w:t>
            </w:r>
          </w:p>
        </w:tc>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24.3 to 47.2%</w:t>
            </w:r>
          </w:p>
        </w:tc>
      </w:tr>
      <w:tr>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SES/income</w:t>
            </w:r>
          </w:p>
        </w:tc>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18 (28.6%)</w:t>
            </w:r>
          </w:p>
        </w:tc>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18.9 to 40.7%</w:t>
            </w:r>
          </w:p>
        </w:tc>
      </w:tr>
      <w:tr>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Gender identity</w:t>
            </w:r>
          </w:p>
        </w:tc>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9 (14.3%)</w:t>
            </w:r>
          </w:p>
        </w:tc>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7.7 to 25.0%</w:t>
            </w:r>
          </w:p>
        </w:tc>
      </w:tr>
      <w:tr>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Occupation</w:t>
            </w:r>
          </w:p>
        </w:tc>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9 (14.3%)</w:t>
            </w:r>
          </w:p>
        </w:tc>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7.7 to 25.0%</w:t>
            </w:r>
          </w:p>
        </w:tc>
      </w:tr>
      <w:tr>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Sex/gender explicitly distinguished</w:t>
            </w:r>
          </w:p>
        </w:tc>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4 (6.3%)</w:t>
            </w:r>
          </w:p>
        </w:tc>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2.5 to 15.2%</w:t>
            </w:r>
          </w:p>
        </w:tc>
      </w:tr>
      <w:tr>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Social capital</w:t>
            </w:r>
          </w:p>
        </w:tc>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2 (3.2%)</w:t>
            </w:r>
          </w:p>
        </w:tc>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0.9 to 10.9%</w:t>
            </w:r>
          </w:p>
        </w:tc>
      </w:tr>
      <w:tr>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SOGI</w:t>
            </w:r>
          </w:p>
        </w:tc>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2 (3.2%)</w:t>
            </w:r>
          </w:p>
        </w:tc>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0.9 to 10.9%</w:t>
            </w:r>
          </w:p>
        </w:tc>
      </w:tr>
      <w:tr>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Religion</w:t>
            </w:r>
          </w:p>
        </w:tc>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0 (0%)</w:t>
            </w:r>
          </w:p>
        </w:tc>
        <w:tc>
          <w:tcPr>
            <w:tcW w:type="dxa" w:w="2946"/>
            <w:tcBorders/>
          </w:tcPr>
          <w:p>
            <w:pPr>
              <w:spacing w:line="240" w:lineRule="auto" w:after="40" w:before="40"/>
            </w:pPr>
            <w:r/>
            <w:r>
              <w:rPr>
                <w:rFonts w:ascii="Times New Roman" w:hAnsi="Times New Roman" w:cs="Times New Roman"/>
                <w:rFonts w:ascii="Times New Roman" w:hAnsi="Times New Roman"/>
                <w:b w:val="0"/>
                <w:i w:val="0"/>
                <w:sz w:val="20"/>
              </w:rPr>
              <w:t>0 to 5.7%</w:t>
            </w:r>
          </w:p>
        </w:tc>
      </w:tr>
      <w:tr>
        <w:tc>
          <w:tcPr>
            <w:tcW w:type="dxa" w:w="2946"/>
            <w:tcBorders>
              <w:bottom w:val="single" w:sz="8" w:color="000000" w:space="0"/>
            </w:tcBorders>
          </w:tcPr>
          <w:p>
            <w:pPr>
              <w:spacing w:line="240" w:lineRule="auto" w:after="40" w:before="40"/>
            </w:pPr>
            <w:r/>
            <w:r>
              <w:rPr>
                <w:rFonts w:ascii="Times New Roman" w:hAnsi="Times New Roman" w:cs="Times New Roman"/>
                <w:rFonts w:ascii="Times New Roman" w:hAnsi="Times New Roman"/>
                <w:b w:val="0"/>
                <w:i w:val="0"/>
                <w:sz w:val="20"/>
              </w:rPr>
              <w:t>Intersectional analysis</w:t>
            </w:r>
          </w:p>
        </w:tc>
        <w:tc>
          <w:tcPr>
            <w:tcW w:type="dxa" w:w="2946"/>
            <w:tcBorders>
              <w:bottom w:val="single" w:sz="8" w:color="000000" w:space="0"/>
            </w:tcBorders>
          </w:tcPr>
          <w:p>
            <w:pPr>
              <w:spacing w:line="240" w:lineRule="auto" w:after="40" w:before="40"/>
            </w:pPr>
            <w:r/>
            <w:r>
              <w:rPr>
                <w:rFonts w:ascii="Times New Roman" w:hAnsi="Times New Roman" w:cs="Times New Roman"/>
                <w:rFonts w:ascii="Times New Roman" w:hAnsi="Times New Roman"/>
                <w:b w:val="0"/>
                <w:i w:val="0"/>
                <w:sz w:val="20"/>
              </w:rPr>
              <w:t>0 (0%)</w:t>
            </w:r>
          </w:p>
        </w:tc>
        <w:tc>
          <w:tcPr>
            <w:tcW w:type="dxa" w:w="2946"/>
            <w:tcBorders>
              <w:bottom w:val="single" w:sz="8" w:color="000000" w:space="0"/>
            </w:tcBorders>
          </w:tcPr>
          <w:p>
            <w:pPr>
              <w:spacing w:line="240" w:lineRule="auto" w:after="40" w:before="40"/>
            </w:pPr>
            <w:r/>
            <w:r>
              <w:rPr>
                <w:rFonts w:ascii="Times New Roman" w:hAnsi="Times New Roman" w:cs="Times New Roman"/>
                <w:rFonts w:ascii="Times New Roman" w:hAnsi="Times New Roman"/>
                <w:b w:val="0"/>
                <w:i w:val="0"/>
                <w:sz w:val="20"/>
              </w:rPr>
              <w:t>0 to 5.7%</w:t>
            </w:r>
          </w:p>
        </w:tc>
      </w:tr>
    </w:tbl>
    <w:p>
      <w:pPr>
        <w:spacing w:line="480" w:lineRule="auto" w:after="0" w:before="0"/>
      </w:pPr>
      <w:r>
        <w:rPr>
          <w:rFonts w:ascii="Times New Roman" w:hAnsi="Times New Roman" w:cs="Times New Roman"/>
          <w:rFonts w:ascii="Times New Roman" w:hAnsi="Times New Roman"/>
          <w:b w:val="0"/>
          <w:i w:val="0"/>
          <w:sz w:val="24"/>
        </w:rPr>
      </w:r>
    </w:p>
    <w:p>
      <w:pPr>
        <w:spacing w:line="480" w:lineRule="auto" w:after="0" w:before="120"/>
      </w:pPr>
      <w:r>
        <w:rPr>
          <w:rFonts w:ascii="Times New Roman" w:hAnsi="Times New Roman" w:cs="Times New Roman"/>
          <w:rFonts w:ascii="Times New Roman" w:hAnsi="Times New Roman"/>
          <w:b/>
          <w:i w:val="0"/>
          <w:sz w:val="24"/>
        </w:rPr>
        <w:t>Table 3. Race/ethnicity reporting by funder type.</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2209"/>
        <w:gridCol w:w="2209"/>
        <w:gridCol w:w="2209"/>
        <w:gridCol w:w="2209"/>
      </w:tblGrid>
      <w:tr>
        <w:tc>
          <w:tcPr>
            <w:tcW w:type="dxa" w:w="2209"/>
            <w:tcBorders>
              <w:top w:val="single" w:sz="8" w:color="000000" w:space="0"/>
              <w:bottom w:val="single" w:sz="4" w:color="000000" w:space="0"/>
            </w:tcBorders>
          </w:tcPr>
          <w:p>
            <w:pPr>
              <w:spacing w:line="240" w:lineRule="auto" w:after="40" w:before="40"/>
            </w:pPr>
            <w:r/>
            <w:r>
              <w:rPr>
                <w:rFonts w:ascii="Times New Roman" w:hAnsi="Times New Roman" w:cs="Times New Roman"/>
                <w:rFonts w:ascii="Times New Roman" w:hAnsi="Times New Roman"/>
                <w:b/>
                <w:i w:val="0"/>
                <w:sz w:val="20"/>
              </w:rPr>
              <w:t>Funder</w:t>
            </w:r>
          </w:p>
        </w:tc>
        <w:tc>
          <w:tcPr>
            <w:tcW w:type="dxa" w:w="2209"/>
            <w:tcBorders>
              <w:top w:val="single" w:sz="8" w:color="000000" w:space="0"/>
              <w:bottom w:val="single" w:sz="4" w:color="000000" w:space="0"/>
            </w:tcBorders>
          </w:tcPr>
          <w:p>
            <w:pPr>
              <w:spacing w:line="240" w:lineRule="auto" w:after="40" w:before="40"/>
            </w:pPr>
            <w:r/>
            <w:r>
              <w:rPr>
                <w:rFonts w:ascii="Times New Roman" w:hAnsi="Times New Roman" w:cs="Times New Roman"/>
                <w:rFonts w:ascii="Times New Roman" w:hAnsi="Times New Roman"/>
                <w:b/>
                <w:i w:val="0"/>
                <w:sz w:val="20"/>
              </w:rPr>
              <w:t>Total trials</w:t>
            </w:r>
          </w:p>
        </w:tc>
        <w:tc>
          <w:tcPr>
            <w:tcW w:type="dxa" w:w="2209"/>
            <w:tcBorders>
              <w:top w:val="single" w:sz="8" w:color="000000" w:space="0"/>
              <w:bottom w:val="single" w:sz="4" w:color="000000" w:space="0"/>
            </w:tcBorders>
          </w:tcPr>
          <w:p>
            <w:pPr>
              <w:spacing w:line="240" w:lineRule="auto" w:after="40" w:before="40"/>
            </w:pPr>
            <w:r/>
            <w:r>
              <w:rPr>
                <w:rFonts w:ascii="Times New Roman" w:hAnsi="Times New Roman" w:cs="Times New Roman"/>
                <w:rFonts w:ascii="Times New Roman" w:hAnsi="Times New Roman"/>
                <w:b/>
                <w:i w:val="0"/>
                <w:sz w:val="20"/>
              </w:rPr>
              <w:t>Race/ethnicity reported, n (%)</w:t>
            </w:r>
          </w:p>
        </w:tc>
        <w:tc>
          <w:tcPr>
            <w:tcW w:type="dxa" w:w="2209"/>
            <w:tcBorders>
              <w:top w:val="single" w:sz="8" w:color="000000" w:space="0"/>
              <w:bottom w:val="single" w:sz="4" w:color="000000" w:space="0"/>
            </w:tcBorders>
          </w:tcPr>
          <w:p>
            <w:pPr>
              <w:spacing w:line="240" w:lineRule="auto" w:after="40" w:before="40"/>
            </w:pPr>
            <w:r/>
            <w:r>
              <w:rPr>
                <w:rFonts w:ascii="Times New Roman" w:hAnsi="Times New Roman" w:cs="Times New Roman"/>
                <w:rFonts w:ascii="Times New Roman" w:hAnsi="Times New Roman"/>
                <w:b/>
                <w:i w:val="0"/>
                <w:sz w:val="20"/>
              </w:rPr>
              <w:t>Not reported, n (%)</w:t>
            </w:r>
          </w:p>
        </w:tc>
      </w:tr>
      <w:tr>
        <w:tc>
          <w:tcPr>
            <w:tcW w:type="dxa" w:w="2209"/>
            <w:tcBorders/>
          </w:tcPr>
          <w:p>
            <w:pPr>
              <w:spacing w:line="240" w:lineRule="auto" w:after="40" w:before="40"/>
            </w:pPr>
            <w:r/>
            <w:r>
              <w:rPr>
                <w:rFonts w:ascii="Times New Roman" w:hAnsi="Times New Roman" w:cs="Times New Roman"/>
                <w:rFonts w:ascii="Times New Roman" w:hAnsi="Times New Roman"/>
                <w:b w:val="0"/>
                <w:i w:val="0"/>
                <w:sz w:val="20"/>
              </w:rPr>
              <w:t>NIH</w:t>
            </w:r>
          </w:p>
        </w:tc>
        <w:tc>
          <w:tcPr>
            <w:tcW w:type="dxa" w:w="2209"/>
            <w:tcBorders/>
          </w:tcPr>
          <w:p>
            <w:pPr>
              <w:spacing w:line="240" w:lineRule="auto" w:after="40" w:before="40"/>
            </w:pPr>
            <w:r/>
            <w:r>
              <w:rPr>
                <w:rFonts w:ascii="Times New Roman" w:hAnsi="Times New Roman" w:cs="Times New Roman"/>
                <w:rFonts w:ascii="Times New Roman" w:hAnsi="Times New Roman"/>
                <w:b w:val="0"/>
                <w:i w:val="0"/>
                <w:sz w:val="20"/>
              </w:rPr>
              <w:t>7</w:t>
            </w:r>
          </w:p>
        </w:tc>
        <w:tc>
          <w:tcPr>
            <w:tcW w:type="dxa" w:w="2209"/>
            <w:tcBorders/>
          </w:tcPr>
          <w:p>
            <w:pPr>
              <w:spacing w:line="240" w:lineRule="auto" w:after="40" w:before="40"/>
            </w:pPr>
            <w:r/>
            <w:r>
              <w:rPr>
                <w:rFonts w:ascii="Times New Roman" w:hAnsi="Times New Roman" w:cs="Times New Roman"/>
                <w:rFonts w:ascii="Times New Roman" w:hAnsi="Times New Roman"/>
                <w:b w:val="0"/>
                <w:i w:val="0"/>
                <w:sz w:val="20"/>
              </w:rPr>
              <w:t>7 (100%)</w:t>
            </w:r>
          </w:p>
        </w:tc>
        <w:tc>
          <w:tcPr>
            <w:tcW w:type="dxa" w:w="2209"/>
            <w:tcBorders/>
          </w:tcPr>
          <w:p>
            <w:pPr>
              <w:spacing w:line="240" w:lineRule="auto" w:after="40" w:before="40"/>
            </w:pPr>
            <w:r/>
            <w:r>
              <w:rPr>
                <w:rFonts w:ascii="Times New Roman" w:hAnsi="Times New Roman" w:cs="Times New Roman"/>
                <w:rFonts w:ascii="Times New Roman" w:hAnsi="Times New Roman"/>
                <w:b w:val="0"/>
                <w:i w:val="0"/>
                <w:sz w:val="20"/>
              </w:rPr>
              <w:t>0 (0%)</w:t>
            </w:r>
          </w:p>
        </w:tc>
      </w:tr>
      <w:tr>
        <w:tc>
          <w:tcPr>
            <w:tcW w:type="dxa" w:w="2209"/>
            <w:tcBorders/>
          </w:tcPr>
          <w:p>
            <w:pPr>
              <w:spacing w:line="240" w:lineRule="auto" w:after="40" w:before="40"/>
            </w:pPr>
            <w:r/>
            <w:r>
              <w:rPr>
                <w:rFonts w:ascii="Times New Roman" w:hAnsi="Times New Roman" w:cs="Times New Roman"/>
                <w:rFonts w:ascii="Times New Roman" w:hAnsi="Times New Roman"/>
                <w:b w:val="0"/>
                <w:i w:val="0"/>
                <w:sz w:val="20"/>
              </w:rPr>
              <w:t>CIHR</w:t>
            </w:r>
          </w:p>
        </w:tc>
        <w:tc>
          <w:tcPr>
            <w:tcW w:type="dxa" w:w="2209"/>
            <w:tcBorders/>
          </w:tcPr>
          <w:p>
            <w:pPr>
              <w:spacing w:line="240" w:lineRule="auto" w:after="40" w:before="40"/>
            </w:pPr>
            <w:r/>
            <w:r>
              <w:rPr>
                <w:rFonts w:ascii="Times New Roman" w:hAnsi="Times New Roman" w:cs="Times New Roman"/>
                <w:rFonts w:ascii="Times New Roman" w:hAnsi="Times New Roman"/>
                <w:b w:val="0"/>
                <w:i w:val="0"/>
                <w:sz w:val="20"/>
              </w:rPr>
              <w:t>16</w:t>
            </w:r>
          </w:p>
        </w:tc>
        <w:tc>
          <w:tcPr>
            <w:tcW w:type="dxa" w:w="2209"/>
            <w:tcBorders/>
          </w:tcPr>
          <w:p>
            <w:pPr>
              <w:spacing w:line="240" w:lineRule="auto" w:after="40" w:before="40"/>
            </w:pPr>
            <w:r/>
            <w:r>
              <w:rPr>
                <w:rFonts w:ascii="Times New Roman" w:hAnsi="Times New Roman" w:cs="Times New Roman"/>
                <w:rFonts w:ascii="Times New Roman" w:hAnsi="Times New Roman"/>
                <w:b w:val="0"/>
                <w:i w:val="0"/>
                <w:sz w:val="20"/>
              </w:rPr>
              <w:t>11 (68.8%)</w:t>
            </w:r>
          </w:p>
        </w:tc>
        <w:tc>
          <w:tcPr>
            <w:tcW w:type="dxa" w:w="2209"/>
            <w:tcBorders/>
          </w:tcPr>
          <w:p>
            <w:pPr>
              <w:spacing w:line="240" w:lineRule="auto" w:after="40" w:before="40"/>
            </w:pPr>
            <w:r/>
            <w:r>
              <w:rPr>
                <w:rFonts w:ascii="Times New Roman" w:hAnsi="Times New Roman" w:cs="Times New Roman"/>
                <w:rFonts w:ascii="Times New Roman" w:hAnsi="Times New Roman"/>
                <w:b w:val="0"/>
                <w:i w:val="0"/>
                <w:sz w:val="20"/>
              </w:rPr>
              <w:t>5 (31.3%)</w:t>
            </w:r>
          </w:p>
        </w:tc>
      </w:tr>
      <w:tr>
        <w:tc>
          <w:tcPr>
            <w:tcW w:type="dxa" w:w="2209"/>
            <w:tcBorders/>
          </w:tcPr>
          <w:p>
            <w:pPr>
              <w:spacing w:line="240" w:lineRule="auto" w:after="40" w:before="40"/>
            </w:pPr>
            <w:r/>
            <w:r>
              <w:rPr>
                <w:rFonts w:ascii="Times New Roman" w:hAnsi="Times New Roman" w:cs="Times New Roman"/>
                <w:rFonts w:ascii="Times New Roman" w:hAnsi="Times New Roman"/>
                <w:b w:val="0"/>
                <w:i w:val="0"/>
                <w:sz w:val="20"/>
              </w:rPr>
              <w:t>Industry</w:t>
            </w:r>
          </w:p>
        </w:tc>
        <w:tc>
          <w:tcPr>
            <w:tcW w:type="dxa" w:w="2209"/>
            <w:tcBorders/>
          </w:tcPr>
          <w:p>
            <w:pPr>
              <w:spacing w:line="240" w:lineRule="auto" w:after="40" w:before="40"/>
            </w:pPr>
            <w:r/>
            <w:r>
              <w:rPr>
                <w:rFonts w:ascii="Times New Roman" w:hAnsi="Times New Roman" w:cs="Times New Roman"/>
                <w:rFonts w:ascii="Times New Roman" w:hAnsi="Times New Roman"/>
                <w:b w:val="0"/>
                <w:i w:val="0"/>
                <w:sz w:val="20"/>
              </w:rPr>
              <w:t>13</w:t>
            </w:r>
          </w:p>
        </w:tc>
        <w:tc>
          <w:tcPr>
            <w:tcW w:type="dxa" w:w="2209"/>
            <w:tcBorders/>
          </w:tcPr>
          <w:p>
            <w:pPr>
              <w:spacing w:line="240" w:lineRule="auto" w:after="40" w:before="40"/>
            </w:pPr>
            <w:r/>
            <w:r>
              <w:rPr>
                <w:rFonts w:ascii="Times New Roman" w:hAnsi="Times New Roman" w:cs="Times New Roman"/>
                <w:rFonts w:ascii="Times New Roman" w:hAnsi="Times New Roman"/>
                <w:b w:val="0"/>
                <w:i w:val="0"/>
                <w:sz w:val="20"/>
              </w:rPr>
              <w:t>7 (53.8%)</w:t>
            </w:r>
          </w:p>
        </w:tc>
        <w:tc>
          <w:tcPr>
            <w:tcW w:type="dxa" w:w="2209"/>
            <w:tcBorders/>
          </w:tcPr>
          <w:p>
            <w:pPr>
              <w:spacing w:line="240" w:lineRule="auto" w:after="40" w:before="40"/>
            </w:pPr>
            <w:r/>
            <w:r>
              <w:rPr>
                <w:rFonts w:ascii="Times New Roman" w:hAnsi="Times New Roman" w:cs="Times New Roman"/>
                <w:rFonts w:ascii="Times New Roman" w:hAnsi="Times New Roman"/>
                <w:b w:val="0"/>
                <w:i w:val="0"/>
                <w:sz w:val="20"/>
              </w:rPr>
              <w:t>6 (46.2%)</w:t>
            </w:r>
          </w:p>
        </w:tc>
      </w:tr>
      <w:tr>
        <w:tc>
          <w:tcPr>
            <w:tcW w:type="dxa" w:w="2209"/>
            <w:tcBorders/>
          </w:tcPr>
          <w:p>
            <w:pPr>
              <w:spacing w:line="240" w:lineRule="auto" w:after="40" w:before="40"/>
            </w:pPr>
            <w:r/>
            <w:r>
              <w:rPr>
                <w:rFonts w:ascii="Times New Roman" w:hAnsi="Times New Roman" w:cs="Times New Roman"/>
                <w:rFonts w:ascii="Times New Roman" w:hAnsi="Times New Roman"/>
                <w:b w:val="0"/>
                <w:i w:val="0"/>
                <w:sz w:val="20"/>
              </w:rPr>
              <w:t>Other government</w:t>
            </w:r>
          </w:p>
        </w:tc>
        <w:tc>
          <w:tcPr>
            <w:tcW w:type="dxa" w:w="2209"/>
            <w:tcBorders/>
          </w:tcPr>
          <w:p>
            <w:pPr>
              <w:spacing w:line="240" w:lineRule="auto" w:after="40" w:before="40"/>
            </w:pPr>
            <w:r/>
            <w:r>
              <w:rPr>
                <w:rFonts w:ascii="Times New Roman" w:hAnsi="Times New Roman" w:cs="Times New Roman"/>
                <w:rFonts w:ascii="Times New Roman" w:hAnsi="Times New Roman"/>
                <w:b w:val="0"/>
                <w:i w:val="0"/>
                <w:sz w:val="20"/>
              </w:rPr>
              <w:t>7</w:t>
            </w:r>
          </w:p>
        </w:tc>
        <w:tc>
          <w:tcPr>
            <w:tcW w:type="dxa" w:w="2209"/>
            <w:tcBorders/>
          </w:tcPr>
          <w:p>
            <w:pPr>
              <w:spacing w:line="240" w:lineRule="auto" w:after="40" w:before="40"/>
            </w:pPr>
            <w:r/>
            <w:r>
              <w:rPr>
                <w:rFonts w:ascii="Times New Roman" w:hAnsi="Times New Roman" w:cs="Times New Roman"/>
                <w:rFonts w:ascii="Times New Roman" w:hAnsi="Times New Roman"/>
                <w:b w:val="0"/>
                <w:i w:val="0"/>
                <w:sz w:val="20"/>
              </w:rPr>
              <w:t>4 (57.1%)</w:t>
            </w:r>
          </w:p>
        </w:tc>
        <w:tc>
          <w:tcPr>
            <w:tcW w:type="dxa" w:w="2209"/>
            <w:tcBorders/>
          </w:tcPr>
          <w:p>
            <w:pPr>
              <w:spacing w:line="240" w:lineRule="auto" w:after="40" w:before="40"/>
            </w:pPr>
            <w:r/>
            <w:r>
              <w:rPr>
                <w:rFonts w:ascii="Times New Roman" w:hAnsi="Times New Roman" w:cs="Times New Roman"/>
                <w:rFonts w:ascii="Times New Roman" w:hAnsi="Times New Roman"/>
                <w:b w:val="0"/>
                <w:i w:val="0"/>
                <w:sz w:val="20"/>
              </w:rPr>
              <w:t>3 (42.9%)</w:t>
            </w:r>
          </w:p>
        </w:tc>
      </w:tr>
      <w:tr>
        <w:tc>
          <w:tcPr>
            <w:tcW w:type="dxa" w:w="2209"/>
            <w:tcBorders/>
          </w:tcPr>
          <w:p>
            <w:pPr>
              <w:spacing w:line="240" w:lineRule="auto" w:after="40" w:before="40"/>
            </w:pPr>
            <w:r/>
            <w:r>
              <w:rPr>
                <w:rFonts w:ascii="Times New Roman" w:hAnsi="Times New Roman" w:cs="Times New Roman"/>
                <w:rFonts w:ascii="Times New Roman" w:hAnsi="Times New Roman"/>
                <w:b w:val="0"/>
                <w:i w:val="0"/>
                <w:sz w:val="20"/>
              </w:rPr>
              <w:t>Foundation</w:t>
            </w:r>
          </w:p>
        </w:tc>
        <w:tc>
          <w:tcPr>
            <w:tcW w:type="dxa" w:w="2209"/>
            <w:tcBorders/>
          </w:tcPr>
          <w:p>
            <w:pPr>
              <w:spacing w:line="240" w:lineRule="auto" w:after="40" w:before="40"/>
            </w:pPr>
            <w:r/>
            <w:r>
              <w:rPr>
                <w:rFonts w:ascii="Times New Roman" w:hAnsi="Times New Roman" w:cs="Times New Roman"/>
                <w:rFonts w:ascii="Times New Roman" w:hAnsi="Times New Roman"/>
                <w:b w:val="0"/>
                <w:i w:val="0"/>
                <w:sz w:val="20"/>
              </w:rPr>
              <w:t>19</w:t>
            </w:r>
          </w:p>
        </w:tc>
        <w:tc>
          <w:tcPr>
            <w:tcW w:type="dxa" w:w="2209"/>
            <w:tcBorders/>
          </w:tcPr>
          <w:p>
            <w:pPr>
              <w:spacing w:line="240" w:lineRule="auto" w:after="40" w:before="40"/>
            </w:pPr>
            <w:r/>
            <w:r>
              <w:rPr>
                <w:rFonts w:ascii="Times New Roman" w:hAnsi="Times New Roman" w:cs="Times New Roman"/>
                <w:rFonts w:ascii="Times New Roman" w:hAnsi="Times New Roman"/>
                <w:b w:val="0"/>
                <w:i w:val="0"/>
                <w:sz w:val="20"/>
              </w:rPr>
              <w:t>7 (36.8%)</w:t>
            </w:r>
          </w:p>
        </w:tc>
        <w:tc>
          <w:tcPr>
            <w:tcW w:type="dxa" w:w="2209"/>
            <w:tcBorders/>
          </w:tcPr>
          <w:p>
            <w:pPr>
              <w:spacing w:line="240" w:lineRule="auto" w:after="40" w:before="40"/>
            </w:pPr>
            <w:r/>
            <w:r>
              <w:rPr>
                <w:rFonts w:ascii="Times New Roman" w:hAnsi="Times New Roman" w:cs="Times New Roman"/>
                <w:rFonts w:ascii="Times New Roman" w:hAnsi="Times New Roman"/>
                <w:b w:val="0"/>
                <w:i w:val="0"/>
                <w:sz w:val="20"/>
              </w:rPr>
              <w:t>12 (63.2%)</w:t>
            </w:r>
          </w:p>
        </w:tc>
      </w:tr>
      <w:tr>
        <w:tc>
          <w:tcPr>
            <w:tcW w:type="dxa" w:w="2209"/>
            <w:tcBorders/>
          </w:tcPr>
          <w:p>
            <w:pPr>
              <w:spacing w:line="240" w:lineRule="auto" w:after="40" w:before="40"/>
            </w:pPr>
            <w:r/>
            <w:r>
              <w:rPr>
                <w:rFonts w:ascii="Times New Roman" w:hAnsi="Times New Roman" w:cs="Times New Roman"/>
                <w:rFonts w:ascii="Times New Roman" w:hAnsi="Times New Roman"/>
                <w:b w:val="0"/>
                <w:i w:val="0"/>
                <w:sz w:val="20"/>
              </w:rPr>
              <w:t>Not reported</w:t>
            </w:r>
          </w:p>
        </w:tc>
        <w:tc>
          <w:tcPr>
            <w:tcW w:type="dxa" w:w="2209"/>
            <w:tcBorders/>
          </w:tcPr>
          <w:p>
            <w:pPr>
              <w:spacing w:line="240" w:lineRule="auto" w:after="40" w:before="40"/>
            </w:pPr>
            <w:r/>
            <w:r>
              <w:rPr>
                <w:rFonts w:ascii="Times New Roman" w:hAnsi="Times New Roman" w:cs="Times New Roman"/>
                <w:rFonts w:ascii="Times New Roman" w:hAnsi="Times New Roman"/>
                <w:b w:val="0"/>
                <w:i w:val="0"/>
                <w:sz w:val="20"/>
              </w:rPr>
              <w:t>1</w:t>
            </w:r>
          </w:p>
        </w:tc>
        <w:tc>
          <w:tcPr>
            <w:tcW w:type="dxa" w:w="2209"/>
            <w:tcBorders/>
          </w:tcPr>
          <w:p>
            <w:pPr>
              <w:spacing w:line="240" w:lineRule="auto" w:after="40" w:before="40"/>
            </w:pPr>
            <w:r/>
            <w:r>
              <w:rPr>
                <w:rFonts w:ascii="Times New Roman" w:hAnsi="Times New Roman" w:cs="Times New Roman"/>
                <w:rFonts w:ascii="Times New Roman" w:hAnsi="Times New Roman"/>
                <w:b w:val="0"/>
                <w:i w:val="0"/>
                <w:sz w:val="20"/>
              </w:rPr>
              <w:t>0 (0%)</w:t>
            </w:r>
          </w:p>
        </w:tc>
        <w:tc>
          <w:tcPr>
            <w:tcW w:type="dxa" w:w="2209"/>
            <w:tcBorders/>
          </w:tcPr>
          <w:p>
            <w:pPr>
              <w:spacing w:line="240" w:lineRule="auto" w:after="40" w:before="40"/>
            </w:pPr>
            <w:r/>
            <w:r>
              <w:rPr>
                <w:rFonts w:ascii="Times New Roman" w:hAnsi="Times New Roman" w:cs="Times New Roman"/>
                <w:rFonts w:ascii="Times New Roman" w:hAnsi="Times New Roman"/>
                <w:b w:val="0"/>
                <w:i w:val="0"/>
                <w:sz w:val="20"/>
              </w:rPr>
              <w:t>1 (100%)</w:t>
            </w:r>
          </w:p>
        </w:tc>
      </w:tr>
      <w:tr>
        <w:tc>
          <w:tcPr>
            <w:tcW w:type="dxa" w:w="2209"/>
            <w:tcBorders>
              <w:bottom w:val="single" w:sz="8" w:color="000000" w:space="0"/>
            </w:tcBorders>
          </w:tcPr>
          <w:p>
            <w:pPr>
              <w:spacing w:line="240" w:lineRule="auto" w:after="40" w:before="40"/>
            </w:pPr>
            <w:r/>
            <w:r>
              <w:rPr>
                <w:rFonts w:ascii="Times New Roman" w:hAnsi="Times New Roman" w:cs="Times New Roman"/>
                <w:rFonts w:ascii="Times New Roman" w:hAnsi="Times New Roman"/>
                <w:b w:val="0"/>
                <w:i w:val="0"/>
                <w:sz w:val="20"/>
              </w:rPr>
              <w:t>All trials</w:t>
            </w:r>
          </w:p>
        </w:tc>
        <w:tc>
          <w:tcPr>
            <w:tcW w:type="dxa" w:w="2209"/>
            <w:tcBorders>
              <w:bottom w:val="single" w:sz="8" w:color="000000" w:space="0"/>
            </w:tcBorders>
          </w:tcPr>
          <w:p>
            <w:pPr>
              <w:spacing w:line="240" w:lineRule="auto" w:after="40" w:before="40"/>
            </w:pPr>
            <w:r/>
            <w:r>
              <w:rPr>
                <w:rFonts w:ascii="Times New Roman" w:hAnsi="Times New Roman" w:cs="Times New Roman"/>
                <w:rFonts w:ascii="Times New Roman" w:hAnsi="Times New Roman"/>
                <w:b w:val="0"/>
                <w:i w:val="0"/>
                <w:sz w:val="20"/>
              </w:rPr>
              <w:t>63</w:t>
            </w:r>
          </w:p>
        </w:tc>
        <w:tc>
          <w:tcPr>
            <w:tcW w:type="dxa" w:w="2209"/>
            <w:tcBorders>
              <w:bottom w:val="single" w:sz="8" w:color="000000" w:space="0"/>
            </w:tcBorders>
          </w:tcPr>
          <w:p>
            <w:pPr>
              <w:spacing w:line="240" w:lineRule="auto" w:after="40" w:before="40"/>
            </w:pPr>
            <w:r/>
            <w:r>
              <w:rPr>
                <w:rFonts w:ascii="Times New Roman" w:hAnsi="Times New Roman" w:cs="Times New Roman"/>
                <w:rFonts w:ascii="Times New Roman" w:hAnsi="Times New Roman"/>
                <w:b w:val="0"/>
                <w:i w:val="0"/>
                <w:sz w:val="20"/>
              </w:rPr>
              <w:t>36 (57.1%)</w:t>
            </w:r>
          </w:p>
        </w:tc>
        <w:tc>
          <w:tcPr>
            <w:tcW w:type="dxa" w:w="2209"/>
            <w:tcBorders>
              <w:bottom w:val="single" w:sz="8" w:color="000000" w:space="0"/>
            </w:tcBorders>
          </w:tcPr>
          <w:p>
            <w:pPr>
              <w:spacing w:line="240" w:lineRule="auto" w:after="40" w:before="40"/>
            </w:pPr>
            <w:r/>
            <w:r>
              <w:rPr>
                <w:rFonts w:ascii="Times New Roman" w:hAnsi="Times New Roman" w:cs="Times New Roman"/>
                <w:rFonts w:ascii="Times New Roman" w:hAnsi="Times New Roman"/>
                <w:b w:val="0"/>
                <w:i w:val="0"/>
                <w:sz w:val="20"/>
              </w:rPr>
              <w:t>27 (42.9%)</w:t>
            </w:r>
          </w:p>
        </w:tc>
      </w:tr>
    </w:tbl>
    <w:p>
      <w:pPr>
        <w:spacing w:line="480" w:lineRule="auto" w:after="0" w:before="0"/>
      </w:pPr>
      <w:r>
        <w:rPr>
          <w:rFonts w:ascii="Times New Roman" w:hAnsi="Times New Roman" w:cs="Times New Roman"/>
          <w:rFonts w:ascii="Times New Roman" w:hAnsi="Times New Roman"/>
          <w:b w:val="0"/>
          <w:i w:val="0"/>
          <w:sz w:val="24"/>
        </w:rPr>
      </w:r>
    </w:p>
    <w:p>
      <w:pPr>
        <w:spacing w:line="480" w:lineRule="auto" w:after="0" w:before="0"/>
      </w:pPr>
      <w:r>
        <w:rPr>
          <w:rFonts w:ascii="Times New Roman" w:hAnsi="Times New Roman" w:cs="Times New Roman"/>
          <w:rFonts w:ascii="Times New Roman" w:hAnsi="Times New Roman"/>
          <w:b/>
          <w:i w:val="0"/>
          <w:sz w:val="24"/>
        </w:rPr>
        <w:t>REFERENCES</w:t>
      </w:r>
    </w:p>
    <w:p>
      <w:pPr>
        <w:spacing w:line="480" w:lineRule="auto" w:after="0" w:before="0"/>
      </w:pPr>
      <w:r>
        <w:rPr>
          <w:rFonts w:ascii="Times New Roman" w:hAnsi="Times New Roman" w:cs="Times New Roman"/>
          <w:rFonts w:ascii="Times New Roman" w:hAnsi="Times New Roman"/>
          <w:b w:val="0"/>
          <w:i w:val="0"/>
          <w:sz w:val="24"/>
        </w:rPr>
      </w:r>
    </w:p>
    <w:p>
      <w:pPr>
        <w:spacing w:line="480" w:lineRule="auto" w:after="0" w:before="0"/>
        <w:ind w:hanging="480" w:left="480"/>
        <w:jc w:val="left"/>
      </w:pPr>
      <w:r>
        <w:rPr>
          <w:rFonts w:ascii="Times New Roman" w:hAnsi="Times New Roman" w:cs="Times New Roman"/>
          <w:rFonts w:ascii="Times New Roman" w:hAnsi="Times New Roman"/>
          <w:b w:val="0"/>
          <w:i w:val="0"/>
          <w:sz w:val="24"/>
        </w:rPr>
        <w:t>1. Branson RD, Davis K Jr, Butler KL. African Americans' participation in clinical research: importance, barriers, and solutions. Am J Surg. 2007;193(1):32-39. doi:10.1016/j.amjsurg.2005.11.007</w:t>
      </w:r>
    </w:p>
    <w:p>
      <w:pPr>
        <w:spacing w:line="480" w:lineRule="auto" w:after="0" w:before="0"/>
        <w:ind w:hanging="480" w:left="480"/>
        <w:jc w:val="left"/>
      </w:pPr>
      <w:r>
        <w:rPr>
          <w:rFonts w:ascii="Times New Roman" w:hAnsi="Times New Roman" w:cs="Times New Roman"/>
          <w:rFonts w:ascii="Times New Roman" w:hAnsi="Times New Roman"/>
          <w:b w:val="0"/>
          <w:i w:val="0"/>
          <w:sz w:val="24"/>
        </w:rPr>
        <w:t>2. Popejoy AB, Fullerton SM. Genomics is failing on diversity. Nature. 2016;538(7624):161-164. doi:10.1038/538161a</w:t>
      </w:r>
    </w:p>
    <w:p>
      <w:pPr>
        <w:spacing w:line="480" w:lineRule="auto" w:after="0" w:before="0"/>
        <w:ind w:hanging="480" w:left="480"/>
        <w:jc w:val="left"/>
      </w:pPr>
      <w:r>
        <w:rPr>
          <w:rFonts w:ascii="Times New Roman" w:hAnsi="Times New Roman" w:cs="Times New Roman"/>
          <w:rFonts w:ascii="Times New Roman" w:hAnsi="Times New Roman"/>
          <w:b w:val="0"/>
          <w:i w:val="0"/>
          <w:sz w:val="24"/>
        </w:rPr>
        <w:t>3. National Institutes of Health. NIH Guidelines on the Inclusion of Women and Minorities as Subjects in Clinical Research. Fed Regist. 1994;59(59):14508-14513.</w:t>
      </w:r>
    </w:p>
    <w:p>
      <w:pPr>
        <w:spacing w:line="480" w:lineRule="auto" w:after="0" w:before="0"/>
        <w:ind w:hanging="480" w:left="480"/>
        <w:jc w:val="left"/>
      </w:pPr>
      <w:r>
        <w:rPr>
          <w:rFonts w:ascii="Times New Roman" w:hAnsi="Times New Roman" w:cs="Times New Roman"/>
          <w:rFonts w:ascii="Times New Roman" w:hAnsi="Times New Roman"/>
          <w:b w:val="0"/>
          <w:i w:val="0"/>
          <w:sz w:val="24"/>
        </w:rPr>
        <w:t>4. Oh SS, Galanter J, Thakur N, et al. Diversity in clinical and biomedical research: a promise yet to be fulfilled. PLoS Med. 2015;12(12):e1001918. doi:10.1371/journal.pmed.1001918</w:t>
      </w:r>
    </w:p>
    <w:p>
      <w:pPr>
        <w:spacing w:line="480" w:lineRule="auto" w:after="0" w:before="0"/>
        <w:ind w:hanging="480" w:left="480"/>
        <w:jc w:val="left"/>
      </w:pPr>
      <w:r>
        <w:rPr>
          <w:rFonts w:ascii="Times New Roman" w:hAnsi="Times New Roman" w:cs="Times New Roman"/>
          <w:rFonts w:ascii="Times New Roman" w:hAnsi="Times New Roman"/>
          <w:b w:val="0"/>
          <w:i w:val="0"/>
          <w:sz w:val="24"/>
        </w:rPr>
        <w:t>5. Turner BE, Steinberg JR, Weeks BT, et al. Race/ethnicity reporting and representation in US clinical trials: a cohort study. Lancet Reg Health Am. 2022;11:100252. doi:10.1016/j.lana.2022.100252</w:t>
      </w:r>
    </w:p>
    <w:p>
      <w:pPr>
        <w:spacing w:line="480" w:lineRule="auto" w:after="0" w:before="0"/>
        <w:ind w:hanging="480" w:left="480"/>
        <w:jc w:val="left"/>
      </w:pPr>
      <w:r>
        <w:rPr>
          <w:rFonts w:ascii="Times New Roman" w:hAnsi="Times New Roman" w:cs="Times New Roman"/>
          <w:rFonts w:ascii="Times New Roman" w:hAnsi="Times New Roman"/>
          <w:b w:val="0"/>
          <w:i w:val="0"/>
          <w:sz w:val="24"/>
        </w:rPr>
        <w:t>6. Canadian Institutes of Health Research. How to integrate sex and gender into research [Internet]. Ottawa: CIHR; 2019 [cited 2026 Apr 14]. Available from: https://cihr-irsc.gc.ca/e/50836.html</w:t>
      </w:r>
    </w:p>
    <w:p>
      <w:pPr>
        <w:spacing w:line="480" w:lineRule="auto" w:after="0" w:before="0"/>
        <w:ind w:hanging="480" w:left="480"/>
        <w:jc w:val="left"/>
      </w:pPr>
      <w:r>
        <w:rPr>
          <w:rFonts w:ascii="Times New Roman" w:hAnsi="Times New Roman" w:cs="Times New Roman"/>
          <w:rFonts w:ascii="Times New Roman" w:hAnsi="Times New Roman"/>
          <w:b w:val="0"/>
          <w:i w:val="0"/>
          <w:sz w:val="24"/>
        </w:rPr>
        <w:t>7. Canadian Institutes of Health Research, Natural Sciences and Engineering Research Council of Canada, Social Sciences and Humanities Research Council. Tri-Council Policy Statement: Ethical Conduct for Research Involving Humans: TCPS 2 (2018). Ottawa; 2018.</w:t>
      </w:r>
    </w:p>
    <w:p>
      <w:pPr>
        <w:spacing w:line="480" w:lineRule="auto" w:after="0" w:before="0"/>
        <w:ind w:hanging="480" w:left="480"/>
        <w:jc w:val="left"/>
      </w:pPr>
      <w:r>
        <w:rPr>
          <w:rFonts w:ascii="Times New Roman" w:hAnsi="Times New Roman" w:cs="Times New Roman"/>
          <w:rFonts w:ascii="Times New Roman" w:hAnsi="Times New Roman"/>
          <w:b w:val="0"/>
          <w:i w:val="0"/>
          <w:sz w:val="24"/>
        </w:rPr>
        <w:t>8. Canadian Institutes of Health Research, Natural Sciences and Engineering Research Council of Canada, Social Sciences and Humanities Research Council. Tri-Agency Equity, Diversity and Inclusion Action Plan 2018 to 2025 [Internet]. Ottawa: Government of Canada; 2018 [cited 2026 Apr 14]. Available from: https://www.nserc-crsng.gc.ca/InterAgency-Interorganismes/EDI-EDI/Action-Plan_Plan-dAction_eng.asp</w:t>
      </w:r>
    </w:p>
    <w:p>
      <w:pPr>
        <w:spacing w:line="480" w:lineRule="auto" w:after="0" w:before="0"/>
        <w:ind w:hanging="480" w:left="480"/>
        <w:jc w:val="left"/>
      </w:pPr>
      <w:r>
        <w:rPr>
          <w:rFonts w:ascii="Times New Roman" w:hAnsi="Times New Roman" w:cs="Times New Roman"/>
          <w:rFonts w:ascii="Times New Roman" w:hAnsi="Times New Roman"/>
          <w:b w:val="0"/>
          <w:i w:val="0"/>
          <w:sz w:val="24"/>
        </w:rPr>
        <w:t>9. O'Neill J, Tabish H, Welch V, et al. Applying an equity lens to interventions: using PROGRESS ensures consideration of socially stratifying factors to illuminate inequities in health. J Clin Epidemiol. 2014;67(1):56-64. doi:10.1016/j.jclinepi.2013.08.005</w:t>
      </w:r>
    </w:p>
    <w:p>
      <w:pPr>
        <w:spacing w:line="480" w:lineRule="auto" w:after="0" w:before="0"/>
        <w:ind w:hanging="480" w:left="480"/>
        <w:jc w:val="left"/>
      </w:pPr>
      <w:r>
        <w:rPr>
          <w:rFonts w:ascii="Times New Roman" w:hAnsi="Times New Roman" w:cs="Times New Roman"/>
          <w:rFonts w:ascii="Times New Roman" w:hAnsi="Times New Roman"/>
          <w:b w:val="0"/>
          <w:i w:val="0"/>
          <w:sz w:val="24"/>
        </w:rPr>
        <w:t>10. Welch VA, Norheim OF, Jull J, et al. CONSORT-Equity 2017 extension and elaboration for better reporting of health equity in randomised trials. BMJ. 2017;359:j5085. doi:10.1136/bmj.j5085</w:t>
      </w:r>
    </w:p>
    <w:p>
      <w:pPr>
        <w:spacing w:line="480" w:lineRule="auto" w:after="0" w:before="0"/>
        <w:ind w:hanging="480" w:left="480"/>
        <w:jc w:val="left"/>
      </w:pPr>
      <w:r>
        <w:rPr>
          <w:rFonts w:ascii="Times New Roman" w:hAnsi="Times New Roman" w:cs="Times New Roman"/>
          <w:rFonts w:ascii="Times New Roman" w:hAnsi="Times New Roman"/>
          <w:b w:val="0"/>
          <w:i w:val="0"/>
          <w:sz w:val="24"/>
        </w:rPr>
        <w:t>11. Bradford LD. CYP2D6 allele frequency in European Caucasians, Asians, Africans and their descendants. Pharmacogenomics. 2002;3(2):229-243. doi:10.1517/14622416.3.2.229</w:t>
      </w:r>
    </w:p>
    <w:p>
      <w:pPr>
        <w:spacing w:line="480" w:lineRule="auto" w:after="0" w:before="0"/>
        <w:ind w:hanging="480" w:left="480"/>
        <w:jc w:val="left"/>
      </w:pPr>
      <w:r>
        <w:rPr>
          <w:rFonts w:ascii="Times New Roman" w:hAnsi="Times New Roman" w:cs="Times New Roman"/>
          <w:rFonts w:ascii="Times New Roman" w:hAnsi="Times New Roman"/>
          <w:b w:val="0"/>
          <w:i w:val="0"/>
          <w:sz w:val="24"/>
        </w:rPr>
        <w:t>12. Koopmans AB, Braakman MH, Vinkers DJ, et al. Meta-analysis of probability estimates of worldwide variation of CYP2D6 and CYP2C19. Transl Psychiatry. 2021;11:141. doi:10.1038/s41398-020-01129-1</w:t>
      </w:r>
    </w:p>
    <w:p>
      <w:pPr>
        <w:spacing w:line="480" w:lineRule="auto" w:after="0" w:before="0"/>
        <w:ind w:hanging="480" w:left="480"/>
        <w:jc w:val="left"/>
      </w:pPr>
      <w:r>
        <w:rPr>
          <w:rFonts w:ascii="Times New Roman" w:hAnsi="Times New Roman" w:cs="Times New Roman"/>
          <w:rFonts w:ascii="Times New Roman" w:hAnsi="Times New Roman"/>
          <w:b w:val="0"/>
          <w:i w:val="0"/>
          <w:sz w:val="24"/>
        </w:rPr>
        <w:t>13. Statistics Canada. Immigration and Ethnocultural Diversity Highlight Tables, 2021 Census [Internet]. Ottawa: Statistics Canada; 2022 [cited 2026 Apr 14]. Available from: https://www12.statcan.gc.ca/census-recensement/2021/dp-pd/hlt-fst/imm/index-eng.cfm</w:t>
      </w:r>
    </w:p>
    <w:p>
      <w:pPr>
        <w:spacing w:line="480" w:lineRule="auto" w:after="0" w:before="0"/>
        <w:ind w:hanging="480" w:left="480"/>
        <w:jc w:val="left"/>
      </w:pPr>
      <w:r>
        <w:rPr>
          <w:rFonts w:ascii="Times New Roman" w:hAnsi="Times New Roman" w:cs="Times New Roman"/>
          <w:rFonts w:ascii="Times New Roman" w:hAnsi="Times New Roman"/>
          <w:b w:val="0"/>
          <w:i w:val="0"/>
          <w:sz w:val="24"/>
        </w:rPr>
        <w:t>14. [Author]. EDIA Reporting in Canadian Mental Health Pharmacotherapy RCTs: Scoping Review Repository [Internet]. GitHub; 2026 [cited 2026 Apr 14]. Available from: [URL available upon acceptance]</w:t>
      </w:r>
    </w:p>
    <w:p>
      <w:pPr>
        <w:spacing w:line="480" w:lineRule="auto" w:after="0" w:before="0"/>
        <w:ind w:hanging="480" w:left="480"/>
        <w:jc w:val="left"/>
      </w:pPr>
      <w:r>
        <w:rPr>
          <w:rFonts w:ascii="Times New Roman" w:hAnsi="Times New Roman" w:cs="Times New Roman"/>
          <w:rFonts w:ascii="Times New Roman" w:hAnsi="Times New Roman"/>
          <w:b w:val="0"/>
          <w:i w:val="0"/>
          <w:sz w:val="24"/>
        </w:rPr>
        <w:t>15. Peters MDJ, Godfrey C, McInerney P, et al. Chapter 11: Scoping reviews. In: Aromataris E, Munn Z, editors. JBI Manual for Evidence Synthesis. JBI; 2020. doi:10.46658/JBIMES-20-12</w:t>
      </w:r>
    </w:p>
    <w:p>
      <w:pPr>
        <w:spacing w:line="480" w:lineRule="auto" w:after="0" w:before="0"/>
        <w:ind w:hanging="480" w:left="480"/>
        <w:jc w:val="left"/>
      </w:pPr>
      <w:r>
        <w:rPr>
          <w:rFonts w:ascii="Times New Roman" w:hAnsi="Times New Roman" w:cs="Times New Roman"/>
          <w:rFonts w:ascii="Times New Roman" w:hAnsi="Times New Roman"/>
          <w:b w:val="0"/>
          <w:i w:val="0"/>
          <w:sz w:val="24"/>
        </w:rPr>
        <w:t>16. Arksey H, O'Malley L. Scoping studies: towards a methodological framework. Int J Soc Res Methodol. 2005;8(1):19-32. doi:10.1080/1364557032000119616</w:t>
      </w:r>
    </w:p>
    <w:p>
      <w:pPr>
        <w:spacing w:line="480" w:lineRule="auto" w:after="0" w:before="0"/>
        <w:ind w:hanging="480" w:left="480"/>
        <w:jc w:val="left"/>
      </w:pPr>
      <w:r>
        <w:rPr>
          <w:rFonts w:ascii="Times New Roman" w:hAnsi="Times New Roman" w:cs="Times New Roman"/>
          <w:rFonts w:ascii="Times New Roman" w:hAnsi="Times New Roman"/>
          <w:b w:val="0"/>
          <w:i w:val="0"/>
          <w:sz w:val="24"/>
        </w:rPr>
        <w:t>17. Levac D, Colquhoun H, O'Brien KK. Scoping studies: advancing the methodology. Implement Sci. 2010;5:69. doi:10.1186/1748-5908-5-69</w:t>
      </w:r>
    </w:p>
    <w:p>
      <w:pPr>
        <w:spacing w:line="480" w:lineRule="auto" w:after="0" w:before="0"/>
        <w:ind w:hanging="480" w:left="480"/>
        <w:jc w:val="left"/>
      </w:pPr>
      <w:r>
        <w:rPr>
          <w:rFonts w:ascii="Times New Roman" w:hAnsi="Times New Roman" w:cs="Times New Roman"/>
          <w:rFonts w:ascii="Times New Roman" w:hAnsi="Times New Roman"/>
          <w:b w:val="0"/>
          <w:i w:val="0"/>
          <w:sz w:val="24"/>
        </w:rPr>
        <w:t>18. Tricco AC, Lillie E, Zarin W, et al. PRISMA Extension for Scoping Reviews (PRISMA-ScR): checklist and explanation. Ann Intern Med. 2018;169(7):467-473. doi:10.7326/M18-0850</w:t>
      </w:r>
    </w:p>
    <w:p>
      <w:pPr>
        <w:spacing w:line="480" w:lineRule="auto" w:after="0" w:before="0"/>
        <w:ind w:hanging="480" w:left="480"/>
        <w:jc w:val="left"/>
      </w:pPr>
      <w:r>
        <w:rPr>
          <w:rFonts w:ascii="Times New Roman" w:hAnsi="Times New Roman" w:cs="Times New Roman"/>
          <w:rFonts w:ascii="Times New Roman" w:hAnsi="Times New Roman"/>
          <w:b w:val="0"/>
          <w:i w:val="0"/>
          <w:sz w:val="24"/>
        </w:rPr>
        <w:t>19. Welch V, Petticrew M, Tugwell P, et al; PRISMA-Equity Bellagio Group. PRISMA-Equity 2012 extension: reporting guidelines for systematic reviews with a focus on health equity. PLoS Med. 2012;9(10):e1001333. doi:10.1371/journal.pmed.1001333</w:t>
      </w:r>
    </w:p>
    <w:p>
      <w:pPr>
        <w:spacing w:line="480" w:lineRule="auto" w:after="0" w:before="0"/>
        <w:ind w:hanging="480" w:left="480"/>
        <w:jc w:val="left"/>
      </w:pPr>
      <w:r>
        <w:rPr>
          <w:rFonts w:ascii="Times New Roman" w:hAnsi="Times New Roman" w:cs="Times New Roman"/>
          <w:rFonts w:ascii="Times New Roman" w:hAnsi="Times New Roman"/>
          <w:b w:val="0"/>
          <w:i w:val="0"/>
          <w:sz w:val="24"/>
        </w:rPr>
        <w:t>20. Sim J, Wright CC. The kappa statistic in reliability studies: use, interpretation, and sample size requirements. Phys Ther. 2005;85(3):257-268. doi:10.1093/ptj/85.3.257</w:t>
      </w:r>
    </w:p>
    <w:p>
      <w:pPr>
        <w:spacing w:line="480" w:lineRule="auto" w:after="0" w:before="0"/>
        <w:ind w:hanging="480" w:left="480"/>
        <w:jc w:val="left"/>
      </w:pPr>
      <w:r>
        <w:rPr>
          <w:rFonts w:ascii="Times New Roman" w:hAnsi="Times New Roman" w:cs="Times New Roman"/>
          <w:rFonts w:ascii="Times New Roman" w:hAnsi="Times New Roman"/>
          <w:b w:val="0"/>
          <w:i w:val="0"/>
          <w:sz w:val="24"/>
        </w:rPr>
        <w:t>21. Gartlehner G, Kahwati L, Hilscher R, et al. Data extraction for evidence synthesis using a large language model: a proof-of-concept study. Res Synth Methods. 2024;15(4):576-589. doi:10.1002/jrsm.1710</w:t>
      </w:r>
    </w:p>
    <w:p>
      <w:pPr>
        <w:spacing w:line="480" w:lineRule="auto" w:after="0" w:before="0"/>
        <w:ind w:hanging="480" w:left="480"/>
        <w:jc w:val="left"/>
      </w:pPr>
      <w:r>
        <w:rPr>
          <w:rFonts w:ascii="Times New Roman" w:hAnsi="Times New Roman" w:cs="Times New Roman"/>
          <w:rFonts w:ascii="Times New Roman" w:hAnsi="Times New Roman"/>
          <w:b w:val="0"/>
          <w:i w:val="0"/>
          <w:sz w:val="24"/>
        </w:rPr>
        <w:t>22. Jutras-Aswad D, Le Foll B, Ahamad K, et al; OPTIMA Research Group. Flexible buprenorphine/naloxone model of care for reducing opioid use in individuals with prescription-type opioid use disorder: an open-label, pragmatic, noninferiority randomized controlled trial. Am J Psychiatry. 2022;179(10):726-739. doi:10.1176/appi.ajp.21090964</w:t>
      </w:r>
    </w:p>
    <w:p>
      <w:pPr>
        <w:spacing w:line="480" w:lineRule="auto" w:after="0" w:before="0"/>
        <w:ind w:hanging="480" w:left="480"/>
        <w:jc w:val="left"/>
      </w:pPr>
      <w:r>
        <w:rPr>
          <w:rFonts w:ascii="Times New Roman" w:hAnsi="Times New Roman" w:cs="Times New Roman"/>
          <w:rFonts w:ascii="Times New Roman" w:hAnsi="Times New Roman"/>
          <w:b w:val="0"/>
          <w:i w:val="0"/>
          <w:sz w:val="24"/>
        </w:rPr>
        <w:t>23. Oviedo-Joekes E, Guh D, Brissette S, et al. Hydromorphone compared with diacetylmorphine for long-term opioid dependence: a randomized clinical trial. JAMA Psychiatry. 2016;73(5):447-455. doi:10.1001/jamapsychiatry.2016.0109</w:t>
      </w:r>
    </w:p>
    <w:p>
      <w:pPr>
        <w:spacing w:line="480" w:lineRule="auto" w:after="0" w:before="0"/>
        <w:ind w:hanging="480" w:left="480"/>
        <w:jc w:val="left"/>
      </w:pPr>
      <w:r>
        <w:rPr>
          <w:rFonts w:ascii="Times New Roman" w:hAnsi="Times New Roman" w:cs="Times New Roman"/>
          <w:rFonts w:ascii="Times New Roman" w:hAnsi="Times New Roman"/>
          <w:b w:val="0"/>
          <w:i w:val="0"/>
          <w:sz w:val="24"/>
        </w:rPr>
        <w:t>24. Bowleg L. The problem with the phrase women and minorities; intersectionality as an important theoretical framework for public health. Am J Public Health. 2012;102(7):1267-1273. doi:10.2105/AJPH.2012.300750</w:t>
      </w:r>
    </w:p>
    <w:p>
      <w:pPr>
        <w:spacing w:line="480" w:lineRule="auto" w:after="0" w:before="0"/>
        <w:ind w:hanging="480" w:left="480"/>
        <w:jc w:val="left"/>
      </w:pPr>
      <w:r>
        <w:rPr>
          <w:rFonts w:ascii="Times New Roman" w:hAnsi="Times New Roman" w:cs="Times New Roman"/>
          <w:rFonts w:ascii="Times New Roman" w:hAnsi="Times New Roman"/>
          <w:b w:val="0"/>
          <w:i w:val="0"/>
          <w:sz w:val="24"/>
        </w:rPr>
        <w:t>25. Koenig HG. Research on religion, spirituality, and mental health: a review. Can J Psychiatry. 2009;54(5):283-291. doi:10.1177/070674370905400502</w:t>
      </w:r>
    </w:p>
    <w:p>
      <w:pPr>
        <w:spacing w:line="480" w:lineRule="auto" w:after="0" w:before="0"/>
        <w:ind w:hanging="480" w:left="480"/>
        <w:jc w:val="left"/>
      </w:pPr>
      <w:r>
        <w:rPr>
          <w:rFonts w:ascii="Times New Roman" w:hAnsi="Times New Roman" w:cs="Times New Roman"/>
          <w:rFonts w:ascii="Times New Roman" w:hAnsi="Times New Roman"/>
          <w:b w:val="0"/>
          <w:i w:val="0"/>
          <w:sz w:val="24"/>
        </w:rPr>
        <w:t>26. Paul KI, Moser K. Unemployment impairs mental health: meta-analyses. J Vocat Behav. 2009;74(3):264-282. doi:10.1016/j.jvb.2009.01.001</w:t>
      </w:r>
    </w:p>
    <w:p>
      <w:pPr>
        <w:spacing w:line="480" w:lineRule="auto" w:after="0" w:before="0"/>
        <w:ind w:hanging="480" w:left="480"/>
        <w:jc w:val="left"/>
      </w:pPr>
      <w:r>
        <w:rPr>
          <w:rFonts w:ascii="Times New Roman" w:hAnsi="Times New Roman" w:cs="Times New Roman"/>
          <w:rFonts w:ascii="Times New Roman" w:hAnsi="Times New Roman"/>
          <w:b w:val="0"/>
          <w:i w:val="0"/>
          <w:sz w:val="24"/>
        </w:rPr>
        <w:t>27. Clayton JA, Tannenbaum C. Reporting sex, gender, or both in clinical research? JAMA. 2016;316(18):1863-1864. doi:10.1001/jama.2016.16405</w:t>
      </w:r>
    </w:p>
    <w:p>
      <w:pPr>
        <w:spacing w:line="480" w:lineRule="auto" w:after="0" w:before="0"/>
        <w:ind w:hanging="480" w:left="480"/>
        <w:jc w:val="left"/>
      </w:pPr>
      <w:r>
        <w:rPr>
          <w:rFonts w:ascii="Times New Roman" w:hAnsi="Times New Roman" w:cs="Times New Roman"/>
          <w:rFonts w:ascii="Times New Roman" w:hAnsi="Times New Roman"/>
          <w:b w:val="0"/>
          <w:i w:val="0"/>
          <w:sz w:val="24"/>
        </w:rPr>
        <w:t>28. Truth and Reconciliation Commission of Canada. Truth and Reconciliation Commission of Canada: Calls to Action. Winnipeg: TRC; 2015.</w:t>
      </w:r>
    </w:p>
    <w:p>
      <w:pPr>
        <w:spacing w:line="480" w:lineRule="auto" w:after="0" w:before="0"/>
        <w:ind w:hanging="480" w:left="480"/>
        <w:jc w:val="left"/>
      </w:pPr>
      <w:r>
        <w:rPr>
          <w:rFonts w:ascii="Times New Roman" w:hAnsi="Times New Roman" w:cs="Times New Roman"/>
          <w:rFonts w:ascii="Times New Roman" w:hAnsi="Times New Roman"/>
          <w:b w:val="0"/>
          <w:i w:val="0"/>
          <w:sz w:val="24"/>
        </w:rPr>
        <w:t>29. Tannenbaum C, Ellis RP, Eyssel F, et al. Sex and gender analysis improves science and engineering. Nature. 2019;575(7781):137-146. doi:10.1038/s41586-019-1657-6</w:t>
      </w:r>
    </w:p>
    <w:p>
      <w:pPr>
        <w:spacing w:line="480" w:lineRule="auto" w:after="0" w:before="0"/>
        <w:ind w:hanging="480" w:left="480"/>
        <w:jc w:val="left"/>
      </w:pPr>
      <w:r>
        <w:rPr>
          <w:rFonts w:ascii="Times New Roman" w:hAnsi="Times New Roman" w:cs="Times New Roman"/>
          <w:rFonts w:ascii="Times New Roman" w:hAnsi="Times New Roman"/>
          <w:b w:val="0"/>
          <w:i w:val="0"/>
          <w:sz w:val="24"/>
        </w:rPr>
        <w:t>30. Schnarch B. Ownership, control, access, and possession (OCAP) or self-determination applied to research: a critical analysis of contemporary First Nations research and some options for First Nations communities. J Aborig Health. 2004;1(1):80-95.</w:t>
      </w:r>
    </w:p>
    <w:p>
      <w:pPr>
        <w:spacing w:line="480" w:lineRule="auto" w:after="0" w:before="0"/>
        <w:ind w:hanging="480" w:left="480"/>
        <w:jc w:val="left"/>
      </w:pPr>
      <w:r>
        <w:rPr>
          <w:rFonts w:ascii="Times New Roman" w:hAnsi="Times New Roman" w:cs="Times New Roman"/>
          <w:rFonts w:ascii="Times New Roman" w:hAnsi="Times New Roman"/>
          <w:b w:val="0"/>
          <w:i w:val="0"/>
          <w:sz w:val="24"/>
        </w:rPr>
        <w:t>31. First Nations Information Governance Centre. Ownership, Control, Access and Possession (OCAP): The Path to First Nations Information Governance. Ottawa: FNIGC; 2014.</w:t>
      </w:r>
    </w:p>
    <w:sectPr w:rsidR="00FC693F" w:rsidRPr="0006063C" w:rsidSect="00034616">
      <w:headerReference w:type="default" r:id="rId9"/>
      <w:footerReference w:type="default" r:id="rId10"/>
      <w:pgSz w:w="12240" w:h="15840"/>
      <w:pgMar w:top="2835" w:right="1701" w:bottom="2835" w:left="1701" w:header="720" w:footer="720" w:gutter="0"/>
      <w:cols w:space="720"/>
      <w:docGrid w:linePitch="360"/>
      <w:pgNumType w:start="1"/>
      <w:lnNumType w:countBy="1" w:start="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rFonts w:ascii="Times New Roman" w:hAnsi="Times New Roman"/>
        <w:b w:val="0"/>
        <w:i w:val="0"/>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