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Tables and Figures</w:t>
      </w:r>
    </w:p>
    <w:p>
      <w:pPr>
        <w:jc w:val="center"/>
      </w:pPr>
      <w:r>
        <w:rPr>
          <w:rFonts w:ascii="Times New Roman" w:hAnsi="Times New Roman"/>
          <w:i/>
          <w:sz w:val="24"/>
        </w:rPr>
        <w:t>EDIA Reporting in Canadian Mental Health Pharmacotherapy RCTs (2016–2026):</w:t>
        <w:br/>
        <w:t>A Scoping Review Using the PROGRESS-Plus Framework</w:t>
      </w:r>
    </w:p>
    <w:p>
      <w:r>
        <w:br w:type="page"/>
      </w:r>
    </w:p>
    <w:p>
      <w:pPr>
        <w:spacing w:after="0" w:before="240"/>
      </w:pPr>
      <w:r>
        <w:rPr>
          <w:rFonts w:ascii="Times New Roman" w:hAnsi="Times New Roman"/>
          <w:b/>
          <w:sz w:val="24"/>
        </w:rPr>
        <w:t>Figure 1</w:t>
      </w:r>
    </w:p>
    <w:p>
      <w:pPr>
        <w:spacing w:after="120" w:before="0"/>
      </w:pPr>
      <w:r>
        <w:rPr>
          <w:rFonts w:ascii="Times New Roman" w:hAnsi="Times New Roman"/>
          <w:i/>
          <w:sz w:val="24"/>
        </w:rPr>
        <w:t>PRISMA-ScR Flow Diagram for Study Selection</w:t>
      </w:r>
    </w:p>
    <w:p>
      <w:pPr>
        <w:jc w:val="center"/>
      </w:pPr>
      <w:r>
        <w:drawing>
          <wp:inline xmlns:a="http://schemas.openxmlformats.org/drawingml/2006/main" xmlns:pic="http://schemas.openxmlformats.org/drawingml/2006/picture">
            <wp:extent cx="5486400" cy="3556838"/>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5486400" cy="3556838"/>
                    </a:xfrm>
                    <a:prstGeom prst="rect"/>
                  </pic:spPr>
                </pic:pic>
              </a:graphicData>
            </a:graphic>
          </wp:inline>
        </w:drawing>
      </w:r>
    </w:p>
    <w:p>
      <w:pPr>
        <w:spacing w:before="80"/>
      </w:pPr>
      <w:r>
        <w:rPr>
          <w:rFonts w:ascii="Times New Roman" w:hAnsi="Times New Roman"/>
          <w:i/>
          <w:sz w:val="20"/>
        </w:rPr>
        <w:t xml:space="preserve">Note. </w:t>
      </w:r>
      <w:r>
        <w:rPr>
          <w:rFonts w:ascii="Times New Roman" w:hAnsi="Times New Roman"/>
          <w:sz w:val="20"/>
        </w:rPr>
        <w:t>Flow diagram follows the PRISMA-ScR (2020) reporting guidance. N = 63 studies were retained after excluding three records (#4, #12, #45) on post-extraction review.</w:t>
      </w:r>
    </w:p>
    <w:p>
      <w:r>
        <w:br w:type="page"/>
      </w:r>
    </w:p>
    <w:p>
      <w:pPr>
        <w:spacing w:after="0" w:before="240"/>
      </w:pPr>
      <w:r>
        <w:rPr>
          <w:rFonts w:ascii="Times New Roman" w:hAnsi="Times New Roman"/>
          <w:b/>
          <w:sz w:val="24"/>
        </w:rPr>
        <w:t>Table 1</w:t>
      </w:r>
    </w:p>
    <w:p>
      <w:pPr>
        <w:spacing w:after="120" w:before="0"/>
      </w:pPr>
      <w:r>
        <w:rPr>
          <w:rFonts w:ascii="Times New Roman" w:hAnsi="Times New Roman"/>
          <w:i/>
          <w:sz w:val="24"/>
        </w:rPr>
        <w:t>Characteristics of Included Trials (N = 63)</w:t>
      </w:r>
    </w:p>
    <w:tbl>
      <w:tblPr>
        <w:tblW w:type="auto" w:w="0"/>
        <w:jc w:val="center"/>
        <w:tblLook w:firstColumn="1" w:firstRow="1" w:lastColumn="0" w:lastRow="0" w:noHBand="0" w:noVBand="1" w:val="04A0"/>
      </w:tblPr>
      <w:tblGrid>
        <w:gridCol w:w="4320"/>
        <w:gridCol w:w="4320"/>
      </w:tblGrid>
      <w:tr>
        <w:tc>
          <w:tcPr>
            <w:tcW w:type="dxa" w:w="4320"/>
            <w:tcBorders>
              <w:left w:val="none" w:sz="0" w:space="0" w:color="FFFFFF"/>
              <w:right w:val="none" w:sz="0" w:space="0" w:color="FFFFFF"/>
              <w:top w:val="single" w:sz="12" w:space="0" w:color="000000"/>
              <w:bottom w:val="single" w:sz="6" w:space="0" w:color="000000"/>
            </w:tcBorders>
          </w:tcPr>
          <w:p>
            <w:pPr>
              <w:spacing w:before="20" w:after="20" w:line="260" w:lineRule="exact"/>
            </w:pPr>
            <w:r/>
            <w:r>
              <w:rPr>
                <w:rFonts w:ascii="Times New Roman" w:hAnsi="Times New Roman"/>
                <w:b/>
                <w:sz w:val="20"/>
              </w:rPr>
              <w:t>Characteristic</w:t>
            </w:r>
          </w:p>
        </w:tc>
        <w:tc>
          <w:tcPr>
            <w:tcW w:type="dxa" w:w="432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20"/>
              </w:rPr>
              <w:t>n (%) or Median [IQR]</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Year of publication</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2013–2017</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16 (25.4)</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2018–2020</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15 (23.8)</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2021–2023</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16 (25.4)</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2024–2026</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16 (25.4)</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Disorder category</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Depression</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16 (25.4)</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Dementia</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10 (15.9)</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Bipolar-Mood</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9 (14.3)</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Substance Use</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9 (14.3)</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Psychotic</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 (11.1)</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ADHD</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5 (7.9)</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Anxiety-Trauma-OCD</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 (4.8)</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Eating Disorder</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 (1.6)</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Other</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 (4.8)</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Trial design</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Parallel</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48 (76.2)</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Crossover</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12 (19.0)</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Other</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 (4.8)</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Setting</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Multisite</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38 (60.3)</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Single-site</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25 (39.7)</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International</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26 (41.3)</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All-Canadian</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37 (58.7)</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Sample size</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Median [IQR]</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60 [34–188]</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Range</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6–785</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Funder type</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Industry</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13 (20.6)</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CIHR</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16 (25.4)</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NIH</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 (11.1)</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Other government</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 (11.1)</w:t>
            </w:r>
          </w:p>
        </w:tc>
      </w:tr>
      <w:tr>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Foundation</w:t>
            </w:r>
          </w:p>
        </w:tc>
        <w:tc>
          <w:tcPr>
            <w:tcW w:type="dxa" w:w="432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19 (30.2)</w:t>
            </w:r>
          </w:p>
        </w:tc>
      </w:tr>
      <w:tr>
        <w:tc>
          <w:tcPr>
            <w:tcW w:type="dxa" w:w="4320"/>
            <w:tcBorders>
              <w:left w:val="none" w:sz="0" w:space="0" w:color="FFFFFF"/>
              <w:right w:val="none" w:sz="0" w:space="0" w:color="FFFFFF"/>
              <w:bottom w:val="single" w:sz="12" w:space="0" w:color="000000"/>
              <w:top w:val="none" w:sz="0" w:space="0" w:color="FFFFFF"/>
            </w:tcBorders>
          </w:tcPr>
          <w:p>
            <w:pPr>
              <w:spacing w:before="20" w:after="20" w:line="260" w:lineRule="exact"/>
            </w:pPr>
            <w:r/>
            <w:r>
              <w:rPr>
                <w:rFonts w:ascii="Times New Roman" w:hAnsi="Times New Roman"/>
                <w:b w:val="0"/>
                <w:sz w:val="20"/>
              </w:rPr>
              <w:t xml:space="preserve">  Not reported</w:t>
            </w:r>
          </w:p>
        </w:tc>
        <w:tc>
          <w:tcPr>
            <w:tcW w:type="dxa" w:w="432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20"/>
              </w:rPr>
              <w:t>1 (1.6)</w:t>
            </w:r>
          </w:p>
        </w:tc>
      </w:tr>
    </w:tbl>
    <w:p>
      <w:pPr>
        <w:spacing w:before="80"/>
      </w:pPr>
      <w:r>
        <w:rPr>
          <w:rFonts w:ascii="Times New Roman" w:hAnsi="Times New Roman"/>
          <w:i/>
          <w:sz w:val="20"/>
        </w:rPr>
        <w:t xml:space="preserve">Note. </w:t>
      </w:r>
      <w:r>
        <w:rPr>
          <w:rFonts w:ascii="Times New Roman" w:hAnsi="Times New Roman"/>
          <w:sz w:val="20"/>
        </w:rPr>
        <w:t>Values are n (%) unless otherwise specified. IQR = interquartile range. CIHR = Canadian Institutes of Health Research. NIH = National Institutes of Health. Record #8 (Malla 2013) was published before 2016 but met all other inclusion criteria.</w:t>
      </w:r>
    </w:p>
    <w:p>
      <w:r>
        <w:br w:type="page"/>
      </w:r>
    </w:p>
    <w:p>
      <w:pPr>
        <w:spacing w:after="0" w:before="240"/>
      </w:pPr>
      <w:r>
        <w:rPr>
          <w:rFonts w:ascii="Times New Roman" w:hAnsi="Times New Roman"/>
          <w:b/>
          <w:sz w:val="24"/>
        </w:rPr>
        <w:t>Figure 2</w:t>
      </w:r>
    </w:p>
    <w:p>
      <w:pPr>
        <w:spacing w:after="120" w:before="0"/>
      </w:pPr>
      <w:r>
        <w:rPr>
          <w:rFonts w:ascii="Times New Roman" w:hAnsi="Times New Roman"/>
          <w:i/>
          <w:sz w:val="24"/>
        </w:rPr>
        <w:t>PROGRESS-Plus Variable Reporting Rates (N = 63 Trials)</w:t>
      </w:r>
    </w:p>
    <w:p>
      <w:pPr>
        <w:jc w:val="center"/>
      </w:pPr>
      <w:r>
        <w:drawing>
          <wp:inline xmlns:a="http://schemas.openxmlformats.org/drawingml/2006/main" xmlns:pic="http://schemas.openxmlformats.org/drawingml/2006/picture">
            <wp:extent cx="5486400" cy="3961865"/>
            <wp:docPr id="2" name="Picture 2"/>
            <wp:cNvGraphicFramePr>
              <a:graphicFrameLocks noChangeAspect="1"/>
            </wp:cNvGraphicFramePr>
            <a:graphic>
              <a:graphicData uri="http://schemas.openxmlformats.org/drawingml/2006/picture">
                <pic:pic>
                  <pic:nvPicPr>
                    <pic:cNvPr id="0" name="figure2_progress_plus_bars.png"/>
                    <pic:cNvPicPr/>
                  </pic:nvPicPr>
                  <pic:blipFill>
                    <a:blip r:embed="rId10"/>
                    <a:stretch>
                      <a:fillRect/>
                    </a:stretch>
                  </pic:blipFill>
                  <pic:spPr>
                    <a:xfrm>
                      <a:off x="0" y="0"/>
                      <a:ext cx="5486400" cy="3961865"/>
                    </a:xfrm>
                    <a:prstGeom prst="rect"/>
                  </pic:spPr>
                </pic:pic>
              </a:graphicData>
            </a:graphic>
          </wp:inline>
        </w:drawing>
      </w:r>
    </w:p>
    <w:p>
      <w:pPr>
        <w:spacing w:before="80"/>
      </w:pPr>
      <w:r>
        <w:rPr>
          <w:rFonts w:ascii="Times New Roman" w:hAnsi="Times New Roman"/>
          <w:i/>
          <w:sz w:val="20"/>
        </w:rPr>
        <w:t xml:space="preserve">Note. </w:t>
      </w:r>
      <w:r>
        <w:rPr>
          <w:rFonts w:ascii="Times New Roman" w:hAnsi="Times New Roman"/>
          <w:sz w:val="20"/>
        </w:rPr>
        <w:t>Bars show the proportion of trials reporting each PROGRESS-Plus variable. Race/ethnicity counts strict "Yes" responses only; all other variables count "Yes" + "Partial". The dashed reference line marks the 50% threshold.</w:t>
      </w:r>
    </w:p>
    <w:p>
      <w:r>
        <w:br w:type="page"/>
      </w:r>
    </w:p>
    <w:p>
      <w:pPr>
        <w:spacing w:after="0" w:before="240"/>
      </w:pPr>
      <w:r>
        <w:rPr>
          <w:rFonts w:ascii="Times New Roman" w:hAnsi="Times New Roman"/>
          <w:b/>
          <w:sz w:val="24"/>
        </w:rPr>
        <w:t>Figure 3</w:t>
      </w:r>
    </w:p>
    <w:p>
      <w:pPr>
        <w:spacing w:after="120" w:before="0"/>
      </w:pPr>
      <w:r>
        <w:rPr>
          <w:rFonts w:ascii="Times New Roman" w:hAnsi="Times New Roman"/>
          <w:i/>
          <w:sz w:val="24"/>
        </w:rPr>
        <w:t>Race / Ethnicity Reporting Over Time</w:t>
      </w:r>
    </w:p>
    <w:p>
      <w:pPr>
        <w:jc w:val="center"/>
      </w:pPr>
      <w:r>
        <w:drawing>
          <wp:inline xmlns:a="http://schemas.openxmlformats.org/drawingml/2006/main" xmlns:pic="http://schemas.openxmlformats.org/drawingml/2006/picture">
            <wp:extent cx="5486400" cy="3314464"/>
            <wp:docPr id="3" name="Picture 3"/>
            <wp:cNvGraphicFramePr>
              <a:graphicFrameLocks noChangeAspect="1"/>
            </wp:cNvGraphicFramePr>
            <a:graphic>
              <a:graphicData uri="http://schemas.openxmlformats.org/drawingml/2006/picture">
                <pic:pic>
                  <pic:nvPicPr>
                    <pic:cNvPr id="0" name="figure3_race_over_time.png"/>
                    <pic:cNvPicPr/>
                  </pic:nvPicPr>
                  <pic:blipFill>
                    <a:blip r:embed="rId11"/>
                    <a:stretch>
                      <a:fillRect/>
                    </a:stretch>
                  </pic:blipFill>
                  <pic:spPr>
                    <a:xfrm>
                      <a:off x="0" y="0"/>
                      <a:ext cx="5486400" cy="3314464"/>
                    </a:xfrm>
                    <a:prstGeom prst="rect"/>
                  </pic:spPr>
                </pic:pic>
              </a:graphicData>
            </a:graphic>
          </wp:inline>
        </w:drawing>
      </w:r>
    </w:p>
    <w:p>
      <w:pPr>
        <w:spacing w:before="80"/>
      </w:pPr>
      <w:r>
        <w:rPr>
          <w:rFonts w:ascii="Times New Roman" w:hAnsi="Times New Roman"/>
          <w:i/>
          <w:sz w:val="20"/>
        </w:rPr>
        <w:t xml:space="preserve">Note. </w:t>
      </w:r>
      <w:r>
        <w:rPr>
          <w:rFonts w:ascii="Times New Roman" w:hAnsi="Times New Roman"/>
          <w:sz w:val="20"/>
        </w:rPr>
        <w:t>Years are binned to accommodate small per-year sample sizes. Bar labels show count and percent of trials in each period. Per-period denominators (n) appear below the x-axis. The 2018-2019 period is the lowest-reporting bin (30%, with 0 of 4 trials in 2018 reporting race/ethnicity).</w:t>
      </w:r>
    </w:p>
    <w:p>
      <w:r>
        <w:br w:type="page"/>
      </w:r>
    </w:p>
    <w:p>
      <w:pPr>
        <w:spacing w:after="0" w:before="240"/>
      </w:pPr>
      <w:r>
        <w:rPr>
          <w:rFonts w:ascii="Times New Roman" w:hAnsi="Times New Roman"/>
          <w:b/>
          <w:sz w:val="24"/>
        </w:rPr>
        <w:t>Table 2</w:t>
      </w:r>
    </w:p>
    <w:p>
      <w:pPr>
        <w:spacing w:after="120" w:before="0"/>
      </w:pPr>
      <w:r>
        <w:rPr>
          <w:rFonts w:ascii="Times New Roman" w:hAnsi="Times New Roman"/>
          <w:i/>
          <w:sz w:val="24"/>
        </w:rPr>
        <w:t>PROGRESS-Plus Reporting Rates With 95% Confidence Intervals (N = 63)</w:t>
      </w:r>
    </w:p>
    <w:tbl>
      <w:tblPr>
        <w:tblW w:type="auto" w:w="0"/>
        <w:jc w:val="center"/>
        <w:tblLook w:firstColumn="1" w:firstRow="1" w:lastColumn="0" w:lastRow="0" w:noHBand="0" w:noVBand="1" w:val="04A0"/>
      </w:tblPr>
      <w:tblGrid>
        <w:gridCol w:w="2160"/>
        <w:gridCol w:w="2160"/>
        <w:gridCol w:w="2160"/>
        <w:gridCol w:w="2160"/>
      </w:tblGrid>
      <w:tr>
        <w:tc>
          <w:tcPr>
            <w:tcW w:type="dxa" w:w="2160"/>
            <w:tcBorders>
              <w:left w:val="none" w:sz="0" w:space="0" w:color="FFFFFF"/>
              <w:right w:val="none" w:sz="0" w:space="0" w:color="FFFFFF"/>
              <w:top w:val="single" w:sz="12" w:space="0" w:color="000000"/>
              <w:bottom w:val="single" w:sz="6" w:space="0" w:color="000000"/>
            </w:tcBorders>
          </w:tcPr>
          <w:p>
            <w:pPr>
              <w:spacing w:before="20" w:after="20" w:line="260" w:lineRule="exact"/>
            </w:pPr>
            <w:r/>
            <w:r>
              <w:rPr>
                <w:rFonts w:ascii="Times New Roman" w:hAnsi="Times New Roman"/>
                <w:b/>
                <w:sz w:val="20"/>
              </w:rPr>
              <w:t>Variable</w:t>
            </w:r>
          </w:p>
        </w:tc>
        <w:tc>
          <w:tcPr>
            <w:tcW w:type="dxa" w:w="216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20"/>
              </w:rPr>
              <w:t>n/N</w:t>
            </w:r>
          </w:p>
        </w:tc>
        <w:tc>
          <w:tcPr>
            <w:tcW w:type="dxa" w:w="216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20"/>
              </w:rPr>
              <w:t>%</w:t>
            </w:r>
          </w:p>
        </w:tc>
        <w:tc>
          <w:tcPr>
            <w:tcW w:type="dxa" w:w="216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20"/>
              </w:rPr>
              <w:t>95% CI</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PROGRESS-Plus Core</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Place of residence (P)</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62/63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98.4</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91.5–99.7</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Race/ethnicity (R)</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36/63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57.1</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44.9–68.6</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 xml:space="preserve">  Framework (among reporters)</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US-derived</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10/36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27.8</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Canadian Census</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1/36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2.8</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Self-identified</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2/36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5.6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Other</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5/36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13.9</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Not stated</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18/36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50.0</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 xml:space="preserve">  Granularity (among reporters)</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Granular</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1/36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2.8</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Moderate</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7/36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19.4</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Coarse</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22/36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61.1</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Binary</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6/36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16.7</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Subgroup analysis conducted</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4.8</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1.6–13.1</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Used as covariate/subgroup</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4/63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2.5–15.2</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Acknowledged as social construct</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0.0</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0.0–5.7</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Occupation (O)</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9/63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14.3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7.7–25.0</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Sex (G)</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60/63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95.2</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86.9–98.4</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Gender (G)</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9/63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14.3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7.7–25.0</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 xml:space="preserve">  Sex/gender distinguished</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4/63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2.5–15.2</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Religion (R)</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0.0</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0.0–5.7</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Education (E)</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22/63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34.9</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24.3–47.2</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SES / income (S)</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18/63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28.6</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18.9–40.7</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Social capital (S)</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3.2</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0.9–10.9</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sz w:val="20"/>
              </w:rPr>
              <w:t>PROGRESS "Plus" Variables</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sz w:val="20"/>
              </w:rPr>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Age</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63/63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100.0</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94.3–100.0</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Disability</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26/63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41.3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30.0–53.6</w:t>
            </w:r>
          </w:p>
        </w:tc>
      </w:tr>
      <w:tr>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SOGI</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2/63</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3.2</w:t>
            </w:r>
          </w:p>
        </w:tc>
        <w:tc>
          <w:tcPr>
            <w:tcW w:type="dxa" w:w="216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0.9–10.9</w:t>
            </w:r>
          </w:p>
        </w:tc>
      </w:tr>
      <w:tr>
        <w:tc>
          <w:tcPr>
            <w:tcW w:type="dxa" w:w="2160"/>
            <w:tcBorders>
              <w:left w:val="none" w:sz="0" w:space="0" w:color="FFFFFF"/>
              <w:right w:val="none" w:sz="0" w:space="0" w:color="FFFFFF"/>
              <w:bottom w:val="single" w:sz="12" w:space="0" w:color="000000"/>
              <w:top w:val="none" w:sz="0" w:space="0" w:color="FFFFFF"/>
            </w:tcBorders>
          </w:tcPr>
          <w:p>
            <w:pPr>
              <w:spacing w:before="20" w:after="20" w:line="260" w:lineRule="exact"/>
            </w:pPr>
            <w:r/>
            <w:r>
              <w:rPr>
                <w:rFonts w:ascii="Times New Roman" w:hAnsi="Times New Roman"/>
                <w:b w:val="0"/>
                <w:sz w:val="20"/>
              </w:rPr>
              <w:t>Intersectional analysis</w:t>
            </w:r>
          </w:p>
        </w:tc>
        <w:tc>
          <w:tcPr>
            <w:tcW w:type="dxa" w:w="216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20"/>
              </w:rPr>
              <w:t>0/63</w:t>
            </w:r>
          </w:p>
        </w:tc>
        <w:tc>
          <w:tcPr>
            <w:tcW w:type="dxa" w:w="216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20"/>
              </w:rPr>
              <w:t>0.0</w:t>
            </w:r>
          </w:p>
        </w:tc>
        <w:tc>
          <w:tcPr>
            <w:tcW w:type="dxa" w:w="216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20"/>
              </w:rPr>
              <w:t>0.0–5.7</w:t>
            </w:r>
          </w:p>
        </w:tc>
      </w:tr>
    </w:tbl>
    <w:p>
      <w:pPr>
        <w:spacing w:before="80"/>
      </w:pPr>
      <w:r>
        <w:rPr>
          <w:rFonts w:ascii="Times New Roman" w:hAnsi="Times New Roman"/>
          <w:i/>
          <w:sz w:val="20"/>
        </w:rPr>
        <w:t xml:space="preserve">Note. </w:t>
      </w:r>
      <w:r>
        <w:rPr>
          <w:rFonts w:ascii="Times New Roman" w:hAnsi="Times New Roman"/>
          <w:sz w:val="20"/>
        </w:rPr>
        <w:t>95% CI computed using Wilson score interval. — indicates CI not applicable for sub-category breakdowns. Race/ethnicity sub-rows use the 36-study reporter denominator. SOGI = sexual orientation and gender identity.</w:t>
      </w:r>
    </w:p>
    <w:p>
      <w:r>
        <w:br w:type="page"/>
      </w:r>
    </w:p>
    <w:p>
      <w:pPr>
        <w:spacing w:after="0" w:before="240"/>
      </w:pPr>
      <w:r>
        <w:rPr>
          <w:rFonts w:ascii="Times New Roman" w:hAnsi="Times New Roman"/>
          <w:b/>
          <w:sz w:val="24"/>
        </w:rPr>
        <w:t>Figure 4</w:t>
      </w:r>
    </w:p>
    <w:p>
      <w:pPr>
        <w:spacing w:after="120" w:before="0"/>
      </w:pPr>
      <w:r>
        <w:rPr>
          <w:rFonts w:ascii="Times New Roman" w:hAnsi="Times New Roman"/>
          <w:i/>
          <w:sz w:val="24"/>
        </w:rPr>
        <w:t>Race / Ethnicity Reporting by Funder Type</w:t>
      </w:r>
    </w:p>
    <w:p>
      <w:pPr>
        <w:jc w:val="center"/>
      </w:pPr>
      <w:r>
        <w:drawing>
          <wp:inline xmlns:a="http://schemas.openxmlformats.org/drawingml/2006/main" xmlns:pic="http://schemas.openxmlformats.org/drawingml/2006/picture">
            <wp:extent cx="5486400" cy="3117633"/>
            <wp:docPr id="4" name="Picture 4"/>
            <wp:cNvGraphicFramePr>
              <a:graphicFrameLocks noChangeAspect="1"/>
            </wp:cNvGraphicFramePr>
            <a:graphic>
              <a:graphicData uri="http://schemas.openxmlformats.org/drawingml/2006/picture">
                <pic:pic>
                  <pic:nvPicPr>
                    <pic:cNvPr id="0" name="figure4_race_by_funder.png"/>
                    <pic:cNvPicPr/>
                  </pic:nvPicPr>
                  <pic:blipFill>
                    <a:blip r:embed="rId12"/>
                    <a:stretch>
                      <a:fillRect/>
                    </a:stretch>
                  </pic:blipFill>
                  <pic:spPr>
                    <a:xfrm>
                      <a:off x="0" y="0"/>
                      <a:ext cx="5486400" cy="3117633"/>
                    </a:xfrm>
                    <a:prstGeom prst="rect"/>
                  </pic:spPr>
                </pic:pic>
              </a:graphicData>
            </a:graphic>
          </wp:inline>
        </w:drawing>
      </w:r>
    </w:p>
    <w:p>
      <w:pPr>
        <w:spacing w:before="80"/>
      </w:pPr>
      <w:r>
        <w:rPr>
          <w:rFonts w:ascii="Times New Roman" w:hAnsi="Times New Roman"/>
          <w:i/>
          <w:sz w:val="20"/>
        </w:rPr>
        <w:t xml:space="preserve">Note. </w:t>
      </w:r>
      <w:r>
        <w:rPr>
          <w:rFonts w:ascii="Times New Roman" w:hAnsi="Times New Roman"/>
          <w:sz w:val="20"/>
        </w:rPr>
        <w:t>Stacked horizontal bars show the number of trials reporting versus not reporting race/ethnicity within each funder category. The right-side label gives the percent of each funder group that reported race/ethnicity. CIHR-funded trials had the highest absolute count of non-reporting (5/16, 31%).</w:t>
      </w:r>
    </w:p>
    <w:p>
      <w:r>
        <w:br w:type="page"/>
      </w:r>
    </w:p>
    <w:p>
      <w:pPr>
        <w:spacing w:after="0" w:before="240"/>
      </w:pPr>
      <w:r>
        <w:rPr>
          <w:rFonts w:ascii="Times New Roman" w:hAnsi="Times New Roman"/>
          <w:b/>
          <w:sz w:val="24"/>
        </w:rPr>
        <w:t>Table 3</w:t>
      </w:r>
    </w:p>
    <w:p>
      <w:pPr>
        <w:spacing w:after="120" w:before="0"/>
      </w:pPr>
      <w:r>
        <w:rPr>
          <w:rFonts w:ascii="Times New Roman" w:hAnsi="Times New Roman"/>
          <w:i/>
          <w:sz w:val="24"/>
        </w:rPr>
        <w:t>Race / Ethnicity Reporting by Funder Type: Cross-Tabulation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left w:val="none" w:sz="0" w:space="0" w:color="FFFFFF"/>
              <w:right w:val="none" w:sz="0" w:space="0" w:color="FFFFFF"/>
              <w:top w:val="single" w:sz="12" w:space="0" w:color="000000"/>
              <w:bottom w:val="single" w:sz="6" w:space="0" w:color="000000"/>
            </w:tcBorders>
          </w:tcPr>
          <w:p>
            <w:pPr>
              <w:spacing w:before="20" w:after="20" w:line="260" w:lineRule="exact"/>
            </w:pPr>
            <w:r/>
            <w:r>
              <w:rPr>
                <w:rFonts w:ascii="Times New Roman" w:hAnsi="Times New Roman"/>
                <w:b/>
                <w:sz w:val="20"/>
              </w:rPr>
              <w:t>Funder Type</w:t>
            </w:r>
          </w:p>
        </w:tc>
        <w:tc>
          <w:tcPr>
            <w:tcW w:type="dxa" w:w="144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20"/>
              </w:rPr>
              <w:t>Yes</w:t>
            </w:r>
          </w:p>
        </w:tc>
        <w:tc>
          <w:tcPr>
            <w:tcW w:type="dxa" w:w="144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20"/>
              </w:rPr>
              <w:t>Partial</w:t>
            </w:r>
          </w:p>
        </w:tc>
        <w:tc>
          <w:tcPr>
            <w:tcW w:type="dxa" w:w="144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20"/>
              </w:rPr>
              <w:t>No</w:t>
            </w:r>
          </w:p>
        </w:tc>
        <w:tc>
          <w:tcPr>
            <w:tcW w:type="dxa" w:w="144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20"/>
              </w:rPr>
              <w:t>Total</w:t>
            </w:r>
          </w:p>
        </w:tc>
        <w:tc>
          <w:tcPr>
            <w:tcW w:type="dxa" w:w="144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20"/>
              </w:rPr>
              <w:t>% Reported</w:t>
            </w:r>
          </w:p>
        </w:tc>
      </w:tr>
      <w:tr>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Industry</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13</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53.8</w:t>
            </w:r>
          </w:p>
        </w:tc>
      </w:tr>
      <w:tr>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CIHR</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11</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5</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16</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68.8</w:t>
            </w:r>
          </w:p>
        </w:tc>
      </w:tr>
      <w:tr>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NIH</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100.0</w:t>
            </w:r>
          </w:p>
        </w:tc>
      </w:tr>
      <w:tr>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Other government</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4</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57.1</w:t>
            </w:r>
          </w:p>
        </w:tc>
      </w:tr>
      <w:tr>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20"/>
              </w:rPr>
              <w:t>Foundation</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7</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0</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12</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19</w:t>
            </w:r>
          </w:p>
        </w:tc>
        <w:tc>
          <w:tcPr>
            <w:tcW w:type="dxa" w:w="144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20"/>
              </w:rPr>
              <w:t>36.8</w:t>
            </w:r>
          </w:p>
        </w:tc>
      </w:tr>
      <w:tr>
        <w:tc>
          <w:tcPr>
            <w:tcW w:type="dxa" w:w="1440"/>
            <w:tcBorders>
              <w:left w:val="none" w:sz="0" w:space="0" w:color="FFFFFF"/>
              <w:right w:val="none" w:sz="0" w:space="0" w:color="FFFFFF"/>
              <w:bottom w:val="single" w:sz="12" w:space="0" w:color="000000"/>
              <w:top w:val="none" w:sz="0" w:space="0" w:color="FFFFFF"/>
            </w:tcBorders>
          </w:tcPr>
          <w:p>
            <w:pPr>
              <w:spacing w:before="20" w:after="20" w:line="260" w:lineRule="exact"/>
            </w:pPr>
            <w:r/>
            <w:r>
              <w:rPr>
                <w:rFonts w:ascii="Times New Roman" w:hAnsi="Times New Roman"/>
                <w:b w:val="0"/>
                <w:sz w:val="20"/>
              </w:rPr>
              <w:t>Not reported</w:t>
            </w:r>
          </w:p>
        </w:tc>
        <w:tc>
          <w:tcPr>
            <w:tcW w:type="dxa" w:w="144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20"/>
              </w:rPr>
              <w:t>0</w:t>
            </w:r>
          </w:p>
        </w:tc>
        <w:tc>
          <w:tcPr>
            <w:tcW w:type="dxa" w:w="144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20"/>
              </w:rPr>
              <w:t>0</w:t>
            </w:r>
          </w:p>
        </w:tc>
        <w:tc>
          <w:tcPr>
            <w:tcW w:type="dxa" w:w="144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20"/>
              </w:rPr>
              <w:t>1</w:t>
            </w:r>
          </w:p>
        </w:tc>
        <w:tc>
          <w:tcPr>
            <w:tcW w:type="dxa" w:w="144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20"/>
              </w:rPr>
              <w:t>1</w:t>
            </w:r>
          </w:p>
        </w:tc>
        <w:tc>
          <w:tcPr>
            <w:tcW w:type="dxa" w:w="144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20"/>
              </w:rPr>
              <w:t>0.0</w:t>
            </w:r>
          </w:p>
        </w:tc>
      </w:tr>
    </w:tbl>
    <w:p>
      <w:pPr>
        <w:spacing w:before="80"/>
      </w:pPr>
      <w:r>
        <w:rPr>
          <w:rFonts w:ascii="Times New Roman" w:hAnsi="Times New Roman"/>
          <w:i/>
          <w:sz w:val="20"/>
        </w:rPr>
        <w:t xml:space="preserve">Note. </w:t>
      </w:r>
      <w:r>
        <w:rPr>
          <w:rFonts w:ascii="Times New Roman" w:hAnsi="Times New Roman"/>
          <w:sz w:val="20"/>
        </w:rPr>
        <w:t>Chi-square = 10.72, df = 5, p = 0.057. "% Reported" counts strict "Yes" responses only. CIHR = Canadian Institutes of Health Research. NIH = National Institutes of Health.</w:t>
      </w:r>
    </w:p>
    <w:p>
      <w:r>
        <w:br w:type="page"/>
      </w:r>
    </w:p>
    <w:p>
      <w:pPr>
        <w:spacing w:after="0" w:before="240"/>
      </w:pPr>
      <w:r>
        <w:rPr>
          <w:rFonts w:ascii="Times New Roman" w:hAnsi="Times New Roman"/>
          <w:b/>
          <w:sz w:val="24"/>
        </w:rPr>
        <w:t>Figure 5</w:t>
      </w:r>
    </w:p>
    <w:p>
      <w:pPr>
        <w:spacing w:after="120" w:before="0"/>
      </w:pPr>
      <w:r>
        <w:rPr>
          <w:rFonts w:ascii="Times New Roman" w:hAnsi="Times New Roman"/>
          <w:i/>
          <w:sz w:val="24"/>
        </w:rPr>
        <w:t>Indigenous Participation and Governance Indicators (7 Trials)</w:t>
      </w:r>
    </w:p>
    <w:p>
      <w:pPr>
        <w:jc w:val="center"/>
      </w:pPr>
      <w:r>
        <w:drawing>
          <wp:inline xmlns:a="http://schemas.openxmlformats.org/drawingml/2006/main" xmlns:pic="http://schemas.openxmlformats.org/drawingml/2006/picture">
            <wp:extent cx="5943600" cy="3252076"/>
            <wp:docPr id="5" name="Picture 5"/>
            <wp:cNvGraphicFramePr>
              <a:graphicFrameLocks noChangeAspect="1"/>
            </wp:cNvGraphicFramePr>
            <a:graphic>
              <a:graphicData uri="http://schemas.openxmlformats.org/drawingml/2006/picture">
                <pic:pic>
                  <pic:nvPicPr>
                    <pic:cNvPr id="0" name="figure5_indigenous_heatmap.png"/>
                    <pic:cNvPicPr/>
                  </pic:nvPicPr>
                  <pic:blipFill>
                    <a:blip r:embed="rId13"/>
                    <a:stretch>
                      <a:fillRect/>
                    </a:stretch>
                  </pic:blipFill>
                  <pic:spPr>
                    <a:xfrm>
                      <a:off x="0" y="0"/>
                      <a:ext cx="5943600" cy="3252076"/>
                    </a:xfrm>
                    <a:prstGeom prst="rect"/>
                  </pic:spPr>
                </pic:pic>
              </a:graphicData>
            </a:graphic>
          </wp:inline>
        </w:drawing>
      </w:r>
    </w:p>
    <w:p>
      <w:pPr>
        <w:spacing w:before="80"/>
      </w:pPr>
      <w:r>
        <w:rPr>
          <w:rFonts w:ascii="Times New Roman" w:hAnsi="Times New Roman"/>
          <w:i/>
          <w:sz w:val="20"/>
        </w:rPr>
        <w:t xml:space="preserve">Note. </w:t>
      </w:r>
      <w:r>
        <w:rPr>
          <w:rFonts w:ascii="Times New Roman" w:hAnsi="Times New Roman"/>
          <w:sz w:val="20"/>
        </w:rPr>
        <w:t>Filled circles indicate Yes; gray circles indicate partial or non-specific reporting; open circles indicate No. The vertical rule separates "Documented" from "Governance &amp; OCAP" indicators. OCAP = Ownership, Control, Access, Possession (First Nations principles). No trial referenced OCAP principles or any Indigenous data governance framework.</w:t>
      </w:r>
    </w:p>
    <w:p>
      <w:r>
        <w:br w:type="page"/>
      </w:r>
    </w:p>
    <w:p>
      <w:pPr>
        <w:spacing w:after="0" w:before="240"/>
      </w:pPr>
      <w:r>
        <w:rPr>
          <w:rFonts w:ascii="Times New Roman" w:hAnsi="Times New Roman"/>
          <w:b/>
          <w:sz w:val="24"/>
        </w:rPr>
        <w:t>Table 4</w:t>
      </w:r>
    </w:p>
    <w:p>
      <w:pPr>
        <w:spacing w:after="120" w:before="0"/>
      </w:pPr>
      <w:r>
        <w:rPr>
          <w:rFonts w:ascii="Times New Roman" w:hAnsi="Times New Roman"/>
          <w:i/>
          <w:sz w:val="24"/>
        </w:rPr>
        <w:t>Detailed Indigenous Participation Characteristics (7 Trials)</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18"/>
              </w:rPr>
              <w:t>Rec #</w:t>
            </w:r>
          </w:p>
        </w:tc>
        <w:tc>
          <w:tcPr>
            <w:tcW w:type="dxa" w:w="1080"/>
            <w:tcBorders>
              <w:left w:val="none" w:sz="0" w:space="0" w:color="FFFFFF"/>
              <w:right w:val="none" w:sz="0" w:space="0" w:color="FFFFFF"/>
              <w:top w:val="single" w:sz="12" w:space="0" w:color="000000"/>
              <w:bottom w:val="single" w:sz="6" w:space="0" w:color="000000"/>
            </w:tcBorders>
          </w:tcPr>
          <w:p>
            <w:pPr>
              <w:spacing w:before="20" w:after="20" w:line="260" w:lineRule="exact"/>
            </w:pPr>
            <w:r/>
            <w:r>
              <w:rPr>
                <w:rFonts w:ascii="Times New Roman" w:hAnsi="Times New Roman"/>
                <w:b/>
                <w:sz w:val="18"/>
              </w:rPr>
              <w:t>Study</w:t>
            </w:r>
          </w:p>
        </w:tc>
        <w:tc>
          <w:tcPr>
            <w:tcW w:type="dxa" w:w="1080"/>
            <w:tcBorders>
              <w:left w:val="none" w:sz="0" w:space="0" w:color="FFFFFF"/>
              <w:right w:val="none" w:sz="0" w:space="0" w:color="FFFFFF"/>
              <w:top w:val="single" w:sz="12" w:space="0" w:color="000000"/>
              <w:bottom w:val="single" w:sz="6" w:space="0" w:color="000000"/>
            </w:tcBorders>
          </w:tcPr>
          <w:p>
            <w:pPr>
              <w:spacing w:before="20" w:after="20" w:line="260" w:lineRule="exact"/>
            </w:pPr>
            <w:r/>
            <w:r>
              <w:rPr>
                <w:rFonts w:ascii="Times New Roman" w:hAnsi="Times New Roman"/>
                <w:b/>
                <w:sz w:val="18"/>
              </w:rPr>
              <w:t>Disorder</w:t>
            </w:r>
          </w:p>
        </w:tc>
        <w:tc>
          <w:tcPr>
            <w:tcW w:type="dxa" w:w="108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18"/>
              </w:rPr>
              <w:t>N</w:t>
            </w:r>
          </w:p>
        </w:tc>
        <w:tc>
          <w:tcPr>
            <w:tcW w:type="dxa" w:w="1080"/>
            <w:tcBorders>
              <w:left w:val="none" w:sz="0" w:space="0" w:color="FFFFFF"/>
              <w:right w:val="none" w:sz="0" w:space="0" w:color="FFFFFF"/>
              <w:top w:val="single" w:sz="12" w:space="0" w:color="000000"/>
              <w:bottom w:val="single" w:sz="6" w:space="0" w:color="000000"/>
            </w:tcBorders>
          </w:tcPr>
          <w:p>
            <w:pPr>
              <w:spacing w:before="20" w:after="20" w:line="260" w:lineRule="exact"/>
            </w:pPr>
            <w:r/>
            <w:r>
              <w:rPr>
                <w:rFonts w:ascii="Times New Roman" w:hAnsi="Times New Roman"/>
                <w:b/>
                <w:sz w:val="18"/>
              </w:rPr>
              <w:t>Groups</w:t>
            </w:r>
          </w:p>
        </w:tc>
        <w:tc>
          <w:tcPr>
            <w:tcW w:type="dxa" w:w="1080"/>
            <w:tcBorders>
              <w:left w:val="none" w:sz="0" w:space="0" w:color="FFFFFF"/>
              <w:right w:val="none" w:sz="0" w:space="0" w:color="FFFFFF"/>
              <w:top w:val="single" w:sz="12" w:space="0" w:color="000000"/>
              <w:bottom w:val="single" w:sz="6" w:space="0" w:color="000000"/>
            </w:tcBorders>
          </w:tcPr>
          <w:p>
            <w:pPr>
              <w:spacing w:before="20" w:after="20" w:line="260" w:lineRule="exact"/>
            </w:pPr>
            <w:r/>
            <w:r>
              <w:rPr>
                <w:rFonts w:ascii="Times New Roman" w:hAnsi="Times New Roman"/>
                <w:b/>
                <w:sz w:val="18"/>
              </w:rPr>
              <w:t>Partnership</w:t>
            </w:r>
          </w:p>
        </w:tc>
        <w:tc>
          <w:tcPr>
            <w:tcW w:type="dxa" w:w="1080"/>
            <w:tcBorders>
              <w:left w:val="none" w:sz="0" w:space="0" w:color="FFFFFF"/>
              <w:right w:val="none" w:sz="0" w:space="0" w:color="FFFFFF"/>
              <w:top w:val="single" w:sz="12" w:space="0" w:color="000000"/>
              <w:bottom w:val="single" w:sz="6" w:space="0" w:color="000000"/>
            </w:tcBorders>
          </w:tcPr>
          <w:p>
            <w:pPr>
              <w:spacing w:before="20" w:after="20" w:line="260" w:lineRule="exact"/>
              <w:jc w:val="center"/>
            </w:pPr>
            <w:r/>
            <w:r>
              <w:rPr>
                <w:rFonts w:ascii="Times New Roman" w:hAnsi="Times New Roman"/>
                <w:b/>
                <w:sz w:val="18"/>
              </w:rPr>
              <w:t>Sov.</w:t>
            </w:r>
          </w:p>
        </w:tc>
        <w:tc>
          <w:tcPr>
            <w:tcW w:type="dxa" w:w="1080"/>
            <w:tcBorders>
              <w:left w:val="none" w:sz="0" w:space="0" w:color="FFFFFF"/>
              <w:right w:val="none" w:sz="0" w:space="0" w:color="FFFFFF"/>
              <w:top w:val="single" w:sz="12" w:space="0" w:color="000000"/>
              <w:bottom w:val="single" w:sz="6" w:space="0" w:color="000000"/>
            </w:tcBorders>
          </w:tcPr>
          <w:p>
            <w:pPr>
              <w:spacing w:before="20" w:after="20" w:line="260" w:lineRule="exact"/>
            </w:pPr>
            <w:r/>
            <w:r>
              <w:rPr>
                <w:rFonts w:ascii="Times New Roman" w:hAnsi="Times New Roman"/>
                <w:b/>
                <w:sz w:val="18"/>
              </w:rPr>
              <w:t>Notes</w:t>
            </w:r>
          </w:p>
        </w:tc>
      </w:tr>
      <w:tr>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8</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Malla (2013)</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Psychotic</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85</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Aboriginal (not further specified)</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No</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0</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Aboriginal participants (n=2, 2.6%) reported in Table 2 as a race category. No Indigenous-specific recruitment, analysis, or governance described. Ter…</w:t>
            </w:r>
          </w:p>
        </w:tc>
      </w:tr>
      <w:tr>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14</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Jacob (2022)</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Other</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321</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American Indian or Alaska Native (US context, not Canadian Indigenous)</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No</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0</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2 participants identified as American Indian or Alaska Native (both in placebo group). US-context Indigenous category, not Canadian First Nations/Inui…</w:t>
            </w:r>
          </w:p>
        </w:tc>
      </w:tr>
      <w:tr>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21</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Oviedo-Joekes (2016)</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Substance Use</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202</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Aboriginal ancestry (not further specified)</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No</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0</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~30% Aboriginal ancestry — highest Indigenous rate in dataset. DTES Vancouver population. No OCAP or Indigenous governance described despite high part…</w:t>
            </w:r>
          </w:p>
        </w:tc>
      </w:tr>
      <w:tr>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61</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Shiwach (2025a)</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Substance Use</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435</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American Indian or Alaska Native (US context, n=6, 1.4%); Native Hawaiian/Other Pacific Islander (n=3, 0.7%)</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No</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0</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American Indian/Alaska Native n=6 (1.4%) and Native Hawaiian/PI n=3 (0.7%). US Indigenous context, not Canadian First Nations/Inuit/Metis. Aggregated …</w:t>
            </w:r>
          </w:p>
        </w:tc>
      </w:tr>
      <w:tr>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79</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Jutras-Aswad (2022)</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Substance Use</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272</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First Nations; Metis</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No</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0</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First Nations 16.9% + Metis 4.8% = 21.7% Indigenous. HIGHEST Indigenous rate with SPECIFIC groups named (First Nations vs Metis). CIHR-funded all-Cana…</w:t>
            </w:r>
          </w:p>
        </w:tc>
      </w:tr>
      <w:tr>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110</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Shiwach (2025b)</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Substance Use</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785</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American Indian/Alaska Native (US context, n~6, 0.8%)</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No</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jc w:val="center"/>
            </w:pPr>
            <w:r/>
            <w:r>
              <w:rPr>
                <w:rFonts w:ascii="Times New Roman" w:hAnsi="Times New Roman"/>
                <w:b w:val="0"/>
                <w:sz w:val="18"/>
              </w:rPr>
              <w:t>0</w:t>
            </w:r>
          </w:p>
        </w:tc>
        <w:tc>
          <w:tcPr>
            <w:tcW w:type="dxa" w:w="1080"/>
            <w:tcBorders>
              <w:left w:val="none" w:sz="0" w:space="0" w:color="FFFFFF"/>
              <w:right w:val="none" w:sz="0" w:space="0" w:color="FFFFFF"/>
              <w:top w:val="none" w:sz="0" w:space="0" w:color="FFFFFF"/>
              <w:bottom w:val="none" w:sz="0" w:space="0" w:color="FFFFFF"/>
            </w:tcBorders>
          </w:tcPr>
          <w:p>
            <w:pPr>
              <w:spacing w:before="20" w:after="20" w:line="260" w:lineRule="exact"/>
            </w:pPr>
            <w:r/>
            <w:r>
              <w:rPr>
                <w:rFonts w:ascii="Times New Roman" w:hAnsi="Times New Roman"/>
                <w:b w:val="0"/>
                <w:sz w:val="18"/>
              </w:rPr>
              <w:t>American Indian/Alaska Native 0.8%, Native Hawaiian/PI 0.7%. US Indigenous context.</w:t>
            </w:r>
          </w:p>
        </w:tc>
      </w:tr>
      <w:tr>
        <w:tc>
          <w:tcPr>
            <w:tcW w:type="dxa" w:w="108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18"/>
              </w:rPr>
              <w:t>124</w:t>
            </w:r>
          </w:p>
        </w:tc>
        <w:tc>
          <w:tcPr>
            <w:tcW w:type="dxa" w:w="1080"/>
            <w:tcBorders>
              <w:left w:val="none" w:sz="0" w:space="0" w:color="FFFFFF"/>
              <w:right w:val="none" w:sz="0" w:space="0" w:color="FFFFFF"/>
              <w:bottom w:val="single" w:sz="12" w:space="0" w:color="000000"/>
              <w:top w:val="none" w:sz="0" w:space="0" w:color="FFFFFF"/>
            </w:tcBorders>
          </w:tcPr>
          <w:p>
            <w:pPr>
              <w:spacing w:before="20" w:after="20" w:line="260" w:lineRule="exact"/>
            </w:pPr>
            <w:r/>
            <w:r>
              <w:rPr>
                <w:rFonts w:ascii="Times New Roman" w:hAnsi="Times New Roman"/>
                <w:b w:val="0"/>
                <w:sz w:val="18"/>
              </w:rPr>
              <w:t>Corkum (2020)</w:t>
            </w:r>
          </w:p>
        </w:tc>
        <w:tc>
          <w:tcPr>
            <w:tcW w:type="dxa" w:w="1080"/>
            <w:tcBorders>
              <w:left w:val="none" w:sz="0" w:space="0" w:color="FFFFFF"/>
              <w:right w:val="none" w:sz="0" w:space="0" w:color="FFFFFF"/>
              <w:bottom w:val="single" w:sz="12" w:space="0" w:color="000000"/>
              <w:top w:val="none" w:sz="0" w:space="0" w:color="FFFFFF"/>
            </w:tcBorders>
          </w:tcPr>
          <w:p>
            <w:pPr>
              <w:spacing w:before="20" w:after="20" w:line="260" w:lineRule="exact"/>
            </w:pPr>
            <w:r/>
            <w:r>
              <w:rPr>
                <w:rFonts w:ascii="Times New Roman" w:hAnsi="Times New Roman"/>
                <w:b w:val="0"/>
                <w:sz w:val="18"/>
              </w:rPr>
              <w:t>ADHD</w:t>
            </w:r>
          </w:p>
        </w:tc>
        <w:tc>
          <w:tcPr>
            <w:tcW w:type="dxa" w:w="108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18"/>
              </w:rPr>
              <w:t>26</w:t>
            </w:r>
          </w:p>
        </w:tc>
        <w:tc>
          <w:tcPr>
            <w:tcW w:type="dxa" w:w="1080"/>
            <w:tcBorders>
              <w:left w:val="none" w:sz="0" w:space="0" w:color="FFFFFF"/>
              <w:right w:val="none" w:sz="0" w:space="0" w:color="FFFFFF"/>
              <w:bottom w:val="single" w:sz="12" w:space="0" w:color="000000"/>
              <w:top w:val="none" w:sz="0" w:space="0" w:color="FFFFFF"/>
            </w:tcBorders>
          </w:tcPr>
          <w:p>
            <w:pPr>
              <w:spacing w:before="20" w:after="20" w:line="260" w:lineRule="exact"/>
            </w:pPr>
            <w:r/>
            <w:r>
              <w:rPr>
                <w:rFonts w:ascii="Times New Roman" w:hAnsi="Times New Roman"/>
                <w:b w:val="0"/>
                <w:sz w:val="18"/>
              </w:rPr>
              <w:t>Aboriginal (unspecified, n=2, 7.7%)</w:t>
            </w:r>
          </w:p>
        </w:tc>
        <w:tc>
          <w:tcPr>
            <w:tcW w:type="dxa" w:w="1080"/>
            <w:tcBorders>
              <w:left w:val="none" w:sz="0" w:space="0" w:color="FFFFFF"/>
              <w:right w:val="none" w:sz="0" w:space="0" w:color="FFFFFF"/>
              <w:bottom w:val="single" w:sz="12" w:space="0" w:color="000000"/>
              <w:top w:val="none" w:sz="0" w:space="0" w:color="FFFFFF"/>
            </w:tcBorders>
          </w:tcPr>
          <w:p>
            <w:pPr>
              <w:spacing w:before="20" w:after="20" w:line="260" w:lineRule="exact"/>
            </w:pPr>
            <w:r/>
            <w:r>
              <w:rPr>
                <w:rFonts w:ascii="Times New Roman" w:hAnsi="Times New Roman"/>
                <w:b w:val="0"/>
                <w:sz w:val="18"/>
              </w:rPr>
              <w:t>No</w:t>
            </w:r>
          </w:p>
        </w:tc>
        <w:tc>
          <w:tcPr>
            <w:tcW w:type="dxa" w:w="1080"/>
            <w:tcBorders>
              <w:left w:val="none" w:sz="0" w:space="0" w:color="FFFFFF"/>
              <w:right w:val="none" w:sz="0" w:space="0" w:color="FFFFFF"/>
              <w:bottom w:val="single" w:sz="12" w:space="0" w:color="000000"/>
              <w:top w:val="none" w:sz="0" w:space="0" w:color="FFFFFF"/>
            </w:tcBorders>
          </w:tcPr>
          <w:p>
            <w:pPr>
              <w:spacing w:before="20" w:after="20" w:line="260" w:lineRule="exact"/>
              <w:jc w:val="center"/>
            </w:pPr>
            <w:r/>
            <w:r>
              <w:rPr>
                <w:rFonts w:ascii="Times New Roman" w:hAnsi="Times New Roman"/>
                <w:b w:val="0"/>
                <w:sz w:val="18"/>
              </w:rPr>
              <w:t>0</w:t>
            </w:r>
          </w:p>
        </w:tc>
        <w:tc>
          <w:tcPr>
            <w:tcW w:type="dxa" w:w="1080"/>
            <w:tcBorders>
              <w:left w:val="none" w:sz="0" w:space="0" w:color="FFFFFF"/>
              <w:right w:val="none" w:sz="0" w:space="0" w:color="FFFFFF"/>
              <w:bottom w:val="single" w:sz="12" w:space="0" w:color="000000"/>
              <w:top w:val="none" w:sz="0" w:space="0" w:color="FFFFFF"/>
            </w:tcBorders>
          </w:tcPr>
          <w:p>
            <w:pPr>
              <w:spacing w:before="20" w:after="20" w:line="260" w:lineRule="exact"/>
            </w:pPr>
            <w:r/>
            <w:r>
              <w:rPr>
                <w:rFonts w:ascii="Times New Roman" w:hAnsi="Times New Roman"/>
                <w:b w:val="0"/>
                <w:sz w:val="18"/>
              </w:rPr>
              <w:t>Aboriginal 7.7% (n=2). Nova Scotia has significant Mi'kmaq population. No OCAP or Indigenous governance.</w:t>
            </w:r>
          </w:p>
        </w:tc>
      </w:tr>
    </w:tbl>
    <w:p>
      <w:pPr>
        <w:spacing w:before="80"/>
      </w:pPr>
      <w:r>
        <w:rPr>
          <w:rFonts w:ascii="Times New Roman" w:hAnsi="Times New Roman"/>
          <w:i/>
          <w:sz w:val="20"/>
        </w:rPr>
        <w:t xml:space="preserve">Note. </w:t>
      </w:r>
      <w:r>
        <w:rPr>
          <w:rFonts w:ascii="Times New Roman" w:hAnsi="Times New Roman"/>
          <w:sz w:val="20"/>
        </w:rPr>
        <w:t>Sov. = Indigenous Data Sovereignty Score (0 = no mention; 1 = statement only; 2 = protocol referenced; 3 = full governance). All seven trials scored 0. OCAP = Ownership, Control, Access, Possession.</w:t>
      </w:r>
    </w:p>
    <w:p>
      <w:r>
        <w:br w:type="page"/>
      </w:r>
    </w:p>
    <w:p>
      <w:pPr>
        <w:spacing w:after="0" w:before="240"/>
      </w:pPr>
      <w:r>
        <w:rPr>
          <w:rFonts w:ascii="Times New Roman" w:hAnsi="Times New Roman"/>
          <w:b/>
          <w:sz w:val="24"/>
        </w:rPr>
        <w:t>Figure 6</w:t>
      </w:r>
    </w:p>
    <w:p>
      <w:pPr>
        <w:spacing w:after="120" w:before="0"/>
      </w:pPr>
      <w:r>
        <w:rPr>
          <w:rFonts w:ascii="Times New Roman" w:hAnsi="Times New Roman"/>
          <w:i/>
          <w:sz w:val="24"/>
        </w:rPr>
        <w:t>Sex vs. Gender Reporting (N = 63)</w:t>
      </w:r>
    </w:p>
    <w:p>
      <w:pPr>
        <w:jc w:val="center"/>
      </w:pPr>
      <w:r>
        <w:drawing>
          <wp:inline xmlns:a="http://schemas.openxmlformats.org/drawingml/2006/main" xmlns:pic="http://schemas.openxmlformats.org/drawingml/2006/picture">
            <wp:extent cx="5486400" cy="1466250"/>
            <wp:docPr id="6" name="Picture 6"/>
            <wp:cNvGraphicFramePr>
              <a:graphicFrameLocks noChangeAspect="1"/>
            </wp:cNvGraphicFramePr>
            <a:graphic>
              <a:graphicData uri="http://schemas.openxmlformats.org/drawingml/2006/picture">
                <pic:pic>
                  <pic:nvPicPr>
                    <pic:cNvPr id="0" name="figure6_sex_gender.png"/>
                    <pic:cNvPicPr/>
                  </pic:nvPicPr>
                  <pic:blipFill>
                    <a:blip r:embed="rId14"/>
                    <a:stretch>
                      <a:fillRect/>
                    </a:stretch>
                  </pic:blipFill>
                  <pic:spPr>
                    <a:xfrm>
                      <a:off x="0" y="0"/>
                      <a:ext cx="5486400" cy="1466250"/>
                    </a:xfrm>
                    <a:prstGeom prst="rect"/>
                  </pic:spPr>
                </pic:pic>
              </a:graphicData>
            </a:graphic>
          </wp:inline>
        </w:drawing>
      </w:r>
    </w:p>
    <w:p>
      <w:pPr>
        <w:spacing w:before="80"/>
      </w:pPr>
      <w:r>
        <w:rPr>
          <w:rFonts w:ascii="Times New Roman" w:hAnsi="Times New Roman"/>
          <w:i/>
          <w:sz w:val="20"/>
        </w:rPr>
        <w:t xml:space="preserve">Note. </w:t>
      </w:r>
      <w:r>
        <w:rPr>
          <w:rFonts w:ascii="Times New Roman" w:hAnsi="Times New Roman"/>
          <w:sz w:val="20"/>
        </w:rPr>
        <w:t>Stacked horizontal bar showing the four mutually exclusive categories. All four trials that distinguished sex from gender were published 2022–2025. "Gender only" comprises three trials reporting gender identity but not biological sex.</w:t>
      </w:r>
    </w:p>
    <w:p>
      <w:r>
        <w:br w:type="page"/>
      </w:r>
    </w:p>
    <w:p>
      <w:pPr>
        <w:spacing w:after="0" w:before="240"/>
      </w:pPr>
      <w:r>
        <w:rPr>
          <w:rFonts w:ascii="Times New Roman" w:hAnsi="Times New Roman"/>
          <w:b/>
          <w:sz w:val="24"/>
        </w:rPr>
        <w:t>Figure 7</w:t>
      </w:r>
    </w:p>
    <w:p>
      <w:pPr>
        <w:spacing w:after="120" w:before="0"/>
      </w:pPr>
      <w:r>
        <w:rPr>
          <w:rFonts w:ascii="Times New Roman" w:hAnsi="Times New Roman"/>
          <w:i/>
          <w:sz w:val="24"/>
        </w:rPr>
        <w:t>CONSORT-Equity Compliance (N = 63)</w:t>
      </w:r>
    </w:p>
    <w:p>
      <w:pPr>
        <w:jc w:val="center"/>
      </w:pPr>
      <w:r>
        <w:drawing>
          <wp:inline xmlns:a="http://schemas.openxmlformats.org/drawingml/2006/main" xmlns:pic="http://schemas.openxmlformats.org/drawingml/2006/picture">
            <wp:extent cx="5486400" cy="1321812"/>
            <wp:docPr id="7" name="Picture 7"/>
            <wp:cNvGraphicFramePr>
              <a:graphicFrameLocks noChangeAspect="1"/>
            </wp:cNvGraphicFramePr>
            <a:graphic>
              <a:graphicData uri="http://schemas.openxmlformats.org/drawingml/2006/picture">
                <pic:pic>
                  <pic:nvPicPr>
                    <pic:cNvPr id="0" name="figure7_consort_equity.png"/>
                    <pic:cNvPicPr/>
                  </pic:nvPicPr>
                  <pic:blipFill>
                    <a:blip r:embed="rId15"/>
                    <a:stretch>
                      <a:fillRect/>
                    </a:stretch>
                  </pic:blipFill>
                  <pic:spPr>
                    <a:xfrm>
                      <a:off x="0" y="0"/>
                      <a:ext cx="5486400" cy="1321812"/>
                    </a:xfrm>
                    <a:prstGeom prst="rect"/>
                  </pic:spPr>
                </pic:pic>
              </a:graphicData>
            </a:graphic>
          </wp:inline>
        </w:drawing>
      </w:r>
    </w:p>
    <w:p>
      <w:pPr>
        <w:spacing w:before="80"/>
      </w:pPr>
      <w:r>
        <w:rPr>
          <w:rFonts w:ascii="Times New Roman" w:hAnsi="Times New Roman"/>
          <w:i/>
          <w:sz w:val="20"/>
        </w:rPr>
        <w:t xml:space="preserve">Note. </w:t>
      </w:r>
      <w:r>
        <w:rPr>
          <w:rFonts w:ascii="Times New Roman" w:hAnsi="Times New Roman"/>
          <w:sz w:val="20"/>
        </w:rPr>
        <w:t>CONSORT-Equity compliance assessed against Welch et al. (2017): sociodemographic characteristics reported, equity-relevant subgroup analyses, and generalizability discussion with explicit equity reference. No trial achieved full compliance on all three criteria (0 / 63, 0%).</w:t>
      </w:r>
    </w:p>
    <w:p>
      <w:r>
        <w:br w:type="page"/>
      </w:r>
    </w:p>
    <w:p>
      <w:pPr>
        <w:spacing w:after="0" w:before="240"/>
      </w:pPr>
      <w:r>
        <w:rPr>
          <w:rFonts w:ascii="Times New Roman" w:hAnsi="Times New Roman"/>
          <w:b/>
          <w:sz w:val="24"/>
        </w:rPr>
        <w:t>Figure 8</w:t>
      </w:r>
    </w:p>
    <w:p>
      <w:pPr>
        <w:spacing w:after="120" w:before="0"/>
      </w:pPr>
      <w:r>
        <w:rPr>
          <w:rFonts w:ascii="Times New Roman" w:hAnsi="Times New Roman"/>
          <w:i/>
          <w:sz w:val="24"/>
        </w:rPr>
        <w:t>PROGRESS-Plus Reporting Completeness by Publication Year and Sample Size</w:t>
      </w:r>
    </w:p>
    <w:p>
      <w:pPr>
        <w:jc w:val="center"/>
      </w:pPr>
      <w:r>
        <w:drawing>
          <wp:inline xmlns:a="http://schemas.openxmlformats.org/drawingml/2006/main" xmlns:pic="http://schemas.openxmlformats.org/drawingml/2006/picture">
            <wp:extent cx="5943600" cy="3745535"/>
            <wp:docPr id="8" name="Picture 8"/>
            <wp:cNvGraphicFramePr>
              <a:graphicFrameLocks noChangeAspect="1"/>
            </wp:cNvGraphicFramePr>
            <a:graphic>
              <a:graphicData uri="http://schemas.openxmlformats.org/drawingml/2006/picture">
                <pic:pic>
                  <pic:nvPicPr>
                    <pic:cNvPr id="0" name="figure8_bubble_completeness.png"/>
                    <pic:cNvPicPr/>
                  </pic:nvPicPr>
                  <pic:blipFill>
                    <a:blip r:embed="rId16"/>
                    <a:stretch>
                      <a:fillRect/>
                    </a:stretch>
                  </pic:blipFill>
                  <pic:spPr>
                    <a:xfrm>
                      <a:off x="0" y="0"/>
                      <a:ext cx="5943600" cy="3745535"/>
                    </a:xfrm>
                    <a:prstGeom prst="rect"/>
                  </pic:spPr>
                </pic:pic>
              </a:graphicData>
            </a:graphic>
          </wp:inline>
        </w:drawing>
      </w:r>
    </w:p>
    <w:p>
      <w:pPr>
        <w:spacing w:before="80"/>
      </w:pPr>
      <w:r>
        <w:rPr>
          <w:rFonts w:ascii="Times New Roman" w:hAnsi="Times New Roman"/>
          <w:i/>
          <w:sz w:val="20"/>
        </w:rPr>
        <w:t xml:space="preserve">Note. </w:t>
      </w:r>
      <w:r>
        <w:rPr>
          <w:rFonts w:ascii="Times New Roman" w:hAnsi="Times New Roman"/>
          <w:sz w:val="20"/>
        </w:rPr>
        <w:t>Completeness score = count of PROGRESS-Plus variables reported (0–13). Marker area is proportional to total sample size. Marker shape indicates disorder category. The dashed line is the ordinary least-squares trend (slope and significance shown in the legend).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