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2C79E6" w:rsidP="0DC534DB" w:rsidRDefault="002C79E6" w14:paraId="2AA79307" w14:textId="5ED46D0D">
      <w:pPr>
        <w:rPr>
          <w:rFonts w:ascii="Times New Roman" w:hAnsi="Times New Roman" w:eastAsia="Times New Roman" w:cs="Times New Roman"/>
          <w:sz w:val="24"/>
          <w:szCs w:val="24"/>
        </w:rPr>
      </w:pPr>
    </w:p>
    <w:p w:rsidR="002C79E6" w:rsidP="0DC534DB" w:rsidRDefault="002C79E6" w14:paraId="16687A78" w14:textId="412F12E7">
      <w:pPr>
        <w:rPr>
          <w:rFonts w:ascii="Times New Roman" w:hAnsi="Times New Roman" w:eastAsia="Times New Roman" w:cs="Times New Roman"/>
          <w:sz w:val="24"/>
          <w:szCs w:val="24"/>
        </w:rPr>
      </w:pPr>
    </w:p>
    <w:p w:rsidR="002C79E6" w:rsidP="0DC534DB" w:rsidRDefault="002C79E6" w14:paraId="45F5026E" w14:textId="636B1FFC">
      <w:pPr>
        <w:rPr>
          <w:rFonts w:ascii="Times New Roman" w:hAnsi="Times New Roman" w:eastAsia="Times New Roman" w:cs="Times New Roman"/>
          <w:sz w:val="24"/>
          <w:szCs w:val="24"/>
        </w:rPr>
      </w:pPr>
    </w:p>
    <w:p w:rsidR="002C79E6" w:rsidP="0DC534DB" w:rsidRDefault="002C79E6" w14:paraId="1FB6E136" w14:textId="295B90AF">
      <w:pPr>
        <w:rPr>
          <w:rFonts w:ascii="Times New Roman" w:hAnsi="Times New Roman" w:eastAsia="Times New Roman" w:cs="Times New Roman"/>
          <w:sz w:val="24"/>
          <w:szCs w:val="24"/>
        </w:rPr>
      </w:pPr>
    </w:p>
    <w:p w:rsidR="002C79E6" w:rsidP="0DC534DB" w:rsidRDefault="002C79E6" w14:paraId="38CA4A76" w14:textId="77777777">
      <w:pPr>
        <w:rPr>
          <w:rFonts w:ascii="Times New Roman" w:hAnsi="Times New Roman" w:eastAsia="Times New Roman" w:cs="Times New Roman"/>
          <w:sz w:val="24"/>
          <w:szCs w:val="24"/>
        </w:rPr>
      </w:pPr>
    </w:p>
    <w:p w:rsidRPr="00B863FB" w:rsidR="6A36C4BF" w:rsidP="0DC534DB" w:rsidRDefault="13E0EB82" w14:paraId="26A1E605" w14:textId="4C0EC4EE">
      <w:pPr>
        <w:pStyle w:val="Title"/>
        <w:rPr>
          <w:rFonts w:ascii="Times New Roman" w:hAnsi="Times New Roman" w:eastAsia="Times New Roman" w:cs="Times New Roman"/>
          <w:sz w:val="24"/>
          <w:szCs w:val="24"/>
        </w:rPr>
      </w:pPr>
      <w:r w:rsidRPr="2D2A1045" w:rsidR="0D86A82B">
        <w:rPr>
          <w:rFonts w:ascii="Times New Roman" w:hAnsi="Times New Roman" w:eastAsia="Times New Roman" w:cs="Times New Roman"/>
          <w:sz w:val="24"/>
          <w:szCs w:val="24"/>
        </w:rPr>
        <w:t>8</w:t>
      </w:r>
      <w:r w:rsidRPr="2D2A1045" w:rsidR="13E0EB82">
        <w:rPr>
          <w:rFonts w:ascii="Times New Roman" w:hAnsi="Times New Roman" w:eastAsia="Times New Roman" w:cs="Times New Roman"/>
          <w:sz w:val="24"/>
          <w:szCs w:val="24"/>
        </w:rPr>
        <w:t>-</w:t>
      </w:r>
      <w:r w:rsidRPr="2D2A1045" w:rsidR="0D86A82B">
        <w:rPr>
          <w:rFonts w:ascii="Times New Roman" w:hAnsi="Times New Roman" w:eastAsia="Times New Roman" w:cs="Times New Roman"/>
          <w:sz w:val="24"/>
          <w:szCs w:val="24"/>
        </w:rPr>
        <w:t>2</w:t>
      </w:r>
      <w:r w:rsidRPr="2D2A1045" w:rsidR="13E0EB82">
        <w:rPr>
          <w:rFonts w:ascii="Times New Roman" w:hAnsi="Times New Roman" w:eastAsia="Times New Roman" w:cs="Times New Roman"/>
          <w:sz w:val="24"/>
          <w:szCs w:val="24"/>
        </w:rPr>
        <w:t xml:space="preserve"> </w:t>
      </w:r>
      <w:r w:rsidRPr="2D2A1045" w:rsidR="2958A4CE">
        <w:rPr>
          <w:rFonts w:ascii="Times New Roman" w:hAnsi="Times New Roman" w:eastAsia="Times New Roman" w:cs="Times New Roman"/>
          <w:sz w:val="24"/>
          <w:szCs w:val="24"/>
        </w:rPr>
        <w:t>Journal</w:t>
      </w:r>
      <w:r w:rsidRPr="2D2A1045" w:rsidR="3807D545">
        <w:rPr>
          <w:rFonts w:ascii="Times New Roman" w:hAnsi="Times New Roman" w:eastAsia="Times New Roman" w:cs="Times New Roman"/>
          <w:sz w:val="24"/>
          <w:szCs w:val="24"/>
        </w:rPr>
        <w:t xml:space="preserve">: </w:t>
      </w:r>
      <w:r w:rsidRPr="2D2A1045" w:rsidR="704D52FE">
        <w:rPr>
          <w:rFonts w:ascii="Times New Roman" w:hAnsi="Times New Roman" w:eastAsia="Times New Roman" w:cs="Times New Roman"/>
          <w:sz w:val="24"/>
          <w:szCs w:val="24"/>
        </w:rPr>
        <w:t>Portfolio Reflection</w:t>
      </w:r>
    </w:p>
    <w:p w:rsidR="201D26C8" w:rsidP="0DC534DB" w:rsidRDefault="201D26C8" w14:paraId="78326B0D" w14:textId="5DA8B294">
      <w:pPr>
        <w:pStyle w:val="Subtitle"/>
        <w:rPr>
          <w:rFonts w:ascii="Times New Roman" w:hAnsi="Times New Roman" w:eastAsia="Times New Roman" w:cs="Times New Roman"/>
          <w:sz w:val="24"/>
          <w:szCs w:val="24"/>
        </w:rPr>
      </w:pPr>
    </w:p>
    <w:p w:rsidR="0A0FA0F9" w:rsidP="0DC534DB" w:rsidRDefault="0A0FA0F9" w14:paraId="06569816" w14:textId="61C67281">
      <w:pPr>
        <w:pStyle w:val="Subtitle"/>
        <w:rPr>
          <w:rFonts w:ascii="Times New Roman" w:hAnsi="Times New Roman" w:eastAsia="Times New Roman" w:cs="Times New Roman"/>
          <w:sz w:val="24"/>
          <w:szCs w:val="24"/>
        </w:rPr>
      </w:pPr>
      <w:r w:rsidRPr="0DC534DB" w:rsidR="0A0FA0F9">
        <w:rPr>
          <w:rFonts w:ascii="Times New Roman" w:hAnsi="Times New Roman" w:eastAsia="Times New Roman" w:cs="Times New Roman"/>
          <w:sz w:val="24"/>
          <w:szCs w:val="24"/>
        </w:rPr>
        <w:t>Gavin M. Bish</w:t>
      </w:r>
    </w:p>
    <w:p w:rsidR="002C79E6" w:rsidP="0DC534DB" w:rsidRDefault="0A0FA0F9" w14:paraId="5C39436A" w14:textId="460C0D3C">
      <w:pPr>
        <w:pStyle w:val="Subtitle"/>
        <w:rPr>
          <w:rFonts w:ascii="Times New Roman" w:hAnsi="Times New Roman" w:eastAsia="Times New Roman" w:cs="Times New Roman"/>
          <w:sz w:val="24"/>
          <w:szCs w:val="24"/>
        </w:rPr>
      </w:pPr>
      <w:r w:rsidRPr="0DC534DB" w:rsidR="0A0FA0F9">
        <w:rPr>
          <w:rFonts w:ascii="Times New Roman" w:hAnsi="Times New Roman" w:eastAsia="Times New Roman" w:cs="Times New Roman"/>
          <w:sz w:val="24"/>
          <w:szCs w:val="24"/>
        </w:rPr>
        <w:t>Southern New Hampshire University</w:t>
      </w:r>
    </w:p>
    <w:p w:rsidR="002C79E6" w:rsidP="0DC534DB" w:rsidRDefault="0A0FA0F9" w14:paraId="66AA88B4" w14:textId="2C317122">
      <w:pPr>
        <w:pStyle w:val="Subtitle"/>
        <w:rPr>
          <w:rFonts w:ascii="Times New Roman" w:hAnsi="Times New Roman" w:eastAsia="Times New Roman" w:cs="Times New Roman"/>
          <w:sz w:val="24"/>
          <w:szCs w:val="24"/>
        </w:rPr>
      </w:pPr>
      <w:r w:rsidRPr="592DAA59" w:rsidR="0A0FA0F9">
        <w:rPr>
          <w:rFonts w:ascii="Times New Roman" w:hAnsi="Times New Roman" w:eastAsia="Times New Roman" w:cs="Times New Roman"/>
          <w:sz w:val="24"/>
          <w:szCs w:val="24"/>
        </w:rPr>
        <w:t>CS</w:t>
      </w:r>
      <w:r w:rsidRPr="592DAA59" w:rsidR="75AB6F57">
        <w:rPr>
          <w:rFonts w:ascii="Times New Roman" w:hAnsi="Times New Roman" w:eastAsia="Times New Roman" w:cs="Times New Roman"/>
          <w:sz w:val="24"/>
          <w:szCs w:val="24"/>
        </w:rPr>
        <w:t>405</w:t>
      </w:r>
      <w:r w:rsidRPr="592DAA59" w:rsidR="0A0FA0F9">
        <w:rPr>
          <w:rFonts w:ascii="Times New Roman" w:hAnsi="Times New Roman" w:eastAsia="Times New Roman" w:cs="Times New Roman"/>
          <w:sz w:val="24"/>
          <w:szCs w:val="24"/>
        </w:rPr>
        <w:t>:</w:t>
      </w:r>
      <w:r w:rsidRPr="592DAA59" w:rsidR="002C79E6">
        <w:rPr>
          <w:rFonts w:ascii="Times New Roman" w:hAnsi="Times New Roman" w:eastAsia="Times New Roman" w:cs="Times New Roman"/>
          <w:sz w:val="24"/>
          <w:szCs w:val="24"/>
        </w:rPr>
        <w:t xml:space="preserve"> </w:t>
      </w:r>
      <w:r w:rsidRPr="592DAA59" w:rsidR="0954208A">
        <w:rPr>
          <w:rFonts w:ascii="Times New Roman" w:hAnsi="Times New Roman" w:eastAsia="Times New Roman" w:cs="Times New Roman"/>
          <w:sz w:val="24"/>
          <w:szCs w:val="24"/>
        </w:rPr>
        <w:t>Secure Coding</w:t>
      </w:r>
    </w:p>
    <w:p w:rsidR="002C79E6" w:rsidP="0DC534DB" w:rsidRDefault="40B66B0B" w14:paraId="401C8AC4" w14:textId="5B9D7472">
      <w:pPr>
        <w:pStyle w:val="Subtitle"/>
        <w:rPr>
          <w:rFonts w:ascii="Times New Roman" w:hAnsi="Times New Roman" w:eastAsia="Times New Roman" w:cs="Times New Roman"/>
          <w:sz w:val="24"/>
          <w:szCs w:val="24"/>
        </w:rPr>
      </w:pPr>
      <w:r w:rsidRPr="592DAA59" w:rsidR="40B66B0B">
        <w:rPr>
          <w:rFonts w:ascii="Times New Roman" w:hAnsi="Times New Roman" w:eastAsia="Times New Roman" w:cs="Times New Roman"/>
          <w:sz w:val="24"/>
          <w:szCs w:val="24"/>
        </w:rPr>
        <w:t xml:space="preserve">Professor </w:t>
      </w:r>
      <w:r w:rsidRPr="592DAA59" w:rsidR="4D3D25E7">
        <w:rPr>
          <w:rFonts w:ascii="Times New Roman" w:hAnsi="Times New Roman" w:eastAsia="Times New Roman" w:cs="Times New Roman"/>
          <w:sz w:val="24"/>
          <w:szCs w:val="24"/>
        </w:rPr>
        <w:t>Philomena Ogoh</w:t>
      </w:r>
    </w:p>
    <w:p w:rsidR="40B66B0B" w:rsidP="0DC534DB" w:rsidRDefault="40B66B0B" w14:paraId="6636C4E1" w14:textId="4BDD44CC">
      <w:pPr>
        <w:pStyle w:val="Subtitle"/>
        <w:rPr>
          <w:rFonts w:ascii="Times New Roman" w:hAnsi="Times New Roman" w:eastAsia="Times New Roman" w:cs="Times New Roman"/>
          <w:sz w:val="24"/>
          <w:szCs w:val="24"/>
        </w:rPr>
      </w:pPr>
      <w:r w:rsidRPr="2D2A1045" w:rsidR="5A3C85F3">
        <w:rPr>
          <w:rFonts w:ascii="Times New Roman" w:hAnsi="Times New Roman" w:eastAsia="Times New Roman" w:cs="Times New Roman"/>
          <w:sz w:val="24"/>
          <w:szCs w:val="24"/>
        </w:rPr>
        <w:t>February</w:t>
      </w:r>
      <w:r w:rsidRPr="2D2A1045" w:rsidR="4D3D25E7">
        <w:rPr>
          <w:rFonts w:ascii="Times New Roman" w:hAnsi="Times New Roman" w:eastAsia="Times New Roman" w:cs="Times New Roman"/>
          <w:sz w:val="24"/>
          <w:szCs w:val="24"/>
        </w:rPr>
        <w:t xml:space="preserve"> </w:t>
      </w:r>
      <w:r w:rsidRPr="2D2A1045" w:rsidR="19F74548">
        <w:rPr>
          <w:rFonts w:ascii="Times New Roman" w:hAnsi="Times New Roman" w:eastAsia="Times New Roman" w:cs="Times New Roman"/>
          <w:sz w:val="24"/>
          <w:szCs w:val="24"/>
        </w:rPr>
        <w:t>24</w:t>
      </w:r>
      <w:r w:rsidRPr="2D2A1045" w:rsidR="40B66B0B">
        <w:rPr>
          <w:rFonts w:ascii="Times New Roman" w:hAnsi="Times New Roman" w:eastAsia="Times New Roman" w:cs="Times New Roman"/>
          <w:sz w:val="24"/>
          <w:szCs w:val="24"/>
          <w:vertAlign w:val="superscript"/>
        </w:rPr>
        <w:t>th</w:t>
      </w:r>
      <w:r w:rsidRPr="2D2A1045" w:rsidR="40B66B0B">
        <w:rPr>
          <w:rFonts w:ascii="Times New Roman" w:hAnsi="Times New Roman" w:eastAsia="Times New Roman" w:cs="Times New Roman"/>
          <w:sz w:val="24"/>
          <w:szCs w:val="24"/>
        </w:rPr>
        <w:t>, 202</w:t>
      </w:r>
      <w:r w:rsidRPr="2D2A1045" w:rsidR="7C3CC0D8">
        <w:rPr>
          <w:rFonts w:ascii="Times New Roman" w:hAnsi="Times New Roman" w:eastAsia="Times New Roman" w:cs="Times New Roman"/>
          <w:sz w:val="24"/>
          <w:szCs w:val="24"/>
        </w:rPr>
        <w:t>5</w:t>
      </w:r>
    </w:p>
    <w:p w:rsidR="201D26C8" w:rsidP="0DC534DB" w:rsidRDefault="201D26C8" w14:paraId="468EEC2B" w14:textId="41C8FC90">
      <w:pPr>
        <w:pStyle w:val="Subtitle"/>
        <w:rPr>
          <w:rFonts w:ascii="Times New Roman" w:hAnsi="Times New Roman" w:eastAsia="Times New Roman" w:cs="Times New Roman"/>
          <w:sz w:val="24"/>
          <w:szCs w:val="24"/>
        </w:rPr>
      </w:pPr>
    </w:p>
    <w:p w:rsidR="201D26C8" w:rsidP="0DC534DB" w:rsidRDefault="201D26C8" w14:paraId="68FD7A87" w14:textId="442B5588">
      <w:pPr>
        <w:pStyle w:val="Title2"/>
        <w:rPr>
          <w:rFonts w:ascii="Times New Roman" w:hAnsi="Times New Roman" w:eastAsia="Times New Roman" w:cs="Times New Roman"/>
          <w:sz w:val="24"/>
          <w:szCs w:val="24"/>
        </w:rPr>
      </w:pPr>
    </w:p>
    <w:p w:rsidR="201D26C8" w:rsidP="0DC534DB" w:rsidRDefault="201D26C8" w14:paraId="6EE3B6C1" w14:textId="6E2DC686">
      <w:pPr>
        <w:pStyle w:val="Title2"/>
        <w:rPr>
          <w:rFonts w:ascii="Times New Roman" w:hAnsi="Times New Roman" w:eastAsia="Times New Roman" w:cs="Times New Roman"/>
          <w:sz w:val="24"/>
          <w:szCs w:val="24"/>
        </w:rPr>
      </w:pPr>
    </w:p>
    <w:p w:rsidR="201D26C8" w:rsidP="0DC534DB" w:rsidRDefault="201D26C8" w14:paraId="3E88D5C1" w14:textId="059E2253">
      <w:pPr>
        <w:pStyle w:val="Title2"/>
        <w:rPr>
          <w:rFonts w:ascii="Times New Roman" w:hAnsi="Times New Roman" w:eastAsia="Times New Roman" w:cs="Times New Roman"/>
          <w:sz w:val="24"/>
          <w:szCs w:val="24"/>
        </w:rPr>
      </w:pPr>
    </w:p>
    <w:p w:rsidR="201D26C8" w:rsidP="0DC534DB" w:rsidRDefault="201D26C8" w14:paraId="30EEC908" w14:textId="07A95E6C">
      <w:pPr>
        <w:pStyle w:val="Title2"/>
        <w:rPr>
          <w:rFonts w:ascii="Times New Roman" w:hAnsi="Times New Roman" w:eastAsia="Times New Roman" w:cs="Times New Roman"/>
          <w:sz w:val="24"/>
          <w:szCs w:val="24"/>
        </w:rPr>
      </w:pPr>
    </w:p>
    <w:p w:rsidR="201D26C8" w:rsidP="0DC534DB" w:rsidRDefault="201D26C8" w14:paraId="4A7D8E0F" w14:textId="62E38A2B">
      <w:pPr>
        <w:pStyle w:val="Title2"/>
        <w:rPr>
          <w:rFonts w:ascii="Times New Roman" w:hAnsi="Times New Roman" w:eastAsia="Times New Roman" w:cs="Times New Roman"/>
          <w:sz w:val="24"/>
          <w:szCs w:val="24"/>
        </w:rPr>
      </w:pPr>
    </w:p>
    <w:p w:rsidR="201D26C8" w:rsidP="0DC534DB" w:rsidRDefault="201D26C8" w14:paraId="0905A6EE" w14:textId="5A0B4F10">
      <w:pPr>
        <w:pStyle w:val="Title2"/>
        <w:rPr>
          <w:rFonts w:ascii="Times New Roman" w:hAnsi="Times New Roman" w:eastAsia="Times New Roman" w:cs="Times New Roman"/>
          <w:sz w:val="24"/>
          <w:szCs w:val="24"/>
        </w:rPr>
      </w:pPr>
    </w:p>
    <w:p w:rsidR="201D26C8" w:rsidP="0DC534DB" w:rsidRDefault="201D26C8" w14:paraId="6F9643DB" w14:textId="0C023334">
      <w:pPr>
        <w:pStyle w:val="Title2"/>
        <w:rPr>
          <w:rFonts w:ascii="Times New Roman" w:hAnsi="Times New Roman" w:eastAsia="Times New Roman" w:cs="Times New Roman"/>
          <w:sz w:val="24"/>
          <w:szCs w:val="24"/>
        </w:rPr>
      </w:pPr>
    </w:p>
    <w:p w:rsidR="000D4642" w:rsidP="0DC534DB" w:rsidRDefault="000D4642" w14:paraId="4A328F3A" w14:textId="14D455AA">
      <w:pPr>
        <w:rPr>
          <w:rFonts w:ascii="Times New Roman" w:hAnsi="Times New Roman" w:eastAsia="Times New Roman" w:cs="Times New Roman"/>
          <w:sz w:val="24"/>
          <w:szCs w:val="24"/>
        </w:rPr>
      </w:pPr>
      <w:r w:rsidRPr="592DAA59">
        <w:rPr>
          <w:rFonts w:ascii="Times New Roman" w:hAnsi="Times New Roman" w:eastAsia="Times New Roman" w:cs="Times New Roman"/>
          <w:sz w:val="24"/>
          <w:szCs w:val="24"/>
        </w:rPr>
        <w:br w:type="page"/>
      </w:r>
    </w:p>
    <w:p w:rsidRPr="00B863FB" w:rsidR="00A417C1" w:rsidP="592DAA59" w:rsidRDefault="2B32C1DF" w14:paraId="7FEAC86B" w14:textId="03E29AA3">
      <w:pPr>
        <w:pStyle w:val="SectionTitle"/>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2D2A1045" w:rsidR="62987A3C">
        <w:rPr>
          <w:rFonts w:ascii="Times New Roman" w:hAnsi="Times New Roman" w:eastAsia="Times New Roman" w:cs="Times New Roman"/>
          <w:sz w:val="24"/>
          <w:szCs w:val="24"/>
        </w:rPr>
        <w:t>8</w:t>
      </w:r>
      <w:r w:rsidRPr="2D2A1045" w:rsidR="0250DE9B">
        <w:rPr>
          <w:rFonts w:ascii="Times New Roman" w:hAnsi="Times New Roman" w:eastAsia="Times New Roman" w:cs="Times New Roman"/>
          <w:sz w:val="24"/>
          <w:szCs w:val="24"/>
        </w:rPr>
        <w:t>-</w:t>
      </w:r>
      <w:r w:rsidRPr="2D2A1045" w:rsidR="62987A3C">
        <w:rPr>
          <w:rFonts w:ascii="Times New Roman" w:hAnsi="Times New Roman" w:eastAsia="Times New Roman" w:cs="Times New Roman"/>
          <w:sz w:val="24"/>
          <w:szCs w:val="24"/>
        </w:rPr>
        <w:t>2</w:t>
      </w:r>
      <w:r w:rsidRPr="2D2A1045" w:rsidR="0250DE9B">
        <w:rPr>
          <w:rFonts w:ascii="Times New Roman" w:hAnsi="Times New Roman" w:eastAsia="Times New Roman" w:cs="Times New Roman"/>
          <w:sz w:val="24"/>
          <w:szCs w:val="24"/>
        </w:rPr>
        <w:t xml:space="preserve"> </w:t>
      </w:r>
      <w:r w:rsidRPr="2D2A1045" w:rsidR="26057575">
        <w:rPr>
          <w:rFonts w:ascii="Times New Roman" w:hAnsi="Times New Roman" w:eastAsia="Times New Roman" w:cs="Times New Roman"/>
          <w:sz w:val="24"/>
          <w:szCs w:val="24"/>
        </w:rPr>
        <w:t>Journal</w:t>
      </w:r>
      <w:r>
        <w:br/>
      </w:r>
    </w:p>
    <w:p w:rsidR="3576410A" w:rsidP="3576410A" w:rsidRDefault="3576410A" w14:paraId="18CEBFA0" w14:textId="7868E8AD">
      <w:pPr>
        <w:spacing w:before="240" w:beforeAutospacing="off" w:after="240" w:afterAutospacing="off"/>
        <w:jc w:val="left"/>
      </w:pPr>
      <w:r w:rsidRPr="2D2A1045" w:rsidR="13CD1C5A">
        <w:rPr>
          <w:rFonts w:ascii="Times New Roman" w:hAnsi="Times New Roman" w:eastAsia="Times New Roman" w:cs="Times New Roman"/>
          <w:noProof w:val="0"/>
          <w:sz w:val="24"/>
          <w:szCs w:val="24"/>
          <w:lang w:val="en-US"/>
        </w:rPr>
        <w:t>Throughout this course, one of the dominant themes has been the understanding that security cannot be treated as an afterthought. The adoption of a secure coding standard underscores this priority by positioning security principles at the forefront of the software development lifecycle. As illustrated by the OWASP Top Ten (OWASP, 2021), a “shift-left” approach helps developers address potential vulnerabilities early in the design and coding phases rather than scrambling to fix them once an application is nearly complete. By prioritizing secure coding from the start, organizations reduce the risk of costly rework, create more stable products, and cultivate a broader culture of security awareness among development teams.</w:t>
      </w:r>
    </w:p>
    <w:p w:rsidR="3576410A" w:rsidP="3576410A" w:rsidRDefault="3576410A" w14:paraId="4C844896" w14:textId="1E505650">
      <w:pPr>
        <w:spacing w:before="240" w:beforeAutospacing="off" w:after="240" w:afterAutospacing="off"/>
        <w:jc w:val="left"/>
      </w:pPr>
      <w:r w:rsidRPr="2D2A1045" w:rsidR="13CD1C5A">
        <w:rPr>
          <w:rFonts w:ascii="Times New Roman" w:hAnsi="Times New Roman" w:eastAsia="Times New Roman" w:cs="Times New Roman"/>
          <w:noProof w:val="0"/>
          <w:sz w:val="24"/>
          <w:szCs w:val="24"/>
          <w:lang w:val="en-US"/>
        </w:rPr>
        <w:t>Evaluation and assessment of risk have also played a critical role in our discussions, especially in balancing cost against the benefits of implementing robust security measures. In practice, every organization must weigh the likelihood and potential impact of a breach against the expenses incurred by proactive defensive strategies. As various case studies throughout the course demonstrated, risk management is an iterative process that demands ongoing assessments at each phase of software development. By assigning quantifiable metrics to the severity of vulnerabilities, security teams can efficiently allocate resources and address the most pressing risks without overburdening developers or undermining project timelines.</w:t>
      </w:r>
    </w:p>
    <w:p w:rsidR="3576410A" w:rsidP="3576410A" w:rsidRDefault="3576410A" w14:paraId="670994C3" w14:textId="5B1005A2">
      <w:pPr>
        <w:spacing w:before="240" w:beforeAutospacing="off" w:after="240" w:afterAutospacing="off"/>
        <w:jc w:val="left"/>
      </w:pPr>
      <w:r w:rsidRPr="2D2A1045" w:rsidR="13CD1C5A">
        <w:rPr>
          <w:rFonts w:ascii="Times New Roman" w:hAnsi="Times New Roman" w:eastAsia="Times New Roman" w:cs="Times New Roman"/>
          <w:noProof w:val="0"/>
          <w:sz w:val="24"/>
          <w:szCs w:val="24"/>
          <w:lang w:val="en-US"/>
        </w:rPr>
        <w:t>Zero trust, introduced as the principle that “no one is safe,” challenges traditional notions of perimeter security. Instead of granting blanket trust once a user or system has passed an initial check, zero trust enforces continuous verification of identity, context, and device posture (National Institute of Standards and Technology [NIST], 2020). This approach—often implemented through micro-segmentation—limits lateral movement within a compromised network and ensures that even internal services require authentication and authorization for each request. From a developer’s perspective, building applications that support a zero trust model can reinforce the principle of least privilege, effectively reducing the attack surface by ensuring that users and services have only the minimal access needed to perform their tasks.</w:t>
      </w:r>
    </w:p>
    <w:p w:rsidR="3576410A" w:rsidP="3576410A" w:rsidRDefault="3576410A" w14:paraId="57D451B7" w14:textId="7D7719C2">
      <w:pPr>
        <w:spacing w:before="240" w:beforeAutospacing="off" w:after="240" w:afterAutospacing="off"/>
        <w:jc w:val="left"/>
      </w:pPr>
      <w:r w:rsidRPr="2D2A1045" w:rsidR="13CD1C5A">
        <w:rPr>
          <w:rFonts w:ascii="Times New Roman" w:hAnsi="Times New Roman" w:eastAsia="Times New Roman" w:cs="Times New Roman"/>
          <w:noProof w:val="0"/>
          <w:sz w:val="24"/>
          <w:szCs w:val="24"/>
          <w:lang w:val="en-US"/>
        </w:rPr>
        <w:t xml:space="preserve">Finally, the implementation and recommendation of security policies tie all these elements together. Well-crafted policies define how a secure coding standard should be adopted, outline parameters for continuous risk assessment, and specify how zero trust principles should be enforced across an organization’s infrastructure. </w:t>
      </w:r>
      <w:r w:rsidRPr="2D2A1045" w:rsidR="13CD1C5A">
        <w:rPr>
          <w:rFonts w:ascii="Times New Roman" w:hAnsi="Times New Roman" w:eastAsia="Times New Roman" w:cs="Times New Roman"/>
          <w:noProof w:val="0"/>
          <w:sz w:val="24"/>
          <w:szCs w:val="24"/>
          <w:lang w:val="en-US"/>
        </w:rPr>
        <w:t>From the readings on governance and compliance, it is clear that policies must remain living documents that adapt to evolving threats.</w:t>
      </w:r>
      <w:r w:rsidRPr="2D2A1045" w:rsidR="13CD1C5A">
        <w:rPr>
          <w:rFonts w:ascii="Times New Roman" w:hAnsi="Times New Roman" w:eastAsia="Times New Roman" w:cs="Times New Roman"/>
          <w:noProof w:val="0"/>
          <w:sz w:val="24"/>
          <w:szCs w:val="24"/>
          <w:lang w:val="en-US"/>
        </w:rPr>
        <w:t xml:space="preserve"> They should be supported by thorough training and leadership endorsement, reinforced by automated tools integrated into continuous integration and delivery pipelines. By blending these principles into a comprehensive strategy—from secure coding standards to rigorous risk evaluation, zero trust architectures, and dynamic security policies—organizations can significantly improve their ability to safeguard systems and data in an ever-changing digital environment.</w:t>
      </w:r>
    </w:p>
    <w:p w:rsidR="3576410A" w:rsidP="2D2A1045" w:rsidRDefault="3576410A" w14:paraId="647510E1" w14:textId="6A41CCDB">
      <w:pPr>
        <w:spacing w:before="240" w:beforeAutospacing="off" w:after="240" w:afterAutospacing="off"/>
        <w:jc w:val="left"/>
        <w:rPr>
          <w:rFonts w:ascii="Times New Roman" w:hAnsi="Times New Roman" w:eastAsia="Times New Roman" w:cs="Times New Roman"/>
          <w:noProof w:val="0"/>
          <w:sz w:val="24"/>
          <w:szCs w:val="24"/>
          <w:lang w:val="en-US"/>
        </w:rPr>
      </w:pPr>
    </w:p>
    <w:p w:rsidR="3576410A" w:rsidP="2D2A1045" w:rsidRDefault="3576410A" w14:paraId="79A0F077" w14:textId="0F8982BB">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w:rsidR="3576410A" w:rsidP="2D2A1045" w:rsidRDefault="3576410A" w14:paraId="28D9CC26" w14:textId="2AFC72C9">
      <w:pPr>
        <w:pStyle w:val="Normal"/>
        <w:spacing w:before="240" w:beforeAutospacing="off" w:after="240" w:afterAutospacing="off"/>
        <w:ind w:firstLine="0"/>
        <w:jc w:val="left"/>
        <w:rPr>
          <w:rFonts w:ascii="Times New Roman" w:hAnsi="Times New Roman" w:eastAsia="Times New Roman" w:cs="Times New Roman"/>
          <w:noProof w:val="0"/>
          <w:sz w:val="24"/>
          <w:szCs w:val="24"/>
          <w:lang w:val="en-US"/>
        </w:rPr>
      </w:pPr>
    </w:p>
    <w:p w:rsidR="24F0095F" w:rsidP="3576410A" w:rsidRDefault="24F0095F" w14:paraId="5270EFD0" w14:textId="093EFA4D">
      <w:pPr>
        <w:spacing w:before="240" w:beforeAutospacing="off" w:after="240" w:afterAutospacing="off"/>
        <w:ind w:firstLine="0"/>
        <w:jc w:val="center"/>
      </w:pPr>
      <w:r w:rsidRPr="2D2A1045" w:rsidR="24F0095F">
        <w:rPr>
          <w:rFonts w:ascii="Times New Roman" w:hAnsi="Times New Roman" w:eastAsia="Times New Roman" w:cs="Times New Roman"/>
          <w:b w:val="1"/>
          <w:bCs w:val="1"/>
          <w:noProof w:val="0"/>
          <w:sz w:val="24"/>
          <w:szCs w:val="24"/>
          <w:lang w:val="en-US"/>
        </w:rPr>
        <w:t>References</w:t>
      </w:r>
    </w:p>
    <w:p w:rsidR="5538974A" w:rsidP="2D2A1045" w:rsidRDefault="5538974A" w14:paraId="03F568AE" w14:textId="2B91A715">
      <w:pPr>
        <w:spacing w:before="240" w:beforeAutospacing="off" w:after="240" w:afterAutospacing="off"/>
        <w:jc w:val="both"/>
      </w:pPr>
      <w:r w:rsidRPr="2D2A1045" w:rsidR="5538974A">
        <w:rPr>
          <w:rFonts w:ascii="Times New Roman" w:hAnsi="Times New Roman" w:eastAsia="Times New Roman" w:cs="Times New Roman"/>
          <w:noProof w:val="0"/>
          <w:sz w:val="24"/>
          <w:szCs w:val="24"/>
          <w:lang w:val="en-US"/>
        </w:rPr>
        <w:t xml:space="preserve">National Institute of Standards and Technology. (2020). </w:t>
      </w:r>
      <w:r w:rsidRPr="2D2A1045" w:rsidR="5538974A">
        <w:rPr>
          <w:rFonts w:ascii="Times New Roman" w:hAnsi="Times New Roman" w:eastAsia="Times New Roman" w:cs="Times New Roman"/>
          <w:i w:val="1"/>
          <w:iCs w:val="1"/>
          <w:noProof w:val="0"/>
          <w:sz w:val="24"/>
          <w:szCs w:val="24"/>
          <w:lang w:val="en-US"/>
        </w:rPr>
        <w:t>Zero Trust Architecture (NIST Special Publication 800-207)</w:t>
      </w:r>
      <w:r w:rsidRPr="2D2A1045" w:rsidR="5538974A">
        <w:rPr>
          <w:rFonts w:ascii="Times New Roman" w:hAnsi="Times New Roman" w:eastAsia="Times New Roman" w:cs="Times New Roman"/>
          <w:noProof w:val="0"/>
          <w:sz w:val="24"/>
          <w:szCs w:val="24"/>
          <w:lang w:val="en-US"/>
        </w:rPr>
        <w:t xml:space="preserve">. </w:t>
      </w:r>
      <w:hyperlink r:id="R183d2c1624ed4d65">
        <w:r w:rsidRPr="2D2A1045" w:rsidR="5538974A">
          <w:rPr>
            <w:rStyle w:val="Hyperlink"/>
            <w:rFonts w:ascii="Times New Roman" w:hAnsi="Times New Roman" w:eastAsia="Times New Roman" w:cs="Times New Roman"/>
            <w:noProof w:val="0"/>
            <w:sz w:val="24"/>
            <w:szCs w:val="24"/>
            <w:lang w:val="en-US"/>
          </w:rPr>
          <w:t>https://doi.org/10.6028/NIST.SP.800-207</w:t>
        </w:r>
      </w:hyperlink>
    </w:p>
    <w:p w:rsidR="5538974A" w:rsidP="2D2A1045" w:rsidRDefault="5538974A" w14:paraId="3CF0099B" w14:textId="6ED0CB3B">
      <w:pPr>
        <w:spacing w:before="240" w:beforeAutospacing="off" w:after="240" w:afterAutospacing="off"/>
        <w:jc w:val="both"/>
      </w:pPr>
      <w:r w:rsidRPr="2D2A1045" w:rsidR="5538974A">
        <w:rPr>
          <w:rFonts w:ascii="Times New Roman" w:hAnsi="Times New Roman" w:eastAsia="Times New Roman" w:cs="Times New Roman"/>
          <w:noProof w:val="0"/>
          <w:sz w:val="24"/>
          <w:szCs w:val="24"/>
          <w:lang w:val="en-US"/>
        </w:rPr>
        <w:t xml:space="preserve">OWASP Foundation. (2021). </w:t>
      </w:r>
      <w:r w:rsidRPr="2D2A1045" w:rsidR="5538974A">
        <w:rPr>
          <w:rFonts w:ascii="Times New Roman" w:hAnsi="Times New Roman" w:eastAsia="Times New Roman" w:cs="Times New Roman"/>
          <w:i w:val="1"/>
          <w:iCs w:val="1"/>
          <w:noProof w:val="0"/>
          <w:sz w:val="24"/>
          <w:szCs w:val="24"/>
          <w:lang w:val="en-US"/>
        </w:rPr>
        <w:t>OWASP Top Ten 2021</w:t>
      </w:r>
      <w:r w:rsidRPr="2D2A1045" w:rsidR="5538974A">
        <w:rPr>
          <w:rFonts w:ascii="Times New Roman" w:hAnsi="Times New Roman" w:eastAsia="Times New Roman" w:cs="Times New Roman"/>
          <w:noProof w:val="0"/>
          <w:sz w:val="24"/>
          <w:szCs w:val="24"/>
          <w:lang w:val="en-US"/>
        </w:rPr>
        <w:t xml:space="preserve">. </w:t>
      </w:r>
      <w:hyperlink r:id="R1fe8585fc1c64296">
        <w:r w:rsidRPr="2D2A1045" w:rsidR="5538974A">
          <w:rPr>
            <w:rStyle w:val="Hyperlink"/>
            <w:rFonts w:ascii="Times New Roman" w:hAnsi="Times New Roman" w:eastAsia="Times New Roman" w:cs="Times New Roman"/>
            <w:noProof w:val="0"/>
            <w:sz w:val="24"/>
            <w:szCs w:val="24"/>
            <w:lang w:val="en-US"/>
          </w:rPr>
          <w:t>https://owasp.org/www-project-top-ten/</w:t>
        </w:r>
      </w:hyperlink>
    </w:p>
    <w:p w:rsidR="2D2A1045" w:rsidP="2D2A1045" w:rsidRDefault="2D2A1045" w14:paraId="1AE26AB2" w14:textId="450377DC">
      <w:pPr>
        <w:pStyle w:val="Normal"/>
        <w:spacing w:before="240" w:beforeAutospacing="off" w:after="240" w:afterAutospacing="off"/>
        <w:ind w:left="0" w:firstLine="0"/>
        <w:jc w:val="both"/>
        <w:rPr>
          <w:rFonts w:ascii="Times New Roman" w:hAnsi="Times New Roman" w:eastAsia="Times New Roman" w:cs="Times New Roman"/>
          <w:noProof w:val="0"/>
          <w:sz w:val="24"/>
          <w:szCs w:val="24"/>
          <w:lang w:val="en-US"/>
        </w:rPr>
      </w:pPr>
    </w:p>
    <w:p w:rsidR="3576410A" w:rsidP="3576410A" w:rsidRDefault="3576410A" w14:paraId="622B7651" w14:textId="604D27AD">
      <w:pPr>
        <w:pStyle w:val="Normal"/>
        <w:spacing w:before="240" w:beforeAutospacing="off" w:after="240" w:afterAutospacing="off"/>
        <w:ind w:left="720" w:firstLine="0"/>
        <w:jc w:val="left"/>
        <w:rPr>
          <w:rFonts w:ascii="Times New Roman" w:hAnsi="Times New Roman" w:eastAsia="Times New Roman" w:cs="Times New Roman"/>
          <w:noProof w:val="0"/>
          <w:sz w:val="24"/>
          <w:szCs w:val="24"/>
          <w:lang w:val="en-US"/>
        </w:rPr>
      </w:pPr>
    </w:p>
    <w:p w:rsidR="5A3661A8" w:rsidP="5A3661A8" w:rsidRDefault="5A3661A8" w14:paraId="371F29CB" w14:textId="0391D1DA">
      <w:pPr>
        <w:spacing w:before="240" w:beforeAutospacing="off" w:after="240" w:afterAutospacing="off" w:line="480" w:lineRule="auto"/>
        <w:ind w:firstLine="0"/>
        <w:jc w:val="left"/>
        <w:rPr>
          <w:rFonts w:ascii="Times New Roman" w:hAnsi="Times New Roman" w:eastAsia="Times New Roman" w:cs="Times New Roman"/>
          <w:noProof w:val="0"/>
          <w:sz w:val="24"/>
          <w:szCs w:val="24"/>
          <w:lang w:val="en-US"/>
        </w:rPr>
      </w:pPr>
    </w:p>
    <w:p w:rsidR="30BFF05C" w:rsidP="30BFF05C" w:rsidRDefault="30BFF05C" w14:paraId="0E59AC6C" w14:textId="53C33A85">
      <w:pPr>
        <w:spacing w:before="240" w:beforeAutospacing="off" w:after="240" w:afterAutospacing="off"/>
        <w:rPr>
          <w:rFonts w:ascii="Times New Roman" w:hAnsi="Times New Roman" w:eastAsia="Times New Roman" w:cs="Times New Roman"/>
          <w:noProof w:val="0"/>
          <w:sz w:val="24"/>
          <w:szCs w:val="24"/>
          <w:lang w:val="en-US"/>
        </w:rPr>
      </w:pPr>
    </w:p>
    <w:p w:rsidR="592DAA59" w:rsidP="30BFF05C" w:rsidRDefault="592DAA59" w14:paraId="47800096" w14:textId="6AC333D4">
      <w:pPr>
        <w:pStyle w:val="Normal"/>
        <w:spacing w:before="240" w:beforeAutospacing="off" w:after="240" w:afterAutospacing="off"/>
        <w:rPr>
          <w:rFonts w:ascii="Times New Roman" w:hAnsi="Times New Roman" w:eastAsia="Times New Roman" w:cs="Times New Roman"/>
          <w:noProof w:val="0"/>
          <w:sz w:val="24"/>
          <w:szCs w:val="24"/>
          <w:lang w:val="en-US"/>
        </w:rPr>
      </w:pPr>
    </w:p>
    <w:p w:rsidR="1CC39ECA" w:rsidP="0DC534DB" w:rsidRDefault="1CC39ECA" w14:paraId="26599116" w14:textId="4A6E0DF0">
      <w:pPr>
        <w:rPr>
          <w:rFonts w:ascii="Times New Roman" w:hAnsi="Times New Roman" w:eastAsia="Times New Roman" w:cs="Times New Roman"/>
          <w:b w:val="1"/>
          <w:bCs w:val="1"/>
          <w:noProof w:val="0"/>
          <w:sz w:val="24"/>
          <w:szCs w:val="24"/>
          <w:lang w:val="en-US"/>
        </w:rPr>
      </w:pPr>
    </w:p>
    <w:sectPr w:rsidR="0E1053B9">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textHash int2:hashCode="DGp1hXEqAtCjsK" int2:id="TvJ9OV8V">
      <int2:state int2:type="AugLoop_Text_Critique" int2:value="Rejected"/>
    </int2:textHash>
    <int2:textHash int2:hashCode="151X1CLLtvp2vJ" int2:id="fVv4BCIg">
      <int2:state int2:type="AugLoop_Text_Critique" int2:value="Rejected"/>
    </int2:textHash>
    <int2:textHash int2:hashCode="N37hDzbzTWIoWZ" int2:id="DEZhdmEp">
      <int2:state int2:type="AugLoop_Text_Critique" int2:value="Rejected"/>
    </int2:textHash>
    <int2:textHash int2:hashCode="akFBJAs7p7uzXe" int2:id="OipntHVY">
      <int2:state int2:type="AugLoop_Text_Critique" int2:value="Rejected"/>
    </int2:textHash>
    <int2:textHash int2:hashCode="pHS3iTxFz3RqLB" int2:id="quLXvFM3">
      <int2:state int2:type="AugLoop_Text_Critique" int2:value="Rejected"/>
    </int2:textHash>
    <int2:textHash int2:hashCode="g0GPo+90AHgv2b" int2:id="q8nufSr8">
      <int2:state int2:type="AugLoop_Text_Critique" int2:value="Rejected"/>
    </int2:textHash>
    <int2:textHash int2:hashCode="GkDC1wgsbNCrSz" int2:id="90emz8uO">
      <int2:state int2:type="AugLoop_Text_Critique" int2:value="Rejected"/>
    </int2:textHash>
    <int2:textHash int2:hashCode="nZPEMD174wXUnc" int2:id="kFoTcEYP">
      <int2:state int2:type="AugLoop_Text_Critique" int2:value="Rejected"/>
    </int2:textHash>
    <int2:bookmark int2:bookmarkName="_Int_CglHQYLC" int2:invalidationBookmarkName="" int2:hashCode="ZRf4nEbD8NbbnL" int2:id="RbJjT1lk">
      <int2:state int2:type="AugLoop_Text_Critique" int2:value="Rejected"/>
    </int2:bookmark>
    <int2:bookmark int2:bookmarkName="_Int_nkXxvMS9" int2:invalidationBookmarkName="" int2:hashCode="82+pY6NmmcJqwk" int2:id="oAGOkeBU">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2cce314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b9b98a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269E"/>
    <w:rsid w:val="00023AFE"/>
    <w:rsid w:val="000A3D9B"/>
    <w:rsid w:val="000D4642"/>
    <w:rsid w:val="000D539D"/>
    <w:rsid w:val="00116273"/>
    <w:rsid w:val="00136BF3"/>
    <w:rsid w:val="002236EB"/>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C4B6B"/>
    <w:rsid w:val="00EF55C5"/>
    <w:rsid w:val="00F6242A"/>
    <w:rsid w:val="00FD0666"/>
    <w:rsid w:val="00FF55EC"/>
    <w:rsid w:val="012AFD7C"/>
    <w:rsid w:val="014CA2B6"/>
    <w:rsid w:val="0250DE9B"/>
    <w:rsid w:val="034E8ABB"/>
    <w:rsid w:val="089EA722"/>
    <w:rsid w:val="0954208A"/>
    <w:rsid w:val="0981C195"/>
    <w:rsid w:val="09D53564"/>
    <w:rsid w:val="0A0FA0F9"/>
    <w:rsid w:val="0BF46F0E"/>
    <w:rsid w:val="0D6E5604"/>
    <w:rsid w:val="0D86A82B"/>
    <w:rsid w:val="0DC534DB"/>
    <w:rsid w:val="0E1053B9"/>
    <w:rsid w:val="13CD1C5A"/>
    <w:rsid w:val="13E0EB82"/>
    <w:rsid w:val="156E9096"/>
    <w:rsid w:val="17C642C1"/>
    <w:rsid w:val="17F17014"/>
    <w:rsid w:val="19F74548"/>
    <w:rsid w:val="1A436350"/>
    <w:rsid w:val="1A436BBC"/>
    <w:rsid w:val="1A8CE2E9"/>
    <w:rsid w:val="1C0665C1"/>
    <w:rsid w:val="1CC39ECA"/>
    <w:rsid w:val="1E84F322"/>
    <w:rsid w:val="1F5F8CB4"/>
    <w:rsid w:val="1FADED03"/>
    <w:rsid w:val="201D26C8"/>
    <w:rsid w:val="212F006F"/>
    <w:rsid w:val="24F0095F"/>
    <w:rsid w:val="26057575"/>
    <w:rsid w:val="26E89BE9"/>
    <w:rsid w:val="279EFEF8"/>
    <w:rsid w:val="2958A4CE"/>
    <w:rsid w:val="2A391EA3"/>
    <w:rsid w:val="2B32C1DF"/>
    <w:rsid w:val="2C5DD404"/>
    <w:rsid w:val="2CCDFC8D"/>
    <w:rsid w:val="2D2A1045"/>
    <w:rsid w:val="2E8E5D5D"/>
    <w:rsid w:val="2F144AE9"/>
    <w:rsid w:val="2F31B477"/>
    <w:rsid w:val="30BFF05C"/>
    <w:rsid w:val="31F2FEE5"/>
    <w:rsid w:val="3236C9DF"/>
    <w:rsid w:val="3298DD98"/>
    <w:rsid w:val="344EA740"/>
    <w:rsid w:val="3549DEE0"/>
    <w:rsid w:val="3576410A"/>
    <w:rsid w:val="358AC852"/>
    <w:rsid w:val="3660B96E"/>
    <w:rsid w:val="3807D545"/>
    <w:rsid w:val="3D0A9892"/>
    <w:rsid w:val="3D3D4802"/>
    <w:rsid w:val="3E192C66"/>
    <w:rsid w:val="3ED24312"/>
    <w:rsid w:val="3FD79D39"/>
    <w:rsid w:val="40B66B0B"/>
    <w:rsid w:val="40F764EA"/>
    <w:rsid w:val="41B5403E"/>
    <w:rsid w:val="451CFB4E"/>
    <w:rsid w:val="4553E8A2"/>
    <w:rsid w:val="46F9BF17"/>
    <w:rsid w:val="48DAD39E"/>
    <w:rsid w:val="4A446072"/>
    <w:rsid w:val="4B85E50E"/>
    <w:rsid w:val="4C9EFC4A"/>
    <w:rsid w:val="4CD79CA4"/>
    <w:rsid w:val="4D197822"/>
    <w:rsid w:val="4D3D25E7"/>
    <w:rsid w:val="4DB917EC"/>
    <w:rsid w:val="4E70BBF7"/>
    <w:rsid w:val="4FA6005A"/>
    <w:rsid w:val="4FCC36E4"/>
    <w:rsid w:val="504C4BB6"/>
    <w:rsid w:val="5118ED68"/>
    <w:rsid w:val="52694629"/>
    <w:rsid w:val="52E55560"/>
    <w:rsid w:val="5538974A"/>
    <w:rsid w:val="55EB12E7"/>
    <w:rsid w:val="563141C3"/>
    <w:rsid w:val="592DAA59"/>
    <w:rsid w:val="593F41A5"/>
    <w:rsid w:val="59555F97"/>
    <w:rsid w:val="5A1CFD60"/>
    <w:rsid w:val="5A3661A8"/>
    <w:rsid w:val="5A3C85F3"/>
    <w:rsid w:val="5D68E123"/>
    <w:rsid w:val="607524D4"/>
    <w:rsid w:val="6155DCB2"/>
    <w:rsid w:val="62477EE1"/>
    <w:rsid w:val="62987A3C"/>
    <w:rsid w:val="62A006FD"/>
    <w:rsid w:val="6451CACF"/>
    <w:rsid w:val="6473A713"/>
    <w:rsid w:val="657FB2B4"/>
    <w:rsid w:val="66B5AC55"/>
    <w:rsid w:val="66FC62C8"/>
    <w:rsid w:val="67AD436E"/>
    <w:rsid w:val="67AE9998"/>
    <w:rsid w:val="689E33FC"/>
    <w:rsid w:val="68E35553"/>
    <w:rsid w:val="69EC3FD2"/>
    <w:rsid w:val="6A36C4BF"/>
    <w:rsid w:val="6B363710"/>
    <w:rsid w:val="6E9EB5E9"/>
    <w:rsid w:val="704D52FE"/>
    <w:rsid w:val="7050BCB6"/>
    <w:rsid w:val="70E4D3C8"/>
    <w:rsid w:val="73D154CE"/>
    <w:rsid w:val="75AB6F57"/>
    <w:rsid w:val="7B17733C"/>
    <w:rsid w:val="7B72E95B"/>
    <w:rsid w:val="7C3CC0D8"/>
    <w:rsid w:val="7C6B81B5"/>
    <w:rsid w:val="7CCA2D81"/>
    <w:rsid w:val="7D91ADAD"/>
    <w:rsid w:val="7E18AAB9"/>
    <w:rsid w:val="7F11E2EC"/>
    <w:rsid w:val="7FB949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B5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microsoft.com/office/2020/10/relationships/intelligence" Target="intelligence2.xml" Id="R62083b4b92914e14" /><Relationship Type="http://schemas.openxmlformats.org/officeDocument/2006/relationships/hyperlink" Target="https://doi.org/10.6028/NIST.SP.800-207" TargetMode="External" Id="R183d2c1624ed4d65" /><Relationship Type="http://schemas.openxmlformats.org/officeDocument/2006/relationships/hyperlink" Target="https://owasp.org/www-project-top-ten/" TargetMode="External" Id="R1fe8585fc1c64296"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Bish, Gavin</dc:creator>
  <keywords/>
  <dc:description/>
  <lastModifiedBy>Bish, Gavin</lastModifiedBy>
  <revision>11</revision>
  <dcterms:created xsi:type="dcterms:W3CDTF">2024-11-04T14:05:00.0000000Z</dcterms:created>
  <dcterms:modified xsi:type="dcterms:W3CDTF">2025-02-24T18:15:03.1441006Z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