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2B9C955F" w:rsidR="002C79E6" w:rsidRDefault="002C79E6" w:rsidP="0DC534DB">
      <w:pPr>
        <w:rPr>
          <w:rFonts w:ascii="Times New Roman" w:eastAsia="Times New Roman" w:hAnsi="Times New Roman" w:cs="Times New Roman"/>
          <w:sz w:val="24"/>
        </w:rPr>
      </w:pPr>
    </w:p>
    <w:p w14:paraId="16687A78" w14:textId="412F12E7" w:rsidR="002C79E6" w:rsidRDefault="002C79E6" w:rsidP="0DC534DB">
      <w:pPr>
        <w:rPr>
          <w:rFonts w:ascii="Times New Roman" w:eastAsia="Times New Roman" w:hAnsi="Times New Roman" w:cs="Times New Roman"/>
          <w:sz w:val="24"/>
        </w:rPr>
      </w:pPr>
    </w:p>
    <w:p w14:paraId="45F5026E" w14:textId="636B1FFC" w:rsidR="002C79E6" w:rsidRDefault="002C79E6" w:rsidP="0DC534DB">
      <w:pPr>
        <w:rPr>
          <w:rFonts w:ascii="Times New Roman" w:eastAsia="Times New Roman" w:hAnsi="Times New Roman" w:cs="Times New Roman"/>
          <w:sz w:val="24"/>
        </w:rPr>
      </w:pPr>
    </w:p>
    <w:p w14:paraId="1FB6E136" w14:textId="295B90AF" w:rsidR="002C79E6" w:rsidRDefault="002C79E6" w:rsidP="0DC534DB">
      <w:pPr>
        <w:rPr>
          <w:rFonts w:ascii="Times New Roman" w:eastAsia="Times New Roman" w:hAnsi="Times New Roman" w:cs="Times New Roman"/>
          <w:sz w:val="24"/>
        </w:rPr>
      </w:pPr>
    </w:p>
    <w:p w14:paraId="38CA4A76" w14:textId="77777777" w:rsidR="002C79E6" w:rsidRDefault="002C79E6" w:rsidP="0DC534DB">
      <w:pPr>
        <w:rPr>
          <w:rFonts w:ascii="Times New Roman" w:eastAsia="Times New Roman" w:hAnsi="Times New Roman" w:cs="Times New Roman"/>
          <w:sz w:val="24"/>
        </w:rPr>
      </w:pPr>
    </w:p>
    <w:p w14:paraId="26A1E605" w14:textId="082C8390" w:rsidR="6A36C4BF" w:rsidRPr="00B863FB" w:rsidRDefault="002D1C4D" w:rsidP="0DC534DB">
      <w:pPr>
        <w:pStyle w:val="Title"/>
        <w:rPr>
          <w:rFonts w:ascii="Times New Roman" w:eastAsia="Times New Roman" w:hAnsi="Times New Roman" w:cs="Times New Roman"/>
          <w:sz w:val="24"/>
        </w:rPr>
      </w:pPr>
      <w:r>
        <w:rPr>
          <w:rFonts w:ascii="Times New Roman" w:eastAsia="Times New Roman" w:hAnsi="Times New Roman" w:cs="Times New Roman"/>
          <w:sz w:val="24"/>
        </w:rPr>
        <w:t>8</w:t>
      </w:r>
      <w:r w:rsidR="13E0EB82" w:rsidRPr="362B505D">
        <w:rPr>
          <w:rFonts w:ascii="Times New Roman" w:eastAsia="Times New Roman" w:hAnsi="Times New Roman" w:cs="Times New Roman"/>
          <w:sz w:val="24"/>
        </w:rPr>
        <w:t>-</w:t>
      </w:r>
      <w:r>
        <w:rPr>
          <w:rFonts w:ascii="Times New Roman" w:eastAsia="Times New Roman" w:hAnsi="Times New Roman" w:cs="Times New Roman"/>
          <w:sz w:val="24"/>
        </w:rPr>
        <w:t>1</w:t>
      </w:r>
      <w:r w:rsidR="13E0EB82" w:rsidRPr="362B505D">
        <w:rPr>
          <w:rFonts w:ascii="Times New Roman" w:eastAsia="Times New Roman" w:hAnsi="Times New Roman" w:cs="Times New Roman"/>
          <w:sz w:val="24"/>
        </w:rPr>
        <w:t xml:space="preserve"> </w:t>
      </w:r>
      <w:r w:rsidR="000F7873">
        <w:rPr>
          <w:rFonts w:ascii="Times New Roman" w:eastAsia="Times New Roman" w:hAnsi="Times New Roman" w:cs="Times New Roman"/>
          <w:sz w:val="24"/>
        </w:rPr>
        <w:t>Assignment</w:t>
      </w:r>
      <w:r w:rsidR="3807D545"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Data Security and Privacy Regulations</w:t>
      </w:r>
    </w:p>
    <w:p w14:paraId="78326B0D" w14:textId="5DA8B294" w:rsidR="201D26C8" w:rsidRDefault="201D26C8" w:rsidP="0DC534DB">
      <w:pPr>
        <w:pStyle w:val="Subtitle"/>
        <w:rPr>
          <w:rFonts w:ascii="Times New Roman" w:eastAsia="Times New Roman" w:hAnsi="Times New Roman" w:cs="Times New Roman"/>
          <w:sz w:val="24"/>
          <w:szCs w:val="24"/>
        </w:rPr>
      </w:pPr>
    </w:p>
    <w:p w14:paraId="06569816" w14:textId="61C67281" w:rsidR="0A0FA0F9" w:rsidRDefault="0A0FA0F9" w:rsidP="0DC534DB">
      <w:pPr>
        <w:pStyle w:val="Subtitle"/>
        <w:rPr>
          <w:rFonts w:ascii="Times New Roman" w:eastAsia="Times New Roman" w:hAnsi="Times New Roman" w:cs="Times New Roman"/>
          <w:sz w:val="24"/>
          <w:szCs w:val="24"/>
        </w:rPr>
      </w:pPr>
      <w:r w:rsidRPr="0DC534DB">
        <w:rPr>
          <w:rFonts w:ascii="Times New Roman" w:eastAsia="Times New Roman" w:hAnsi="Times New Roman" w:cs="Times New Roman"/>
          <w:sz w:val="24"/>
          <w:szCs w:val="24"/>
        </w:rPr>
        <w:t>Gavin M. Bish</w:t>
      </w:r>
    </w:p>
    <w:p w14:paraId="5C39436A" w14:textId="460C0D3C" w:rsidR="002C79E6" w:rsidRDefault="0A0FA0F9" w:rsidP="0DC534DB">
      <w:pPr>
        <w:pStyle w:val="Subtitle"/>
        <w:rPr>
          <w:rFonts w:ascii="Times New Roman" w:eastAsia="Times New Roman" w:hAnsi="Times New Roman" w:cs="Times New Roman"/>
          <w:sz w:val="24"/>
          <w:szCs w:val="24"/>
        </w:rPr>
      </w:pPr>
      <w:r w:rsidRPr="0DC534DB">
        <w:rPr>
          <w:rFonts w:ascii="Times New Roman" w:eastAsia="Times New Roman" w:hAnsi="Times New Roman" w:cs="Times New Roman"/>
          <w:sz w:val="24"/>
          <w:szCs w:val="24"/>
        </w:rPr>
        <w:t>Southern New Hampshire University</w:t>
      </w:r>
    </w:p>
    <w:p w14:paraId="66AA88B4" w14:textId="01FE155B" w:rsidR="002C79E6" w:rsidRDefault="0A0FA0F9" w:rsidP="0DC534DB">
      <w:pPr>
        <w:pStyle w:val="Subtitle"/>
        <w:rPr>
          <w:rFonts w:ascii="Times New Roman" w:eastAsia="Times New Roman" w:hAnsi="Times New Roman" w:cs="Times New Roman"/>
          <w:sz w:val="24"/>
          <w:szCs w:val="24"/>
        </w:rPr>
      </w:pPr>
      <w:r w:rsidRPr="362B505D">
        <w:rPr>
          <w:rFonts w:ascii="Times New Roman" w:eastAsia="Times New Roman" w:hAnsi="Times New Roman" w:cs="Times New Roman"/>
          <w:sz w:val="24"/>
          <w:szCs w:val="24"/>
        </w:rPr>
        <w:t>CS</w:t>
      </w:r>
      <w:r w:rsidR="00AB3513">
        <w:rPr>
          <w:rFonts w:ascii="Times New Roman" w:eastAsia="Times New Roman" w:hAnsi="Times New Roman" w:cs="Times New Roman"/>
          <w:sz w:val="24"/>
          <w:szCs w:val="24"/>
        </w:rPr>
        <w:t>5</w:t>
      </w:r>
      <w:r w:rsidR="000F7873">
        <w:rPr>
          <w:rFonts w:ascii="Times New Roman" w:eastAsia="Times New Roman" w:hAnsi="Times New Roman" w:cs="Times New Roman"/>
          <w:sz w:val="24"/>
          <w:szCs w:val="24"/>
        </w:rPr>
        <w:t>9</w:t>
      </w:r>
      <w:r w:rsidR="00AB3513">
        <w:rPr>
          <w:rFonts w:ascii="Times New Roman" w:eastAsia="Times New Roman" w:hAnsi="Times New Roman" w:cs="Times New Roman"/>
          <w:sz w:val="24"/>
          <w:szCs w:val="24"/>
        </w:rPr>
        <w:t>0</w:t>
      </w:r>
      <w:r w:rsidRPr="362B505D">
        <w:rPr>
          <w:rFonts w:ascii="Times New Roman" w:eastAsia="Times New Roman" w:hAnsi="Times New Roman" w:cs="Times New Roman"/>
          <w:sz w:val="24"/>
          <w:szCs w:val="24"/>
        </w:rPr>
        <w:t>:</w:t>
      </w:r>
      <w:r w:rsidR="002C79E6" w:rsidRPr="362B505D">
        <w:rPr>
          <w:rFonts w:ascii="Times New Roman" w:eastAsia="Times New Roman" w:hAnsi="Times New Roman" w:cs="Times New Roman"/>
          <w:sz w:val="24"/>
          <w:szCs w:val="24"/>
        </w:rPr>
        <w:t xml:space="preserve"> </w:t>
      </w:r>
      <w:r w:rsidR="007A18C4">
        <w:rPr>
          <w:rFonts w:ascii="Times New Roman" w:eastAsia="Times New Roman" w:hAnsi="Times New Roman" w:cs="Times New Roman"/>
          <w:sz w:val="24"/>
          <w:szCs w:val="24"/>
        </w:rPr>
        <w:t>Data</w:t>
      </w:r>
      <w:r w:rsidR="000F7873">
        <w:rPr>
          <w:rFonts w:ascii="Times New Roman" w:eastAsia="Times New Roman" w:hAnsi="Times New Roman" w:cs="Times New Roman"/>
          <w:sz w:val="24"/>
          <w:szCs w:val="24"/>
        </w:rPr>
        <w:t>base Design and Development</w:t>
      </w:r>
    </w:p>
    <w:p w14:paraId="401C8AC4" w14:textId="25442C84" w:rsidR="002C79E6" w:rsidRDefault="40B66B0B" w:rsidP="0DC534DB">
      <w:pPr>
        <w:pStyle w:val="Subtitle"/>
        <w:rPr>
          <w:rFonts w:ascii="Times New Roman" w:eastAsia="Times New Roman" w:hAnsi="Times New Roman" w:cs="Times New Roman"/>
          <w:sz w:val="24"/>
          <w:szCs w:val="24"/>
        </w:rPr>
      </w:pPr>
      <w:r w:rsidRPr="362B505D">
        <w:rPr>
          <w:rFonts w:ascii="Times New Roman" w:eastAsia="Times New Roman" w:hAnsi="Times New Roman" w:cs="Times New Roman"/>
          <w:sz w:val="24"/>
          <w:szCs w:val="24"/>
        </w:rPr>
        <w:t xml:space="preserve">Professor </w:t>
      </w:r>
      <w:r w:rsidR="000F7873">
        <w:rPr>
          <w:rFonts w:ascii="Times New Roman" w:eastAsia="Times New Roman" w:hAnsi="Times New Roman" w:cs="Times New Roman"/>
          <w:sz w:val="24"/>
          <w:szCs w:val="24"/>
        </w:rPr>
        <w:t>Zach Probst</w:t>
      </w:r>
    </w:p>
    <w:p w14:paraId="6636C4E1" w14:textId="7C664966" w:rsidR="40B66B0B" w:rsidRDefault="002A707C" w:rsidP="0DC534DB">
      <w:pPr>
        <w:pStyle w:val="Subtitle"/>
        <w:rPr>
          <w:rFonts w:ascii="Times New Roman" w:eastAsia="Times New Roman" w:hAnsi="Times New Roman" w:cs="Times New Roman"/>
          <w:sz w:val="24"/>
          <w:szCs w:val="24"/>
        </w:rPr>
      </w:pPr>
      <w:r>
        <w:rPr>
          <w:rFonts w:ascii="Times New Roman" w:eastAsia="Times New Roman" w:hAnsi="Times New Roman" w:cs="Times New Roman"/>
          <w:sz w:val="24"/>
          <w:szCs w:val="24"/>
        </w:rPr>
        <w:t>March</w:t>
      </w:r>
      <w:r w:rsidR="4D3D25E7" w:rsidRPr="362B505D">
        <w:rPr>
          <w:rFonts w:ascii="Times New Roman" w:eastAsia="Times New Roman" w:hAnsi="Times New Roman" w:cs="Times New Roman"/>
          <w:sz w:val="24"/>
          <w:szCs w:val="24"/>
        </w:rPr>
        <w:t xml:space="preserve"> </w:t>
      </w:r>
      <w:r w:rsidR="002D1C4D">
        <w:rPr>
          <w:rFonts w:ascii="Times New Roman" w:eastAsia="Times New Roman" w:hAnsi="Times New Roman" w:cs="Times New Roman"/>
          <w:sz w:val="24"/>
          <w:szCs w:val="24"/>
        </w:rPr>
        <w:t>24</w:t>
      </w:r>
      <w:r w:rsidR="00823B15">
        <w:rPr>
          <w:rFonts w:ascii="Times New Roman" w:eastAsia="Times New Roman" w:hAnsi="Times New Roman" w:cs="Times New Roman"/>
          <w:sz w:val="24"/>
          <w:szCs w:val="24"/>
          <w:vertAlign w:val="superscript"/>
        </w:rPr>
        <w:t>th</w:t>
      </w:r>
      <w:r w:rsidR="40B66B0B" w:rsidRPr="362B505D">
        <w:rPr>
          <w:rFonts w:ascii="Times New Roman" w:eastAsia="Times New Roman" w:hAnsi="Times New Roman" w:cs="Times New Roman"/>
          <w:sz w:val="24"/>
          <w:szCs w:val="24"/>
        </w:rPr>
        <w:t>, 202</w:t>
      </w:r>
      <w:r w:rsidR="007A18C4">
        <w:rPr>
          <w:rFonts w:ascii="Times New Roman" w:eastAsia="Times New Roman" w:hAnsi="Times New Roman" w:cs="Times New Roman"/>
          <w:sz w:val="24"/>
          <w:szCs w:val="24"/>
        </w:rPr>
        <w:t>6</w:t>
      </w:r>
    </w:p>
    <w:p w14:paraId="468EEC2B" w14:textId="41C8FC90" w:rsidR="201D26C8" w:rsidRDefault="201D26C8" w:rsidP="0DC534DB">
      <w:pPr>
        <w:pStyle w:val="Subtitle"/>
        <w:rPr>
          <w:rFonts w:ascii="Times New Roman" w:eastAsia="Times New Roman" w:hAnsi="Times New Roman" w:cs="Times New Roman"/>
          <w:sz w:val="24"/>
          <w:szCs w:val="24"/>
        </w:rPr>
      </w:pPr>
    </w:p>
    <w:p w14:paraId="68FD7A87" w14:textId="442B5588" w:rsidR="201D26C8" w:rsidRDefault="201D26C8" w:rsidP="0DC534DB">
      <w:pPr>
        <w:pStyle w:val="Title2"/>
        <w:rPr>
          <w:rFonts w:ascii="Times New Roman" w:eastAsia="Times New Roman" w:hAnsi="Times New Roman" w:cs="Times New Roman"/>
          <w:sz w:val="24"/>
        </w:rPr>
      </w:pPr>
    </w:p>
    <w:p w14:paraId="6EE3B6C1" w14:textId="6E2DC686" w:rsidR="201D26C8" w:rsidRDefault="201D26C8" w:rsidP="0DC534DB">
      <w:pPr>
        <w:pStyle w:val="Title2"/>
        <w:rPr>
          <w:rFonts w:ascii="Times New Roman" w:eastAsia="Times New Roman" w:hAnsi="Times New Roman" w:cs="Times New Roman"/>
          <w:sz w:val="24"/>
        </w:rPr>
      </w:pPr>
    </w:p>
    <w:p w14:paraId="3E88D5C1" w14:textId="059E2253" w:rsidR="201D26C8" w:rsidRDefault="201D26C8" w:rsidP="0DC534DB">
      <w:pPr>
        <w:pStyle w:val="Title2"/>
        <w:rPr>
          <w:rFonts w:ascii="Times New Roman" w:eastAsia="Times New Roman" w:hAnsi="Times New Roman" w:cs="Times New Roman"/>
          <w:sz w:val="24"/>
        </w:rPr>
      </w:pPr>
    </w:p>
    <w:p w14:paraId="30EEC908" w14:textId="07A95E6C" w:rsidR="201D26C8" w:rsidRDefault="201D26C8" w:rsidP="0DC534DB">
      <w:pPr>
        <w:pStyle w:val="Title2"/>
        <w:rPr>
          <w:rFonts w:ascii="Times New Roman" w:eastAsia="Times New Roman" w:hAnsi="Times New Roman" w:cs="Times New Roman"/>
          <w:sz w:val="24"/>
        </w:rPr>
      </w:pPr>
    </w:p>
    <w:p w14:paraId="4A7D8E0F" w14:textId="62E38A2B" w:rsidR="201D26C8" w:rsidRDefault="201D26C8" w:rsidP="0DC534DB">
      <w:pPr>
        <w:pStyle w:val="Title2"/>
        <w:rPr>
          <w:rFonts w:ascii="Times New Roman" w:eastAsia="Times New Roman" w:hAnsi="Times New Roman" w:cs="Times New Roman"/>
          <w:sz w:val="24"/>
        </w:rPr>
      </w:pPr>
    </w:p>
    <w:p w14:paraId="0905A6EE" w14:textId="5A0B4F10" w:rsidR="201D26C8" w:rsidRDefault="201D26C8" w:rsidP="0DC534DB">
      <w:pPr>
        <w:pStyle w:val="Title2"/>
        <w:rPr>
          <w:rFonts w:ascii="Times New Roman" w:eastAsia="Times New Roman" w:hAnsi="Times New Roman" w:cs="Times New Roman"/>
          <w:sz w:val="24"/>
        </w:rPr>
      </w:pPr>
    </w:p>
    <w:p w14:paraId="6F9643DB" w14:textId="0C023334" w:rsidR="201D26C8" w:rsidRDefault="201D26C8" w:rsidP="0DC534DB">
      <w:pPr>
        <w:pStyle w:val="Title2"/>
        <w:rPr>
          <w:rFonts w:ascii="Times New Roman" w:eastAsia="Times New Roman" w:hAnsi="Times New Roman" w:cs="Times New Roman"/>
          <w:sz w:val="24"/>
        </w:rPr>
      </w:pPr>
    </w:p>
    <w:p w14:paraId="4A328F3A" w14:textId="14D455AA" w:rsidR="000D4642" w:rsidRDefault="000D4642" w:rsidP="0DC534DB">
      <w:pPr>
        <w:rPr>
          <w:rFonts w:ascii="Times New Roman" w:eastAsia="Times New Roman" w:hAnsi="Times New Roman" w:cs="Times New Roman"/>
          <w:sz w:val="24"/>
        </w:rPr>
      </w:pPr>
      <w:r w:rsidRPr="592DAA59">
        <w:rPr>
          <w:rFonts w:ascii="Times New Roman" w:eastAsia="Times New Roman" w:hAnsi="Times New Roman" w:cs="Times New Roman"/>
          <w:sz w:val="24"/>
        </w:rPr>
        <w:br w:type="page"/>
      </w:r>
    </w:p>
    <w:p w14:paraId="483763DD" w14:textId="13D85FD7" w:rsidR="0019615C" w:rsidRPr="00B863FB" w:rsidRDefault="002D1C4D" w:rsidP="0019615C">
      <w:pPr>
        <w:pStyle w:val="Title"/>
        <w:rPr>
          <w:rFonts w:ascii="Times New Roman" w:eastAsia="Times New Roman" w:hAnsi="Times New Roman" w:cs="Times New Roman"/>
          <w:sz w:val="24"/>
        </w:rPr>
      </w:pPr>
      <w:r>
        <w:rPr>
          <w:rFonts w:ascii="Times New Roman" w:eastAsia="Times New Roman" w:hAnsi="Times New Roman" w:cs="Times New Roman"/>
          <w:sz w:val="24"/>
        </w:rPr>
        <w:lastRenderedPageBreak/>
        <w:t>8</w:t>
      </w:r>
      <w:r w:rsidR="0019615C" w:rsidRPr="362B505D">
        <w:rPr>
          <w:rFonts w:ascii="Times New Roman" w:eastAsia="Times New Roman" w:hAnsi="Times New Roman" w:cs="Times New Roman"/>
          <w:sz w:val="24"/>
        </w:rPr>
        <w:t>-</w:t>
      </w:r>
      <w:r>
        <w:rPr>
          <w:rFonts w:ascii="Times New Roman" w:eastAsia="Times New Roman" w:hAnsi="Times New Roman" w:cs="Times New Roman"/>
          <w:sz w:val="24"/>
        </w:rPr>
        <w:t>1</w:t>
      </w:r>
      <w:r w:rsidR="0019615C" w:rsidRPr="362B505D">
        <w:rPr>
          <w:rFonts w:ascii="Times New Roman" w:eastAsia="Times New Roman" w:hAnsi="Times New Roman" w:cs="Times New Roman"/>
          <w:sz w:val="24"/>
        </w:rPr>
        <w:t xml:space="preserve"> </w:t>
      </w:r>
      <w:r w:rsidR="0019615C">
        <w:rPr>
          <w:rFonts w:ascii="Times New Roman" w:eastAsia="Times New Roman" w:hAnsi="Times New Roman" w:cs="Times New Roman"/>
          <w:sz w:val="24"/>
        </w:rPr>
        <w:t>Assignment</w:t>
      </w:r>
      <w:r w:rsidR="0019615C"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Data Security and Privacy Regulations</w:t>
      </w:r>
    </w:p>
    <w:p w14:paraId="151A0CD1"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In today’s data-driven environment, regulatory frameworks such as the General Data Protection Regulation (GDPR) establish strict expectations for how organizations design, manage, and secure databases that store personal data. GDPR is particularly relevant because of its broad scope, applying not only to organizations within the European Union but also to any entity that processes the personal data of EU citizens. This paper examines the specific requirements imposed by GDPR, analyzes how those requirements influence database design, and evaluates a recent cyber incident in which failures in database security and configuration led to noncompliance. The discussion concludes with evidence-based recommendations for strengthening database-application integration to prevent similar breaches in the future.</w:t>
      </w:r>
    </w:p>
    <w:p w14:paraId="236A5DCF"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GDPR imposes comprehensive requirements on how personal data is stored, accessed, and transmitted. With respect to data storage, GDPR mandates that organizations implement data minimization and purpose limitation principles, ensuring that only necessary data is collected and retained for no longer than required. Article 5 of GDPR emphasizes integrity and confidentiality, requiring that stored data be protected against unauthorized access, accidental loss, or destruction through appropriate technical and organizational measures. This directly impacts database schema design, retention policies, and backup strategies, as developers must incorporate mechanisms for data lifecycle management, including automated deletion or anonymization.</w:t>
      </w:r>
    </w:p>
    <w:p w14:paraId="429D844C"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 xml:space="preserve">In terms of access, GDPR enforces strict controls over who can interact with personal data. The regulation requires that access be limited to authorized individuals based on legitimate business needs, aligning closely with the principle of least privilege. Article 32 further requires </w:t>
      </w:r>
      <w:r w:rsidRPr="002D1C4D">
        <w:rPr>
          <w:rFonts w:ascii="Times New Roman" w:eastAsia="Times New Roman" w:hAnsi="Times New Roman" w:cs="Times New Roman"/>
          <w:sz w:val="24"/>
        </w:rPr>
        <w:lastRenderedPageBreak/>
        <w:t>that systems support the ability to ensure ongoing confidentiality, integrity, and resilience, which translates into database-level access controls, auditing mechanisms, and role-based permissions. From a database perspective, this means implementing fine-grained access policies, monitoring user activity, and maintaining audit logs to demonstrate compliance.</w:t>
      </w:r>
    </w:p>
    <w:p w14:paraId="2FE936FF"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For data transmission, GDPR requires that personal data be protected during transfer, particularly when moving across networks or between systems. Encryption and secure communication protocols such as TLS are essential to prevent interception or unauthorized disclosure. Additionally, GDPR mandates safeguards for cross-border data transfers, ensuring that equivalent levels of protection are maintained regardless of where the data is processed. This requirement influences how APIs, ETL pipelines, and external integrations are configured, necessitating secure endpoints and validated communication channels.</w:t>
      </w:r>
    </w:p>
    <w:p w14:paraId="20EF90E2"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Compliance with GDPR significantly shapes database design, particularly in the areas of encryption, authentication, and authorization. Encryption is a foundational requirement, both at rest and in transit. Databases must employ strong encryption algorithms such as AES-256 for stored data and enforce encrypted connections for client access. Encryption key management also becomes critical, as improper handling of keys can undermine otherwise secure systems. In practice, this often involves integrating with dedicated key management services and ensuring that keys are rotated regularly and stored separately from the data they protect.</w:t>
      </w:r>
    </w:p>
    <w:p w14:paraId="2195E314"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 xml:space="preserve">Authentication mechanisms must verify the identity of users and </w:t>
      </w:r>
      <w:proofErr w:type="gramStart"/>
      <w:r w:rsidRPr="002D1C4D">
        <w:rPr>
          <w:rFonts w:ascii="Times New Roman" w:eastAsia="Times New Roman" w:hAnsi="Times New Roman" w:cs="Times New Roman"/>
          <w:sz w:val="24"/>
        </w:rPr>
        <w:t>systems</w:t>
      </w:r>
      <w:proofErr w:type="gramEnd"/>
      <w:r w:rsidRPr="002D1C4D">
        <w:rPr>
          <w:rFonts w:ascii="Times New Roman" w:eastAsia="Times New Roman" w:hAnsi="Times New Roman" w:cs="Times New Roman"/>
          <w:sz w:val="24"/>
        </w:rPr>
        <w:t xml:space="preserve"> accessing the database. GDPR compliance requires robust authentication strategies, including multi-factor authentication for administrative access and secure credential storage practices such as hashing and salting passwords. Weak or reused credentials represent a significant vulnerability, making </w:t>
      </w:r>
      <w:r w:rsidRPr="002D1C4D">
        <w:rPr>
          <w:rFonts w:ascii="Times New Roman" w:eastAsia="Times New Roman" w:hAnsi="Times New Roman" w:cs="Times New Roman"/>
          <w:sz w:val="24"/>
        </w:rPr>
        <w:lastRenderedPageBreak/>
        <w:t>authentication a central component of database security architecture. Additionally, service-to-service authentication in modern distributed systems must rely on secure tokens or certificates rather than static credentials.</w:t>
      </w:r>
    </w:p>
    <w:p w14:paraId="0E3539DB"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 xml:space="preserve">Authorization controls determine what authenticated users are permitted to do within the database. GDPR necessitates strict enforcement of role-based or attribute-based access control models to ensure that users can only access data relevant to their responsibilities. This includes limiting access to sensitive fields, implementing row-level security where appropriate, and continuously reviewing permissions to prevent privilege </w:t>
      </w:r>
      <w:proofErr w:type="gramStart"/>
      <w:r w:rsidRPr="002D1C4D">
        <w:rPr>
          <w:rFonts w:ascii="Times New Roman" w:eastAsia="Times New Roman" w:hAnsi="Times New Roman" w:cs="Times New Roman"/>
          <w:sz w:val="24"/>
        </w:rPr>
        <w:t>creep</w:t>
      </w:r>
      <w:proofErr w:type="gramEnd"/>
      <w:r w:rsidRPr="002D1C4D">
        <w:rPr>
          <w:rFonts w:ascii="Times New Roman" w:eastAsia="Times New Roman" w:hAnsi="Times New Roman" w:cs="Times New Roman"/>
          <w:sz w:val="24"/>
        </w:rPr>
        <w:t>. Effective authorization strategies are complemented by auditing systems that track data access and modifications, providing accountability and enabling incident response.</w:t>
      </w:r>
    </w:p>
    <w:p w14:paraId="2AF933E4"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A recent cyber incident that illustrates failures in database security and GDPR compliance is the 2025 Snowflake customer data breach. In this incident, attackers gained access to multiple organizations’ Snowflake data warehouse accounts by exploiting compromised credentials that lacked multi-factor authentication. The breach affected several high-profile companies and resulted in the exposure of large volumes of sensitive customer data. Notably, the attack did not rely on sophisticated exploitation of software vulnerabilities but instead leveraged weak authentication practices and insufficient access controls.</w:t>
      </w:r>
    </w:p>
    <w:p w14:paraId="3548878C"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 xml:space="preserve">This breach represents a clear failure to comply with GDPR requirements, particularly in the areas of access control and security of processing. The absence of multi-factor authentication violated the expectation of implementing appropriate technical measures to protect personal data. Additionally, inadequate monitoring and delayed detection of unauthorized access indicated a failure to ensure ongoing system resilience and integrity as required by Article 32. The exposure </w:t>
      </w:r>
      <w:r w:rsidRPr="002D1C4D">
        <w:rPr>
          <w:rFonts w:ascii="Times New Roman" w:eastAsia="Times New Roman" w:hAnsi="Times New Roman" w:cs="Times New Roman"/>
          <w:sz w:val="24"/>
        </w:rPr>
        <w:lastRenderedPageBreak/>
        <w:t>of large datasets also suggests that data minimization and segmentation principles were not adequately enforced, allowing attackers to access more information than necessary.</w:t>
      </w:r>
    </w:p>
    <w:p w14:paraId="3A84D7E8"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To address these shortcomings, several security techniques and protocols can be recommended for secure database-application integration. First, enforcing multi-factor authentication across all database access points is essential to mitigate the risk of credential compromise. Second, implementing zero-trust architecture principles ensures that all access requests are continuously verified, regardless of their origin. This includes validating user identity, device posture, and contextual factors before granting access.</w:t>
      </w:r>
    </w:p>
    <w:p w14:paraId="155BB527"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Encryption should be applied comprehensively, with data encrypted both at rest and in transit using industry-standard protocols. Additionally, tokenization or data masking techniques can be used to reduce the exposure of sensitive information within applications. For example, applications can operate on anonymized or pseudonymized data wherever possible, minimizing the impact of a potential breach.</w:t>
      </w:r>
    </w:p>
    <w:p w14:paraId="7A4152C9"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Strong authorization controls should be implemented using role-based access control combined with least privilege principles. This ensures that users and services only have access to the data necessary for their functions. Row-level security and column-level restrictions can further limit exposure within the database. Regular audits and automated tools should be used to detect and remediate excessive permissions.</w:t>
      </w:r>
    </w:p>
    <w:p w14:paraId="3711DD02"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 xml:space="preserve">Secure database-application integration also requires the use of modern authentication protocols such as OAuth 2.0 and mutual TLS for service communication. Secrets management solutions should replace hardcoded credentials, ensuring that sensitive information such as API keys and database passwords </w:t>
      </w:r>
      <w:proofErr w:type="gramStart"/>
      <w:r w:rsidRPr="002D1C4D">
        <w:rPr>
          <w:rFonts w:ascii="Times New Roman" w:eastAsia="Times New Roman" w:hAnsi="Times New Roman" w:cs="Times New Roman"/>
          <w:sz w:val="24"/>
        </w:rPr>
        <w:t>are</w:t>
      </w:r>
      <w:proofErr w:type="gramEnd"/>
      <w:r w:rsidRPr="002D1C4D">
        <w:rPr>
          <w:rFonts w:ascii="Times New Roman" w:eastAsia="Times New Roman" w:hAnsi="Times New Roman" w:cs="Times New Roman"/>
          <w:sz w:val="24"/>
        </w:rPr>
        <w:t xml:space="preserve"> stored securely and rotated regularly. Logging and monitoring </w:t>
      </w:r>
      <w:r w:rsidRPr="002D1C4D">
        <w:rPr>
          <w:rFonts w:ascii="Times New Roman" w:eastAsia="Times New Roman" w:hAnsi="Times New Roman" w:cs="Times New Roman"/>
          <w:sz w:val="24"/>
        </w:rPr>
        <w:lastRenderedPageBreak/>
        <w:t>systems must be configured to detect anomalous activity in real time, enabling rapid response to potential threats.</w:t>
      </w:r>
    </w:p>
    <w:p w14:paraId="43587676"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These recommendations are justified by their ability to directly address the vulnerabilities exploited in the Snowflake breach. Multi-factor authentication significantly reduces the likelihood of unauthorized access resulting from stolen credentials. Zero-trust principles and continuous verification prevent attackers from moving laterally within the system, even if initial access is gained. Encryption and data minimization limit the value of compromised data, reducing the potential impact of a breach.</w:t>
      </w:r>
    </w:p>
    <w:p w14:paraId="33C55373" w14:textId="77777777" w:rsidR="002D1C4D" w:rsidRPr="002D1C4D"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Furthermore, strong authorization and auditing mechanisms ensure that any unauthorized activity is quickly detected and contained. By implementing these measures, organizations can create a layered security architecture that aligns with GDPR requirements and provides resilience against evolving threats. This proactive approach not only enhances compliance but also strengthens overall data governance and trust.</w:t>
      </w:r>
    </w:p>
    <w:p w14:paraId="49C9E56D" w14:textId="584C2B90" w:rsidR="007256F3" w:rsidRPr="007256F3" w:rsidRDefault="002D1C4D" w:rsidP="002D1C4D">
      <w:pPr>
        <w:spacing w:before="240" w:after="240"/>
        <w:rPr>
          <w:rFonts w:ascii="Times New Roman" w:eastAsia="Times New Roman" w:hAnsi="Times New Roman" w:cs="Times New Roman"/>
          <w:sz w:val="24"/>
        </w:rPr>
      </w:pPr>
      <w:r w:rsidRPr="002D1C4D">
        <w:rPr>
          <w:rFonts w:ascii="Times New Roman" w:eastAsia="Times New Roman" w:hAnsi="Times New Roman" w:cs="Times New Roman"/>
          <w:sz w:val="24"/>
        </w:rPr>
        <w:t>In conclusion, GDPR establishes rigorous standards for data storage, access, and transmission that significantly influence database design and security practices. The analysis of the Snowflake breach demonstrates how failures in authentication, authorization, and monitoring can lead to serious compliance violations and data exposure. By adopting robust security techniques such as multi-factor authentication, encryption, zero-trust architecture, and secure integration protocols, organizations can mitigate risks and ensure compliance with regulatory requirements. These practices are essential for protecting sensitive data and maintaining the integrity of modern database systems.</w:t>
      </w:r>
    </w:p>
    <w:p w14:paraId="4851F80C" w14:textId="77777777" w:rsidR="00635CE2" w:rsidRDefault="00635CE2" w:rsidP="000267DF">
      <w:pPr>
        <w:spacing w:before="240" w:after="240"/>
        <w:ind w:firstLine="0"/>
        <w:rPr>
          <w:rFonts w:ascii="Times New Roman" w:eastAsia="Times New Roman" w:hAnsi="Times New Roman" w:cs="Times New Roman"/>
          <w:sz w:val="24"/>
        </w:rPr>
      </w:pPr>
    </w:p>
    <w:p w14:paraId="2D626D5A" w14:textId="1DCEC224" w:rsidR="00127116" w:rsidRPr="00DA64F5" w:rsidRDefault="00127116" w:rsidP="00127116">
      <w:pPr>
        <w:spacing w:before="240" w:after="240"/>
        <w:ind w:firstLine="0"/>
        <w:jc w:val="center"/>
        <w:rPr>
          <w:rFonts w:ascii="Times New Roman" w:eastAsia="Times New Roman" w:hAnsi="Times New Roman" w:cs="Times New Roman"/>
          <w:sz w:val="24"/>
        </w:rPr>
      </w:pPr>
      <w:r w:rsidRPr="00DA64F5">
        <w:rPr>
          <w:rFonts w:ascii="Times New Roman" w:eastAsia="Times New Roman" w:hAnsi="Times New Roman" w:cs="Times New Roman"/>
          <w:sz w:val="24"/>
        </w:rPr>
        <w:lastRenderedPageBreak/>
        <w:t>References</w:t>
      </w:r>
    </w:p>
    <w:p w14:paraId="5F436F71" w14:textId="77777777" w:rsidR="002D1C4D" w:rsidRPr="002D1C4D" w:rsidRDefault="002D1C4D" w:rsidP="002D1C4D">
      <w:pPr>
        <w:spacing w:before="240" w:after="240"/>
        <w:ind w:firstLine="0"/>
        <w:rPr>
          <w:rFonts w:ascii="Times New Roman" w:eastAsia="Times New Roman" w:hAnsi="Times New Roman" w:cs="Times New Roman"/>
          <w:sz w:val="24"/>
        </w:rPr>
      </w:pPr>
      <w:r w:rsidRPr="002D1C4D">
        <w:rPr>
          <w:rFonts w:ascii="Times New Roman" w:eastAsia="Times New Roman" w:hAnsi="Times New Roman" w:cs="Times New Roman"/>
          <w:sz w:val="24"/>
        </w:rPr>
        <w:t xml:space="preserve">European Union. (2016). General Data Protection Regulation (GDPR). </w:t>
      </w:r>
      <w:hyperlink r:id="rId10" w:tgtFrame="_new" w:history="1">
        <w:r w:rsidRPr="002D1C4D">
          <w:rPr>
            <w:rStyle w:val="Hyperlink"/>
            <w:rFonts w:ascii="Times New Roman" w:eastAsia="Times New Roman" w:hAnsi="Times New Roman" w:cs="Times New Roman"/>
            <w:sz w:val="24"/>
          </w:rPr>
          <w:t>https://eur-lex.europa.eu/eli/reg/2016/679/oj</w:t>
        </w:r>
      </w:hyperlink>
    </w:p>
    <w:p w14:paraId="391720FC" w14:textId="77777777" w:rsidR="002D1C4D" w:rsidRPr="002D1C4D" w:rsidRDefault="002D1C4D" w:rsidP="002D1C4D">
      <w:pPr>
        <w:spacing w:before="240" w:after="240"/>
        <w:ind w:firstLine="0"/>
        <w:rPr>
          <w:rFonts w:ascii="Times New Roman" w:eastAsia="Times New Roman" w:hAnsi="Times New Roman" w:cs="Times New Roman"/>
          <w:sz w:val="24"/>
        </w:rPr>
      </w:pPr>
      <w:r w:rsidRPr="002D1C4D">
        <w:rPr>
          <w:rFonts w:ascii="Times New Roman" w:eastAsia="Times New Roman" w:hAnsi="Times New Roman" w:cs="Times New Roman"/>
          <w:sz w:val="24"/>
        </w:rPr>
        <w:t xml:space="preserve">Snowflake, Inc. (2025). Security advisory on unauthorized access incidents. </w:t>
      </w:r>
      <w:hyperlink r:id="rId11" w:tgtFrame="_new" w:history="1">
        <w:r w:rsidRPr="002D1C4D">
          <w:rPr>
            <w:rStyle w:val="Hyperlink"/>
            <w:rFonts w:ascii="Times New Roman" w:eastAsia="Times New Roman" w:hAnsi="Times New Roman" w:cs="Times New Roman"/>
            <w:sz w:val="24"/>
          </w:rPr>
          <w:t>https://www.snowflake.com</w:t>
        </w:r>
      </w:hyperlink>
    </w:p>
    <w:p w14:paraId="475942B5" w14:textId="77777777" w:rsidR="002D1C4D" w:rsidRPr="002D1C4D" w:rsidRDefault="002D1C4D" w:rsidP="002D1C4D">
      <w:pPr>
        <w:spacing w:before="240" w:after="240"/>
        <w:ind w:firstLine="0"/>
        <w:rPr>
          <w:rFonts w:ascii="Times New Roman" w:eastAsia="Times New Roman" w:hAnsi="Times New Roman" w:cs="Times New Roman"/>
          <w:sz w:val="24"/>
        </w:rPr>
      </w:pPr>
      <w:r w:rsidRPr="002D1C4D">
        <w:rPr>
          <w:rFonts w:ascii="Times New Roman" w:eastAsia="Times New Roman" w:hAnsi="Times New Roman" w:cs="Times New Roman"/>
          <w:sz w:val="24"/>
        </w:rPr>
        <w:t xml:space="preserve">National Institute of Standards and Technology. (2020). Security and privacy controls for information systems and organizations (SP 800-53 Rev. 5). </w:t>
      </w:r>
      <w:hyperlink r:id="rId12" w:tgtFrame="_new" w:history="1">
        <w:r w:rsidRPr="002D1C4D">
          <w:rPr>
            <w:rStyle w:val="Hyperlink"/>
            <w:rFonts w:ascii="Times New Roman" w:eastAsia="Times New Roman" w:hAnsi="Times New Roman" w:cs="Times New Roman"/>
            <w:sz w:val="24"/>
          </w:rPr>
          <w:t>https://nvd.nist.gov</w:t>
        </w:r>
      </w:hyperlink>
    </w:p>
    <w:p w14:paraId="4660E774" w14:textId="77777777" w:rsidR="002D1C4D" w:rsidRPr="002D1C4D" w:rsidRDefault="002D1C4D" w:rsidP="002D1C4D">
      <w:pPr>
        <w:spacing w:before="240" w:after="240"/>
        <w:ind w:firstLine="0"/>
        <w:rPr>
          <w:rFonts w:ascii="Times New Roman" w:eastAsia="Times New Roman" w:hAnsi="Times New Roman" w:cs="Times New Roman"/>
          <w:sz w:val="24"/>
        </w:rPr>
      </w:pPr>
      <w:r w:rsidRPr="002D1C4D">
        <w:rPr>
          <w:rFonts w:ascii="Times New Roman" w:eastAsia="Times New Roman" w:hAnsi="Times New Roman" w:cs="Times New Roman"/>
          <w:sz w:val="24"/>
        </w:rPr>
        <w:t xml:space="preserve">Verizon. (2025). Data breach investigations report. </w:t>
      </w:r>
      <w:hyperlink r:id="rId13" w:tgtFrame="_new" w:history="1">
        <w:r w:rsidRPr="002D1C4D">
          <w:rPr>
            <w:rStyle w:val="Hyperlink"/>
            <w:rFonts w:ascii="Times New Roman" w:eastAsia="Times New Roman" w:hAnsi="Times New Roman" w:cs="Times New Roman"/>
            <w:sz w:val="24"/>
          </w:rPr>
          <w:t>https://www.verizon.com/business/resources/reports/dbir/</w:t>
        </w:r>
      </w:hyperlink>
    </w:p>
    <w:p w14:paraId="48D57E02" w14:textId="77777777" w:rsidR="00823B15" w:rsidRDefault="00823B15" w:rsidP="001C4EE7">
      <w:pPr>
        <w:spacing w:before="240" w:after="240"/>
        <w:ind w:firstLine="0"/>
        <w:rPr>
          <w:rFonts w:ascii="Times New Roman" w:eastAsia="Times New Roman" w:hAnsi="Times New Roman" w:cs="Times New Roman"/>
          <w:sz w:val="24"/>
        </w:rPr>
      </w:pPr>
    </w:p>
    <w:p w14:paraId="3086FB9E" w14:textId="77777777" w:rsidR="00823B15" w:rsidRPr="001C4EE7" w:rsidRDefault="00823B15" w:rsidP="001C4EE7">
      <w:pPr>
        <w:spacing w:before="240" w:after="240"/>
        <w:ind w:firstLine="0"/>
        <w:rPr>
          <w:rFonts w:ascii="Times New Roman" w:eastAsia="Times New Roman" w:hAnsi="Times New Roman" w:cs="Times New Roman"/>
          <w:sz w:val="24"/>
        </w:rPr>
      </w:pPr>
    </w:p>
    <w:p w14:paraId="0B16AA23" w14:textId="77777777" w:rsidR="00356218" w:rsidRDefault="00356218" w:rsidP="000267DF">
      <w:pPr>
        <w:spacing w:before="240" w:after="240"/>
        <w:ind w:firstLine="0"/>
        <w:rPr>
          <w:rFonts w:ascii="Times New Roman" w:eastAsia="Times New Roman" w:hAnsi="Times New Roman" w:cs="Times New Roman"/>
          <w:sz w:val="24"/>
        </w:rPr>
      </w:pPr>
    </w:p>
    <w:p w14:paraId="1D5DDF0F" w14:textId="77777777" w:rsidR="00D30E2B" w:rsidRDefault="00D30E2B" w:rsidP="000267DF">
      <w:pPr>
        <w:spacing w:before="240" w:after="240"/>
        <w:ind w:firstLine="0"/>
        <w:rPr>
          <w:rFonts w:ascii="Times New Roman" w:eastAsia="Times New Roman" w:hAnsi="Times New Roman" w:cs="Times New Roman"/>
          <w:sz w:val="24"/>
        </w:rPr>
      </w:pPr>
    </w:p>
    <w:p w14:paraId="6FF64D98" w14:textId="77777777" w:rsidR="00635CE2" w:rsidRDefault="00635CE2" w:rsidP="000267DF">
      <w:pPr>
        <w:spacing w:before="240" w:after="240"/>
        <w:ind w:firstLine="0"/>
        <w:rPr>
          <w:rFonts w:ascii="Times New Roman" w:eastAsia="Times New Roman" w:hAnsi="Times New Roman" w:cs="Times New Roman"/>
          <w:sz w:val="24"/>
        </w:rPr>
      </w:pPr>
    </w:p>
    <w:p w14:paraId="79323D5B" w14:textId="77777777" w:rsidR="00635CE2" w:rsidRDefault="00635CE2" w:rsidP="000267DF">
      <w:pPr>
        <w:spacing w:before="240" w:after="240"/>
        <w:ind w:firstLine="0"/>
        <w:rPr>
          <w:rFonts w:ascii="Times New Roman" w:eastAsia="Times New Roman" w:hAnsi="Times New Roman" w:cs="Times New Roman"/>
          <w:sz w:val="24"/>
        </w:rPr>
      </w:pPr>
    </w:p>
    <w:p w14:paraId="2B5F8D6E" w14:textId="77777777" w:rsidR="00635CE2" w:rsidRDefault="00635CE2" w:rsidP="000267DF">
      <w:pPr>
        <w:spacing w:before="240" w:after="240"/>
        <w:ind w:firstLine="0"/>
        <w:rPr>
          <w:rFonts w:ascii="Times New Roman" w:eastAsia="Times New Roman" w:hAnsi="Times New Roman" w:cs="Times New Roman"/>
          <w:sz w:val="24"/>
        </w:rPr>
      </w:pPr>
    </w:p>
    <w:p w14:paraId="18516586" w14:textId="77777777" w:rsidR="00635CE2" w:rsidRDefault="00635CE2" w:rsidP="000267DF">
      <w:pPr>
        <w:spacing w:before="240" w:after="240"/>
        <w:ind w:firstLine="0"/>
        <w:rPr>
          <w:rFonts w:ascii="Times New Roman" w:eastAsia="Times New Roman" w:hAnsi="Times New Roman" w:cs="Times New Roman"/>
          <w:sz w:val="24"/>
        </w:rPr>
      </w:pPr>
    </w:p>
    <w:p w14:paraId="0E346552" w14:textId="19A45B47" w:rsidR="00C36576" w:rsidRPr="00C36576" w:rsidRDefault="00C36576" w:rsidP="002D1C4D">
      <w:pPr>
        <w:spacing w:before="240" w:after="240"/>
        <w:ind w:firstLine="0"/>
        <w:rPr>
          <w:rFonts w:ascii="Times New Roman" w:eastAsia="Times New Roman" w:hAnsi="Times New Roman" w:cs="Times New Roman"/>
          <w:sz w:val="24"/>
        </w:rPr>
      </w:pPr>
    </w:p>
    <w:sectPr w:rsidR="00C36576" w:rsidRPr="00C36576">
      <w:headerReference w:type="even" r:id="rId14"/>
      <w:headerReference w:type="default" r:id="rId15"/>
      <w:footerReference w:type="even" r:id="rId16"/>
      <w:footerReference w:type="default" r:id="rId17"/>
      <w:headerReference w:type="first" r:id="rId18"/>
      <w:footerReference w:type="first" r:id="rId1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21881" w14:textId="77777777" w:rsidR="00E40A52" w:rsidRDefault="00E40A52">
      <w:pPr>
        <w:spacing w:line="240" w:lineRule="auto"/>
      </w:pPr>
      <w:r>
        <w:separator/>
      </w:r>
    </w:p>
    <w:p w14:paraId="2BA2EA9A" w14:textId="77777777" w:rsidR="00E40A52" w:rsidRDefault="00E40A52"/>
  </w:endnote>
  <w:endnote w:type="continuationSeparator" w:id="0">
    <w:p w14:paraId="67A81684" w14:textId="77777777" w:rsidR="00E40A52" w:rsidRDefault="00E40A52">
      <w:pPr>
        <w:spacing w:line="240" w:lineRule="auto"/>
      </w:pPr>
      <w:r>
        <w:continuationSeparator/>
      </w:r>
    </w:p>
    <w:p w14:paraId="3674A7A9" w14:textId="77777777" w:rsidR="00E40A52" w:rsidRDefault="00E40A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D896" w14:textId="77777777" w:rsidR="00E40A52" w:rsidRDefault="00E40A52">
      <w:pPr>
        <w:spacing w:line="240" w:lineRule="auto"/>
      </w:pPr>
      <w:r>
        <w:separator/>
      </w:r>
    </w:p>
    <w:p w14:paraId="4B34A78B" w14:textId="77777777" w:rsidR="00E40A52" w:rsidRDefault="00E40A52"/>
  </w:footnote>
  <w:footnote w:type="continuationSeparator" w:id="0">
    <w:p w14:paraId="7881A44B" w14:textId="77777777" w:rsidR="00E40A52" w:rsidRDefault="00E40A52">
      <w:pPr>
        <w:spacing w:line="240" w:lineRule="auto"/>
      </w:pPr>
      <w:r>
        <w:continuationSeparator/>
      </w:r>
    </w:p>
    <w:p w14:paraId="2088CDB4" w14:textId="77777777" w:rsidR="00E40A52" w:rsidRDefault="00E40A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1725" w14:textId="28B77960"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269E"/>
    <w:rsid w:val="00011172"/>
    <w:rsid w:val="000117E2"/>
    <w:rsid w:val="00023AFE"/>
    <w:rsid w:val="000267DF"/>
    <w:rsid w:val="00034BF4"/>
    <w:rsid w:val="000959A0"/>
    <w:rsid w:val="000A3D9B"/>
    <w:rsid w:val="000D4642"/>
    <w:rsid w:val="000D539D"/>
    <w:rsid w:val="000F7873"/>
    <w:rsid w:val="00112898"/>
    <w:rsid w:val="00116273"/>
    <w:rsid w:val="00127116"/>
    <w:rsid w:val="00136BF3"/>
    <w:rsid w:val="0019615C"/>
    <w:rsid w:val="001C4EE7"/>
    <w:rsid w:val="0021792A"/>
    <w:rsid w:val="002236EB"/>
    <w:rsid w:val="0022409D"/>
    <w:rsid w:val="00233B15"/>
    <w:rsid w:val="0027221E"/>
    <w:rsid w:val="00295B76"/>
    <w:rsid w:val="002A707C"/>
    <w:rsid w:val="002C3B17"/>
    <w:rsid w:val="002C79E6"/>
    <w:rsid w:val="002D1C4D"/>
    <w:rsid w:val="002D2F8C"/>
    <w:rsid w:val="002F3AE9"/>
    <w:rsid w:val="00337EC5"/>
    <w:rsid w:val="003416D6"/>
    <w:rsid w:val="00356218"/>
    <w:rsid w:val="00363E90"/>
    <w:rsid w:val="003739D2"/>
    <w:rsid w:val="003804CC"/>
    <w:rsid w:val="00412A7A"/>
    <w:rsid w:val="00473560"/>
    <w:rsid w:val="00473B4A"/>
    <w:rsid w:val="004D432F"/>
    <w:rsid w:val="005016EF"/>
    <w:rsid w:val="005068AA"/>
    <w:rsid w:val="005146F6"/>
    <w:rsid w:val="0052452C"/>
    <w:rsid w:val="005402BF"/>
    <w:rsid w:val="00545225"/>
    <w:rsid w:val="00572BEF"/>
    <w:rsid w:val="005B18BC"/>
    <w:rsid w:val="005C5172"/>
    <w:rsid w:val="005E1FD7"/>
    <w:rsid w:val="00615DD5"/>
    <w:rsid w:val="00623CBC"/>
    <w:rsid w:val="00635CE2"/>
    <w:rsid w:val="00664C1A"/>
    <w:rsid w:val="00716C44"/>
    <w:rsid w:val="007256F3"/>
    <w:rsid w:val="007509F5"/>
    <w:rsid w:val="00797D1D"/>
    <w:rsid w:val="007A18C4"/>
    <w:rsid w:val="00807E05"/>
    <w:rsid w:val="00823B15"/>
    <w:rsid w:val="00832B9E"/>
    <w:rsid w:val="0087407D"/>
    <w:rsid w:val="008842D1"/>
    <w:rsid w:val="00893741"/>
    <w:rsid w:val="00893DA5"/>
    <w:rsid w:val="008A3FFA"/>
    <w:rsid w:val="008B0D39"/>
    <w:rsid w:val="008B22AE"/>
    <w:rsid w:val="009801AC"/>
    <w:rsid w:val="00A12634"/>
    <w:rsid w:val="00A417C1"/>
    <w:rsid w:val="00A643B5"/>
    <w:rsid w:val="00A87B67"/>
    <w:rsid w:val="00AA77CD"/>
    <w:rsid w:val="00AB3513"/>
    <w:rsid w:val="00B47703"/>
    <w:rsid w:val="00B60B26"/>
    <w:rsid w:val="00B863FB"/>
    <w:rsid w:val="00B86440"/>
    <w:rsid w:val="00B902A7"/>
    <w:rsid w:val="00BB2D6F"/>
    <w:rsid w:val="00C00F8F"/>
    <w:rsid w:val="00C03068"/>
    <w:rsid w:val="00C227F3"/>
    <w:rsid w:val="00C36576"/>
    <w:rsid w:val="00C556D2"/>
    <w:rsid w:val="00CF37B1"/>
    <w:rsid w:val="00D30E2B"/>
    <w:rsid w:val="00D33F25"/>
    <w:rsid w:val="00D620FD"/>
    <w:rsid w:val="00D63626"/>
    <w:rsid w:val="00D70483"/>
    <w:rsid w:val="00D91044"/>
    <w:rsid w:val="00DA64F5"/>
    <w:rsid w:val="00DE1BA9"/>
    <w:rsid w:val="00DF5915"/>
    <w:rsid w:val="00DF7E67"/>
    <w:rsid w:val="00E21BEB"/>
    <w:rsid w:val="00E40A52"/>
    <w:rsid w:val="00E63688"/>
    <w:rsid w:val="00E67454"/>
    <w:rsid w:val="00E74BB7"/>
    <w:rsid w:val="00E83CA5"/>
    <w:rsid w:val="00EB6487"/>
    <w:rsid w:val="00EC4B6B"/>
    <w:rsid w:val="00EE6458"/>
    <w:rsid w:val="00EF55C5"/>
    <w:rsid w:val="00F13910"/>
    <w:rsid w:val="00F1750B"/>
    <w:rsid w:val="00F6242A"/>
    <w:rsid w:val="00F652D1"/>
    <w:rsid w:val="00F97ABA"/>
    <w:rsid w:val="00FD0666"/>
    <w:rsid w:val="00FD3168"/>
    <w:rsid w:val="00FF55EC"/>
    <w:rsid w:val="012AFD7C"/>
    <w:rsid w:val="014CA2B6"/>
    <w:rsid w:val="0250DE9B"/>
    <w:rsid w:val="034E8ABB"/>
    <w:rsid w:val="078A4559"/>
    <w:rsid w:val="08ACA29E"/>
    <w:rsid w:val="0954208A"/>
    <w:rsid w:val="09D53564"/>
    <w:rsid w:val="0A0FA0F9"/>
    <w:rsid w:val="0BF46F0E"/>
    <w:rsid w:val="0D6E5604"/>
    <w:rsid w:val="0DC534DB"/>
    <w:rsid w:val="0E1053B9"/>
    <w:rsid w:val="13BE728D"/>
    <w:rsid w:val="13E0EB82"/>
    <w:rsid w:val="156E9096"/>
    <w:rsid w:val="17C642C1"/>
    <w:rsid w:val="17F17014"/>
    <w:rsid w:val="1A436350"/>
    <w:rsid w:val="1A436BBC"/>
    <w:rsid w:val="1A8CE2E9"/>
    <w:rsid w:val="1C0665C1"/>
    <w:rsid w:val="1CC39ECA"/>
    <w:rsid w:val="1E84F322"/>
    <w:rsid w:val="1F5F8CB4"/>
    <w:rsid w:val="201D26C8"/>
    <w:rsid w:val="212F006F"/>
    <w:rsid w:val="239E8E39"/>
    <w:rsid w:val="26057575"/>
    <w:rsid w:val="279EFEF8"/>
    <w:rsid w:val="2958A4CE"/>
    <w:rsid w:val="2A391EA3"/>
    <w:rsid w:val="2B32C1DF"/>
    <w:rsid w:val="2CCDFC8D"/>
    <w:rsid w:val="2E8E5D5D"/>
    <w:rsid w:val="2F144AE9"/>
    <w:rsid w:val="30BFF05C"/>
    <w:rsid w:val="31F2FEE5"/>
    <w:rsid w:val="3236C9DF"/>
    <w:rsid w:val="3298DD98"/>
    <w:rsid w:val="344EA740"/>
    <w:rsid w:val="3549DEE0"/>
    <w:rsid w:val="362B505D"/>
    <w:rsid w:val="3660B96E"/>
    <w:rsid w:val="3807D545"/>
    <w:rsid w:val="3D0A9892"/>
    <w:rsid w:val="3D3D4802"/>
    <w:rsid w:val="3E192C66"/>
    <w:rsid w:val="3FD79D39"/>
    <w:rsid w:val="40B66B0B"/>
    <w:rsid w:val="41B5403E"/>
    <w:rsid w:val="41D90F62"/>
    <w:rsid w:val="4385F3D6"/>
    <w:rsid w:val="451CFB4E"/>
    <w:rsid w:val="4553E8A2"/>
    <w:rsid w:val="46F9BF17"/>
    <w:rsid w:val="48DAD39E"/>
    <w:rsid w:val="4A446072"/>
    <w:rsid w:val="4B85E50E"/>
    <w:rsid w:val="4CD79CA4"/>
    <w:rsid w:val="4D3D25E7"/>
    <w:rsid w:val="4E70BBF7"/>
    <w:rsid w:val="4FA6005A"/>
    <w:rsid w:val="4FCC36E4"/>
    <w:rsid w:val="504C4BB6"/>
    <w:rsid w:val="5118ED68"/>
    <w:rsid w:val="52694629"/>
    <w:rsid w:val="563141C3"/>
    <w:rsid w:val="592DAA59"/>
    <w:rsid w:val="593F41A5"/>
    <w:rsid w:val="59555F97"/>
    <w:rsid w:val="5A1CFD60"/>
    <w:rsid w:val="5D68E123"/>
    <w:rsid w:val="607524D4"/>
    <w:rsid w:val="6155DCB2"/>
    <w:rsid w:val="61FE760B"/>
    <w:rsid w:val="62477EE1"/>
    <w:rsid w:val="62A006FD"/>
    <w:rsid w:val="6451CACF"/>
    <w:rsid w:val="6473A713"/>
    <w:rsid w:val="657FB2B4"/>
    <w:rsid w:val="66FC62C8"/>
    <w:rsid w:val="67AD436E"/>
    <w:rsid w:val="67AE9998"/>
    <w:rsid w:val="689E33FC"/>
    <w:rsid w:val="68E35553"/>
    <w:rsid w:val="69EC3FD2"/>
    <w:rsid w:val="6A36C4BF"/>
    <w:rsid w:val="6B363710"/>
    <w:rsid w:val="6E9EB5E9"/>
    <w:rsid w:val="7050BCB6"/>
    <w:rsid w:val="70B7F66C"/>
    <w:rsid w:val="73D154CE"/>
    <w:rsid w:val="75AB6F57"/>
    <w:rsid w:val="7B17733C"/>
    <w:rsid w:val="7C3CC0D8"/>
    <w:rsid w:val="7CCA2D81"/>
    <w:rsid w:val="7E18AAB9"/>
    <w:rsid w:val="7ED7F4D3"/>
    <w:rsid w:val="7F11E2EC"/>
    <w:rsid w:val="7FB949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EB5E9"/>
  <w15:chartTrackingRefBased/>
  <w15:docId w15:val="{E3194AFB-C097-4FD8-B328-3E792464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1">
    <w:name w:val="Plain Table 1"/>
    <w:basedOn w:val="TableNormal"/>
    <w:uiPriority w:val="41"/>
    <w:rsid w:val="00893DA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93DA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B3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2530">
      <w:bodyDiv w:val="1"/>
      <w:marLeft w:val="0"/>
      <w:marRight w:val="0"/>
      <w:marTop w:val="0"/>
      <w:marBottom w:val="0"/>
      <w:divBdr>
        <w:top w:val="none" w:sz="0" w:space="0" w:color="auto"/>
        <w:left w:val="none" w:sz="0" w:space="0" w:color="auto"/>
        <w:bottom w:val="none" w:sz="0" w:space="0" w:color="auto"/>
        <w:right w:val="none" w:sz="0" w:space="0" w:color="auto"/>
      </w:divBdr>
    </w:div>
    <w:div w:id="10500384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6023563">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6748966">
      <w:bodyDiv w:val="1"/>
      <w:marLeft w:val="0"/>
      <w:marRight w:val="0"/>
      <w:marTop w:val="0"/>
      <w:marBottom w:val="0"/>
      <w:divBdr>
        <w:top w:val="none" w:sz="0" w:space="0" w:color="auto"/>
        <w:left w:val="none" w:sz="0" w:space="0" w:color="auto"/>
        <w:bottom w:val="none" w:sz="0" w:space="0" w:color="auto"/>
        <w:right w:val="none" w:sz="0" w:space="0" w:color="auto"/>
      </w:divBdr>
    </w:div>
    <w:div w:id="21058267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2030605">
      <w:bodyDiv w:val="1"/>
      <w:marLeft w:val="0"/>
      <w:marRight w:val="0"/>
      <w:marTop w:val="0"/>
      <w:marBottom w:val="0"/>
      <w:divBdr>
        <w:top w:val="none" w:sz="0" w:space="0" w:color="auto"/>
        <w:left w:val="none" w:sz="0" w:space="0" w:color="auto"/>
        <w:bottom w:val="none" w:sz="0" w:space="0" w:color="auto"/>
        <w:right w:val="none" w:sz="0" w:space="0" w:color="auto"/>
      </w:divBdr>
    </w:div>
    <w:div w:id="290524800">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7372051">
      <w:bodyDiv w:val="1"/>
      <w:marLeft w:val="0"/>
      <w:marRight w:val="0"/>
      <w:marTop w:val="0"/>
      <w:marBottom w:val="0"/>
      <w:divBdr>
        <w:top w:val="none" w:sz="0" w:space="0" w:color="auto"/>
        <w:left w:val="none" w:sz="0" w:space="0" w:color="auto"/>
        <w:bottom w:val="none" w:sz="0" w:space="0" w:color="auto"/>
        <w:right w:val="none" w:sz="0" w:space="0" w:color="auto"/>
      </w:divBdr>
    </w:div>
    <w:div w:id="339427705">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24430">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79608646">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8688098">
      <w:bodyDiv w:val="1"/>
      <w:marLeft w:val="0"/>
      <w:marRight w:val="0"/>
      <w:marTop w:val="0"/>
      <w:marBottom w:val="0"/>
      <w:divBdr>
        <w:top w:val="none" w:sz="0" w:space="0" w:color="auto"/>
        <w:left w:val="none" w:sz="0" w:space="0" w:color="auto"/>
        <w:bottom w:val="none" w:sz="0" w:space="0" w:color="auto"/>
        <w:right w:val="none" w:sz="0" w:space="0" w:color="auto"/>
      </w:divBdr>
    </w:div>
    <w:div w:id="825589276">
      <w:bodyDiv w:val="1"/>
      <w:marLeft w:val="0"/>
      <w:marRight w:val="0"/>
      <w:marTop w:val="0"/>
      <w:marBottom w:val="0"/>
      <w:divBdr>
        <w:top w:val="none" w:sz="0" w:space="0" w:color="auto"/>
        <w:left w:val="none" w:sz="0" w:space="0" w:color="auto"/>
        <w:bottom w:val="none" w:sz="0" w:space="0" w:color="auto"/>
        <w:right w:val="none" w:sz="0" w:space="0" w:color="auto"/>
      </w:divBdr>
    </w:div>
    <w:div w:id="832992303">
      <w:bodyDiv w:val="1"/>
      <w:marLeft w:val="0"/>
      <w:marRight w:val="0"/>
      <w:marTop w:val="0"/>
      <w:marBottom w:val="0"/>
      <w:divBdr>
        <w:top w:val="none" w:sz="0" w:space="0" w:color="auto"/>
        <w:left w:val="none" w:sz="0" w:space="0" w:color="auto"/>
        <w:bottom w:val="none" w:sz="0" w:space="0" w:color="auto"/>
        <w:right w:val="none" w:sz="0" w:space="0" w:color="auto"/>
      </w:divBdr>
    </w:div>
    <w:div w:id="974987774">
      <w:bodyDiv w:val="1"/>
      <w:marLeft w:val="0"/>
      <w:marRight w:val="0"/>
      <w:marTop w:val="0"/>
      <w:marBottom w:val="0"/>
      <w:divBdr>
        <w:top w:val="none" w:sz="0" w:space="0" w:color="auto"/>
        <w:left w:val="none" w:sz="0" w:space="0" w:color="auto"/>
        <w:bottom w:val="none" w:sz="0" w:space="0" w:color="auto"/>
        <w:right w:val="none" w:sz="0" w:space="0" w:color="auto"/>
      </w:divBdr>
    </w:div>
    <w:div w:id="984243115">
      <w:bodyDiv w:val="1"/>
      <w:marLeft w:val="0"/>
      <w:marRight w:val="0"/>
      <w:marTop w:val="0"/>
      <w:marBottom w:val="0"/>
      <w:divBdr>
        <w:top w:val="none" w:sz="0" w:space="0" w:color="auto"/>
        <w:left w:val="none" w:sz="0" w:space="0" w:color="auto"/>
        <w:bottom w:val="none" w:sz="0" w:space="0" w:color="auto"/>
        <w:right w:val="none" w:sz="0" w:space="0" w:color="auto"/>
      </w:divBdr>
    </w:div>
    <w:div w:id="1002701781">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53499943">
      <w:bodyDiv w:val="1"/>
      <w:marLeft w:val="0"/>
      <w:marRight w:val="0"/>
      <w:marTop w:val="0"/>
      <w:marBottom w:val="0"/>
      <w:divBdr>
        <w:top w:val="none" w:sz="0" w:space="0" w:color="auto"/>
        <w:left w:val="none" w:sz="0" w:space="0" w:color="auto"/>
        <w:bottom w:val="none" w:sz="0" w:space="0" w:color="auto"/>
        <w:right w:val="none" w:sz="0" w:space="0" w:color="auto"/>
      </w:divBdr>
    </w:div>
    <w:div w:id="11433479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6599982">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80477038">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6846938">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3253391">
      <w:bodyDiv w:val="1"/>
      <w:marLeft w:val="0"/>
      <w:marRight w:val="0"/>
      <w:marTop w:val="0"/>
      <w:marBottom w:val="0"/>
      <w:divBdr>
        <w:top w:val="none" w:sz="0" w:space="0" w:color="auto"/>
        <w:left w:val="none" w:sz="0" w:space="0" w:color="auto"/>
        <w:bottom w:val="none" w:sz="0" w:space="0" w:color="auto"/>
        <w:right w:val="none" w:sz="0" w:space="0" w:color="auto"/>
      </w:divBdr>
    </w:div>
    <w:div w:id="1502088371">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2930238">
      <w:bodyDiv w:val="1"/>
      <w:marLeft w:val="0"/>
      <w:marRight w:val="0"/>
      <w:marTop w:val="0"/>
      <w:marBottom w:val="0"/>
      <w:divBdr>
        <w:top w:val="none" w:sz="0" w:space="0" w:color="auto"/>
        <w:left w:val="none" w:sz="0" w:space="0" w:color="auto"/>
        <w:bottom w:val="none" w:sz="0" w:space="0" w:color="auto"/>
        <w:right w:val="none" w:sz="0" w:space="0" w:color="auto"/>
      </w:divBdr>
    </w:div>
    <w:div w:id="163914727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0687154">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3014728">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3308407">
      <w:bodyDiv w:val="1"/>
      <w:marLeft w:val="0"/>
      <w:marRight w:val="0"/>
      <w:marTop w:val="0"/>
      <w:marBottom w:val="0"/>
      <w:divBdr>
        <w:top w:val="none" w:sz="0" w:space="0" w:color="auto"/>
        <w:left w:val="none" w:sz="0" w:space="0" w:color="auto"/>
        <w:bottom w:val="none" w:sz="0" w:space="0" w:color="auto"/>
        <w:right w:val="none" w:sz="0" w:space="0" w:color="auto"/>
      </w:divBdr>
    </w:div>
    <w:div w:id="197849280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7877787">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4325960">
      <w:bodyDiv w:val="1"/>
      <w:marLeft w:val="0"/>
      <w:marRight w:val="0"/>
      <w:marTop w:val="0"/>
      <w:marBottom w:val="0"/>
      <w:divBdr>
        <w:top w:val="none" w:sz="0" w:space="0" w:color="auto"/>
        <w:left w:val="none" w:sz="0" w:space="0" w:color="auto"/>
        <w:bottom w:val="none" w:sz="0" w:space="0" w:color="auto"/>
        <w:right w:val="none" w:sz="0" w:space="0" w:color="auto"/>
      </w:divBdr>
    </w:div>
    <w:div w:id="212337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verizon.com/business/resources/reports/dbir/"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nvd.nist.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nowflake.com"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eur-lex.europa.eu/eli/reg/2016/679/oj"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2.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44</TotalTime>
  <Pages>7</Pages>
  <Words>1547</Words>
  <Characters>8823</Characters>
  <Application>Microsoft Office Word</Application>
  <DocSecurity>0</DocSecurity>
  <Lines>73</Lines>
  <Paragraphs>20</Paragraphs>
  <ScaleCrop>false</ScaleCrop>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Bish, Gavin</cp:lastModifiedBy>
  <cp:revision>23</cp:revision>
  <dcterms:created xsi:type="dcterms:W3CDTF">2025-03-13T21:26:00Z</dcterms:created>
  <dcterms:modified xsi:type="dcterms:W3CDTF">2026-03-24T13:41:00Z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