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A2CA0">
      <w:pPr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脂肪肝患者结构化电子病历</w:t>
      </w:r>
    </w:p>
    <w:p w14:paraId="4F5AC787">
      <w:pPr>
        <w:jc w:val="both"/>
      </w:pPr>
      <w:r>
        <w:rPr>
          <w:rFonts w:hint="eastAsia"/>
          <w:sz w:val="32"/>
          <w:szCs w:val="40"/>
          <w:lang w:val="en-US" w:eastAsia="zh-CN"/>
        </w:rPr>
        <w:t>一、患者基本信息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5721"/>
      </w:tblGrid>
      <w:tr w14:paraId="453C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78071300">
            <w:r>
              <w:rPr>
                <w:rFonts w:hint="eastAsia"/>
              </w:rPr>
              <w:t>姓名</w:t>
            </w:r>
          </w:p>
        </w:tc>
        <w:tc>
          <w:tcPr>
            <w:tcW w:w="5721" w:type="dxa"/>
          </w:tcPr>
          <w:p w14:paraId="304C6EAF"/>
        </w:tc>
      </w:tr>
      <w:tr w14:paraId="2BEA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648F8264">
            <w:r>
              <w:rPr>
                <w:rFonts w:hint="eastAsia"/>
              </w:rPr>
              <w:t>性别</w:t>
            </w:r>
          </w:p>
        </w:tc>
        <w:tc>
          <w:tcPr>
            <w:tcW w:w="5721" w:type="dxa"/>
          </w:tcPr>
          <w:p w14:paraId="2DB09041">
            <w:r>
              <w:rPr>
                <w:rFonts w:hint="eastAsia"/>
              </w:rPr>
              <w:t>男/女</w:t>
            </w:r>
          </w:p>
        </w:tc>
      </w:tr>
      <w:tr w14:paraId="7EC0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5606A6FF">
            <w:r>
              <w:rPr>
                <w:rFonts w:hint="eastAsia"/>
              </w:rPr>
              <w:t>出生日期</w:t>
            </w:r>
          </w:p>
        </w:tc>
        <w:tc>
          <w:tcPr>
            <w:tcW w:w="5721" w:type="dxa"/>
          </w:tcPr>
          <w:p w14:paraId="7347AEE2"/>
        </w:tc>
      </w:tr>
      <w:tr w14:paraId="5FCE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50A18A30">
            <w:r>
              <w:rPr>
                <w:rFonts w:hint="eastAsia"/>
              </w:rPr>
              <w:t>身份证号</w:t>
            </w:r>
          </w:p>
        </w:tc>
        <w:tc>
          <w:tcPr>
            <w:tcW w:w="5721" w:type="dxa"/>
          </w:tcPr>
          <w:p w14:paraId="65BAFA02"/>
        </w:tc>
      </w:tr>
      <w:tr w14:paraId="2564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5E27F7D7">
            <w:r>
              <w:rPr>
                <w:rFonts w:hint="eastAsia"/>
              </w:rPr>
              <w:t>联系电话</w:t>
            </w:r>
          </w:p>
        </w:tc>
        <w:tc>
          <w:tcPr>
            <w:tcW w:w="5721" w:type="dxa"/>
          </w:tcPr>
          <w:p w14:paraId="030FEEAA"/>
        </w:tc>
      </w:tr>
      <w:tr w14:paraId="7F6B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21CFDBB7">
            <w:r>
              <w:rPr>
                <w:rFonts w:hint="eastAsia"/>
              </w:rPr>
              <w:t>门诊号/住院号</w:t>
            </w:r>
          </w:p>
        </w:tc>
        <w:tc>
          <w:tcPr>
            <w:tcW w:w="5721" w:type="dxa"/>
          </w:tcPr>
          <w:p w14:paraId="6325F803"/>
        </w:tc>
      </w:tr>
      <w:tr w14:paraId="6682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34A6752F">
            <w:r>
              <w:rPr>
                <w:rFonts w:hint="eastAsia"/>
              </w:rPr>
              <w:t>就诊日期</w:t>
            </w:r>
          </w:p>
        </w:tc>
        <w:tc>
          <w:tcPr>
            <w:tcW w:w="5721" w:type="dxa"/>
          </w:tcPr>
          <w:p w14:paraId="1C7F0240"/>
        </w:tc>
      </w:tr>
      <w:tr w14:paraId="4620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739" w:type="dxa"/>
          </w:tcPr>
          <w:p w14:paraId="2E17201F">
            <w:r>
              <w:rPr>
                <w:rFonts w:hint="eastAsia"/>
              </w:rPr>
              <w:t>就诊科室</w:t>
            </w:r>
          </w:p>
        </w:tc>
        <w:tc>
          <w:tcPr>
            <w:tcW w:w="5721" w:type="dxa"/>
          </w:tcPr>
          <w:p w14:paraId="7C945D0F"/>
        </w:tc>
      </w:tr>
      <w:tr w14:paraId="0ED7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39" w:type="dxa"/>
          </w:tcPr>
          <w:p w14:paraId="1C550B11">
            <w:r>
              <w:rPr>
                <w:rFonts w:hint="eastAsia"/>
              </w:rPr>
              <w:t>医保类型</w:t>
            </w:r>
          </w:p>
        </w:tc>
        <w:tc>
          <w:tcPr>
            <w:tcW w:w="5721" w:type="dxa"/>
          </w:tcPr>
          <w:p w14:paraId="23DB41C6">
            <w:r>
              <w:rPr>
                <w:rFonts w:hint="eastAsia"/>
              </w:rPr>
              <w:t>职工医保/居民医保/自费/其他</w:t>
            </w:r>
          </w:p>
        </w:tc>
      </w:tr>
    </w:tbl>
    <w:p w14:paraId="77BBD443">
      <w:pPr>
        <w:rPr>
          <w:rFonts w:hint="eastAsia"/>
        </w:rPr>
      </w:pPr>
    </w:p>
    <w:p w14:paraId="47D6373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二、筛查与风险评估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5725"/>
      </w:tblGrid>
      <w:tr w14:paraId="7DE1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754" w:type="dxa"/>
          </w:tcPr>
          <w:p w14:paraId="7AC38815">
            <w:r>
              <w:rPr>
                <w:rFonts w:hint="default"/>
                <w:sz w:val="24"/>
                <w:szCs w:val="32"/>
                <w:lang w:val="en-US" w:eastAsia="zh-CN"/>
              </w:rPr>
              <w:t>身高(cm)</w:t>
            </w:r>
          </w:p>
        </w:tc>
        <w:tc>
          <w:tcPr>
            <w:tcW w:w="5725" w:type="dxa"/>
          </w:tcPr>
          <w:p w14:paraId="4E648C70"/>
        </w:tc>
      </w:tr>
      <w:tr w14:paraId="06B5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76E2869C">
            <w:r>
              <w:rPr>
                <w:rFonts w:hint="default"/>
                <w:sz w:val="24"/>
                <w:szCs w:val="32"/>
                <w:lang w:val="en-US" w:eastAsia="zh-CN"/>
              </w:rPr>
              <w:t>体重(kg)</w:t>
            </w:r>
          </w:p>
        </w:tc>
        <w:tc>
          <w:tcPr>
            <w:tcW w:w="5725" w:type="dxa"/>
          </w:tcPr>
          <w:p w14:paraId="711E8DDA"/>
        </w:tc>
      </w:tr>
      <w:tr w14:paraId="4C51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4EA66B7D">
            <w:r>
              <w:rPr>
                <w:rFonts w:hint="default"/>
                <w:sz w:val="24"/>
                <w:szCs w:val="32"/>
                <w:lang w:val="en-US" w:eastAsia="zh-CN"/>
              </w:rPr>
              <w:t>BMI(kg/m²)</w:t>
            </w:r>
          </w:p>
        </w:tc>
        <w:tc>
          <w:tcPr>
            <w:tcW w:w="5725" w:type="dxa"/>
          </w:tcPr>
          <w:p w14:paraId="2FB88934"/>
        </w:tc>
      </w:tr>
      <w:tr w14:paraId="15EC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6ADAA77D">
            <w:r>
              <w:rPr>
                <w:rFonts w:hint="default"/>
                <w:sz w:val="24"/>
                <w:szCs w:val="32"/>
                <w:lang w:val="en-US" w:eastAsia="zh-CN"/>
              </w:rPr>
              <w:t>腰围(cm)</w:t>
            </w:r>
          </w:p>
        </w:tc>
        <w:tc>
          <w:tcPr>
            <w:tcW w:w="5725" w:type="dxa"/>
          </w:tcPr>
          <w:p w14:paraId="1860230C"/>
        </w:tc>
      </w:tr>
      <w:tr w14:paraId="528B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491B5406">
            <w:r>
              <w:rPr>
                <w:rFonts w:hint="default"/>
                <w:sz w:val="24"/>
                <w:szCs w:val="32"/>
                <w:lang w:val="en-US" w:eastAsia="zh-CN"/>
              </w:rPr>
              <w:t>收缩压/舒张压(mmHg)</w:t>
            </w:r>
          </w:p>
        </w:tc>
        <w:tc>
          <w:tcPr>
            <w:tcW w:w="5725" w:type="dxa"/>
          </w:tcPr>
          <w:p w14:paraId="5B72A1D0"/>
        </w:tc>
      </w:tr>
      <w:tr w14:paraId="5B55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4F310489">
            <w:r>
              <w:rPr>
                <w:rFonts w:hint="default"/>
                <w:sz w:val="24"/>
                <w:szCs w:val="32"/>
                <w:lang w:val="en-US" w:eastAsia="zh-CN"/>
              </w:rPr>
              <w:t>吸烟史</w:t>
            </w:r>
          </w:p>
        </w:tc>
        <w:tc>
          <w:tcPr>
            <w:tcW w:w="5725" w:type="dxa"/>
          </w:tcPr>
          <w:p w14:paraId="6143AFA1">
            <w:r>
              <w:rPr>
                <w:rFonts w:hint="default"/>
                <w:sz w:val="24"/>
                <w:szCs w:val="32"/>
                <w:lang w:val="en-US" w:eastAsia="zh-CN"/>
              </w:rPr>
              <w:t>从不/已戒烟/吸烟中</w:t>
            </w:r>
          </w:p>
        </w:tc>
      </w:tr>
      <w:tr w14:paraId="14EA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3B7E502E">
            <w:r>
              <w:rPr>
                <w:rFonts w:hint="default"/>
                <w:sz w:val="24"/>
                <w:szCs w:val="32"/>
                <w:lang w:val="en-US" w:eastAsia="zh-CN"/>
              </w:rPr>
              <w:t>饮酒史</w:t>
            </w:r>
          </w:p>
        </w:tc>
        <w:tc>
          <w:tcPr>
            <w:tcW w:w="5725" w:type="dxa"/>
          </w:tcPr>
          <w:p w14:paraId="316753D3">
            <w:r>
              <w:rPr>
                <w:rFonts w:hint="default"/>
                <w:sz w:val="24"/>
                <w:szCs w:val="32"/>
                <w:lang w:val="en-US" w:eastAsia="zh-CN"/>
              </w:rPr>
              <w:t>从不/偶尔/经常/每日</w:t>
            </w:r>
          </w:p>
        </w:tc>
      </w:tr>
      <w:tr w14:paraId="62EA6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754" w:type="dxa"/>
          </w:tcPr>
          <w:p w14:paraId="0B4DE004">
            <w:r>
              <w:rPr>
                <w:rFonts w:hint="default"/>
                <w:sz w:val="24"/>
                <w:szCs w:val="32"/>
                <w:lang w:val="en-US" w:eastAsia="zh-CN"/>
              </w:rPr>
              <w:t>饮酒量(g/周)</w:t>
            </w:r>
          </w:p>
        </w:tc>
        <w:tc>
          <w:tcPr>
            <w:tcW w:w="5725" w:type="dxa"/>
          </w:tcPr>
          <w:p w14:paraId="38369A6C"/>
        </w:tc>
      </w:tr>
      <w:tr w14:paraId="3E88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754" w:type="dxa"/>
          </w:tcPr>
          <w:p w14:paraId="7852CCCB">
            <w:r>
              <w:rPr>
                <w:rFonts w:hint="default"/>
                <w:sz w:val="24"/>
                <w:szCs w:val="32"/>
                <w:lang w:val="en-US" w:eastAsia="zh-CN"/>
              </w:rPr>
              <w:t>饮食习惯</w:t>
            </w:r>
          </w:p>
        </w:tc>
        <w:tc>
          <w:tcPr>
            <w:tcW w:w="5725" w:type="dxa"/>
          </w:tcPr>
          <w:p w14:paraId="0E057714">
            <w:r>
              <w:rPr>
                <w:rFonts w:hint="default"/>
                <w:sz w:val="24"/>
                <w:szCs w:val="32"/>
                <w:lang w:val="en-US" w:eastAsia="zh-CN"/>
              </w:rPr>
              <w:t>高脂/高糖/高碳水/均衡/其他</w:t>
            </w:r>
          </w:p>
        </w:tc>
      </w:tr>
      <w:tr w14:paraId="4A09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2754" w:type="dxa"/>
          </w:tcPr>
          <w:p w14:paraId="0F0F3CCA">
            <w:r>
              <w:rPr>
                <w:rFonts w:hint="default"/>
                <w:sz w:val="24"/>
                <w:szCs w:val="32"/>
                <w:lang w:val="en-US" w:eastAsia="zh-CN"/>
              </w:rPr>
              <w:t>体力活动情况</w:t>
            </w:r>
          </w:p>
        </w:tc>
        <w:tc>
          <w:tcPr>
            <w:tcW w:w="5725" w:type="dxa"/>
          </w:tcPr>
          <w:p w14:paraId="6CF6EB4E">
            <w:r>
              <w:rPr>
                <w:rFonts w:hint="default"/>
                <w:sz w:val="24"/>
                <w:szCs w:val="32"/>
                <w:lang w:val="en-US" w:eastAsia="zh-CN"/>
              </w:rPr>
              <w:t>久坐/轻度/中度/重度</w:t>
            </w:r>
          </w:p>
        </w:tc>
      </w:tr>
    </w:tbl>
    <w:p w14:paraId="3AFB2C0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三、主诉与现病史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DCE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36A9B7">
            <w:pPr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主诉</w:t>
            </w:r>
          </w:p>
        </w:tc>
        <w:tc>
          <w:tcPr>
            <w:tcW w:w="4261" w:type="dxa"/>
          </w:tcPr>
          <w:p w14:paraId="5E7D2F71">
            <w:pPr>
              <w:rPr>
                <w:rFonts w:hint="default"/>
                <w:sz w:val="28"/>
                <w:szCs w:val="36"/>
                <w:lang w:val="en-US" w:eastAsia="zh-CN"/>
              </w:rPr>
            </w:pPr>
          </w:p>
        </w:tc>
      </w:tr>
      <w:tr w14:paraId="1C44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82F5C5">
            <w:pPr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现病史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起病时间、诱因、主要症状、诊疗经过）</w:t>
            </w:r>
          </w:p>
        </w:tc>
        <w:tc>
          <w:tcPr>
            <w:tcW w:w="4261" w:type="dxa"/>
          </w:tcPr>
          <w:p w14:paraId="187BCF04"/>
        </w:tc>
      </w:tr>
      <w:tr w14:paraId="75ED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F22882">
            <w:pPr>
              <w:rPr>
                <w:rFonts w:hint="default"/>
                <w:sz w:val="28"/>
                <w:szCs w:val="36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无症状/体检发现 </w:t>
            </w:r>
          </w:p>
        </w:tc>
        <w:tc>
          <w:tcPr>
            <w:tcW w:w="4261" w:type="dxa"/>
          </w:tcPr>
          <w:p w14:paraId="303AC63B"/>
        </w:tc>
      </w:tr>
    </w:tbl>
    <w:p w14:paraId="063D999C">
      <w:pPr>
        <w:rPr>
          <w:rFonts w:hint="default"/>
          <w:sz w:val="28"/>
          <w:szCs w:val="36"/>
          <w:lang w:val="en-US" w:eastAsia="zh-CN"/>
        </w:rPr>
      </w:pPr>
    </w:p>
    <w:p w14:paraId="79A70AF4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四、既往史与合并症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9"/>
        <w:gridCol w:w="4250"/>
      </w:tblGrid>
      <w:tr w14:paraId="1983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504F8923">
            <w:r>
              <w:rPr>
                <w:rFonts w:hint="default"/>
                <w:sz w:val="24"/>
                <w:szCs w:val="32"/>
                <w:lang w:val="en-US" w:eastAsia="zh-CN"/>
              </w:rPr>
              <w:t>2型糖尿病</w:t>
            </w:r>
          </w:p>
        </w:tc>
        <w:tc>
          <w:tcPr>
            <w:tcW w:w="4250" w:type="dxa"/>
          </w:tcPr>
          <w:p w14:paraId="0D831CAB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6E6E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05EC2BF7">
            <w:r>
              <w:rPr>
                <w:rFonts w:hint="default"/>
                <w:sz w:val="24"/>
                <w:szCs w:val="32"/>
                <w:lang w:val="en-US" w:eastAsia="zh-CN"/>
              </w:rPr>
              <w:t>高血压</w:t>
            </w:r>
          </w:p>
        </w:tc>
        <w:tc>
          <w:tcPr>
            <w:tcW w:w="4250" w:type="dxa"/>
          </w:tcPr>
          <w:p w14:paraId="6F86FEDF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4046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6741E029">
            <w:r>
              <w:rPr>
                <w:rFonts w:hint="default"/>
                <w:sz w:val="24"/>
                <w:szCs w:val="32"/>
                <w:lang w:val="en-US" w:eastAsia="zh-CN"/>
              </w:rPr>
              <w:t>血脂异常</w:t>
            </w:r>
          </w:p>
        </w:tc>
        <w:tc>
          <w:tcPr>
            <w:tcW w:w="4250" w:type="dxa"/>
          </w:tcPr>
          <w:p w14:paraId="05D108E1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4D9D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731D1E25">
            <w:r>
              <w:rPr>
                <w:rFonts w:hint="default"/>
                <w:sz w:val="24"/>
                <w:szCs w:val="32"/>
                <w:lang w:val="en-US" w:eastAsia="zh-CN"/>
              </w:rPr>
              <w:t>高尿酸血症</w:t>
            </w:r>
          </w:p>
        </w:tc>
        <w:tc>
          <w:tcPr>
            <w:tcW w:w="4250" w:type="dxa"/>
          </w:tcPr>
          <w:p w14:paraId="22B32559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7786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3437B129">
            <w:r>
              <w:rPr>
                <w:rFonts w:hint="default"/>
                <w:sz w:val="24"/>
                <w:szCs w:val="32"/>
                <w:lang w:val="en-US" w:eastAsia="zh-CN"/>
              </w:rPr>
              <w:t>代谢综合征</w:t>
            </w:r>
          </w:p>
        </w:tc>
        <w:tc>
          <w:tcPr>
            <w:tcW w:w="4250" w:type="dxa"/>
          </w:tcPr>
          <w:p w14:paraId="1A3A641B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2619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631E66EE">
            <w:r>
              <w:rPr>
                <w:rFonts w:hint="default"/>
                <w:sz w:val="24"/>
                <w:szCs w:val="32"/>
                <w:lang w:val="en-US" w:eastAsia="zh-CN"/>
              </w:rPr>
              <w:t>心血管疾病</w:t>
            </w:r>
          </w:p>
        </w:tc>
        <w:tc>
          <w:tcPr>
            <w:tcW w:w="4250" w:type="dxa"/>
          </w:tcPr>
          <w:p w14:paraId="701F5BD2">
            <w:r>
              <w:rPr>
                <w:rFonts w:hint="default"/>
                <w:sz w:val="24"/>
                <w:szCs w:val="32"/>
                <w:lang w:val="en-US" w:eastAsia="zh-CN"/>
              </w:rPr>
              <w:t>是/否</w:t>
            </w:r>
          </w:p>
        </w:tc>
      </w:tr>
      <w:tr w14:paraId="1FF7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49" w:type="dxa"/>
          </w:tcPr>
          <w:p w14:paraId="20F6BA93">
            <w:r>
              <w:rPr>
                <w:rFonts w:hint="default"/>
                <w:sz w:val="24"/>
                <w:szCs w:val="32"/>
                <w:lang w:val="en-US" w:eastAsia="zh-CN"/>
              </w:rPr>
              <w:t>其他慢性病</w:t>
            </w:r>
          </w:p>
        </w:tc>
        <w:tc>
          <w:tcPr>
            <w:tcW w:w="4250" w:type="dxa"/>
          </w:tcPr>
          <w:p w14:paraId="19741321"/>
        </w:tc>
      </w:tr>
      <w:tr w14:paraId="0C1F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4249" w:type="dxa"/>
          </w:tcPr>
          <w:p w14:paraId="2C01EDFE">
            <w:r>
              <w:rPr>
                <w:rFonts w:hint="default"/>
                <w:sz w:val="24"/>
                <w:szCs w:val="32"/>
                <w:lang w:val="en-US" w:eastAsia="zh-CN"/>
              </w:rPr>
              <w:t>用药史</w:t>
            </w:r>
          </w:p>
        </w:tc>
        <w:tc>
          <w:tcPr>
            <w:tcW w:w="4250" w:type="dxa"/>
          </w:tcPr>
          <w:p w14:paraId="697C0A4A">
            <w:r>
              <w:rPr>
                <w:rFonts w:hint="default"/>
                <w:sz w:val="24"/>
                <w:szCs w:val="32"/>
                <w:lang w:val="en-US" w:eastAsia="zh-CN"/>
              </w:rPr>
              <w:t>降糖/降压/降脂等</w:t>
            </w:r>
          </w:p>
        </w:tc>
      </w:tr>
    </w:tbl>
    <w:p w14:paraId="73331CE4">
      <w:pPr>
        <w:rPr>
          <w:rFonts w:hint="default"/>
          <w:sz w:val="24"/>
          <w:szCs w:val="32"/>
          <w:lang w:val="en-US" w:eastAsia="zh-CN"/>
        </w:rPr>
      </w:pPr>
    </w:p>
    <w:p w14:paraId="3887177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五、体格检查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BC3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4261" w:type="dxa"/>
          </w:tcPr>
          <w:p w14:paraId="23817F9E">
            <w:pPr>
              <w:rPr>
                <w:rFonts w:hint="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皮肤表现 （蜘蛛痣、肝掌等）</w:t>
            </w:r>
          </w:p>
        </w:tc>
        <w:tc>
          <w:tcPr>
            <w:tcW w:w="4261" w:type="dxa"/>
          </w:tcPr>
          <w:p w14:paraId="41E50591">
            <w:pPr>
              <w:rPr>
                <w:rFonts w:hint="eastAsia"/>
                <w:sz w:val="28"/>
                <w:szCs w:val="36"/>
                <w:lang w:val="en-US" w:eastAsia="zh-CN"/>
              </w:rPr>
            </w:pPr>
          </w:p>
        </w:tc>
      </w:tr>
      <w:tr w14:paraId="49A6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4261" w:type="dxa"/>
          </w:tcPr>
          <w:p w14:paraId="3FA9B422">
            <w:pPr>
              <w:rPr>
                <w:rFonts w:hint="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 xml:space="preserve">腹部查体 </w:t>
            </w:r>
            <w:bookmarkStart w:id="0" w:name="_GoBack"/>
            <w:bookmarkEnd w:id="0"/>
            <w:r>
              <w:rPr>
                <w:rFonts w:hint="eastAsia"/>
                <w:sz w:val="28"/>
                <w:szCs w:val="36"/>
                <w:lang w:val="en-US" w:eastAsia="zh-CN"/>
              </w:rPr>
              <w:t>（肝脾触诊等）</w:t>
            </w:r>
          </w:p>
        </w:tc>
        <w:tc>
          <w:tcPr>
            <w:tcW w:w="4261" w:type="dxa"/>
          </w:tcPr>
          <w:p w14:paraId="76BE9C80">
            <w:pPr>
              <w:rPr>
                <w:rFonts w:hint="eastAsia"/>
                <w:sz w:val="28"/>
                <w:szCs w:val="36"/>
                <w:lang w:val="en-US" w:eastAsia="zh-CN"/>
              </w:rPr>
            </w:pPr>
          </w:p>
        </w:tc>
      </w:tr>
    </w:tbl>
    <w:p w14:paraId="1CA60FD3">
      <w:pPr>
        <w:rPr>
          <w:rFonts w:hint="eastAsia"/>
          <w:sz w:val="28"/>
          <w:szCs w:val="36"/>
          <w:lang w:val="en-US" w:eastAsia="zh-CN"/>
        </w:rPr>
      </w:pPr>
    </w:p>
    <w:p w14:paraId="639EA48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六、辅助检查</w:t>
      </w:r>
    </w:p>
    <w:tbl>
      <w:tblPr>
        <w:tblStyle w:val="3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2873"/>
        <w:gridCol w:w="2873"/>
      </w:tblGrid>
      <w:tr w14:paraId="5ABC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123BB840">
            <w:pPr>
              <w:rPr>
                <w:rFonts w:hint="eastAsia" w:eastAsiaTheme="minor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项目</w:t>
            </w:r>
          </w:p>
        </w:tc>
        <w:tc>
          <w:tcPr>
            <w:tcW w:w="2873" w:type="dxa"/>
          </w:tcPr>
          <w:p w14:paraId="0380F8F9">
            <w:pPr>
              <w:rPr>
                <w:rFonts w:hint="eastAsia" w:eastAsiaTheme="minor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结果</w:t>
            </w:r>
          </w:p>
        </w:tc>
        <w:tc>
          <w:tcPr>
            <w:tcW w:w="2873" w:type="dxa"/>
          </w:tcPr>
          <w:p w14:paraId="754EAE04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参考范围</w:t>
            </w:r>
          </w:p>
        </w:tc>
      </w:tr>
      <w:tr w14:paraId="0F3B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1F1B9C18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ALT(U/L)</w:t>
            </w:r>
          </w:p>
        </w:tc>
        <w:tc>
          <w:tcPr>
            <w:tcW w:w="2873" w:type="dxa"/>
          </w:tcPr>
          <w:p w14:paraId="18411F7E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18A964A6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6D3C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4C92AEE5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AST(U/L)</w:t>
            </w:r>
          </w:p>
        </w:tc>
        <w:tc>
          <w:tcPr>
            <w:tcW w:w="2873" w:type="dxa"/>
          </w:tcPr>
          <w:p w14:paraId="564743BB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2481C48C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4888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72D7EB60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GGT(U/L)</w:t>
            </w:r>
          </w:p>
        </w:tc>
        <w:tc>
          <w:tcPr>
            <w:tcW w:w="2873" w:type="dxa"/>
          </w:tcPr>
          <w:p w14:paraId="105599A8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776FAD11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439A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40B31A74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ALP(U/L)</w:t>
            </w:r>
          </w:p>
        </w:tc>
        <w:tc>
          <w:tcPr>
            <w:tcW w:w="2873" w:type="dxa"/>
          </w:tcPr>
          <w:p w14:paraId="07D1FDEF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4B3FC0CC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2CA4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59833E87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总胆红素(μmol/L)</w:t>
            </w:r>
          </w:p>
        </w:tc>
        <w:tc>
          <w:tcPr>
            <w:tcW w:w="2873" w:type="dxa"/>
          </w:tcPr>
          <w:p w14:paraId="5B76724F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65A94E6B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038D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7B646E37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空腹血糖(mmol/L)</w:t>
            </w:r>
          </w:p>
        </w:tc>
        <w:tc>
          <w:tcPr>
            <w:tcW w:w="2873" w:type="dxa"/>
          </w:tcPr>
          <w:p w14:paraId="5205055D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4A6F7165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6B90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1C8F974C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糖化血红蛋白(%)</w:t>
            </w:r>
          </w:p>
        </w:tc>
        <w:tc>
          <w:tcPr>
            <w:tcW w:w="2873" w:type="dxa"/>
          </w:tcPr>
          <w:p w14:paraId="3BF304F0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19163F13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6829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3FD5ABCE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甘油三酯(mmol/L)</w:t>
            </w:r>
          </w:p>
        </w:tc>
        <w:tc>
          <w:tcPr>
            <w:tcW w:w="2873" w:type="dxa"/>
          </w:tcPr>
          <w:p w14:paraId="6A6BE87E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41CAE8E3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1B4A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3673C183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总胆固醇(mmol/L)</w:t>
            </w:r>
          </w:p>
        </w:tc>
        <w:tc>
          <w:tcPr>
            <w:tcW w:w="2873" w:type="dxa"/>
          </w:tcPr>
          <w:p w14:paraId="66542547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00D3C316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0FD7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4859E64C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LDL-C(mmol/L)</w:t>
            </w:r>
          </w:p>
        </w:tc>
        <w:tc>
          <w:tcPr>
            <w:tcW w:w="2873" w:type="dxa"/>
          </w:tcPr>
          <w:p w14:paraId="346EED8C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579D06F5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28C5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41E106E8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HDL-C(mmol/L)</w:t>
            </w:r>
          </w:p>
        </w:tc>
        <w:tc>
          <w:tcPr>
            <w:tcW w:w="2873" w:type="dxa"/>
          </w:tcPr>
          <w:p w14:paraId="4E54BCB6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4747C35D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4AB5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5A3B503D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尿酸(μmol/L)</w:t>
            </w:r>
          </w:p>
        </w:tc>
        <w:tc>
          <w:tcPr>
            <w:tcW w:w="2873" w:type="dxa"/>
          </w:tcPr>
          <w:p w14:paraId="0AB695DC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6CD8407E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0D95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72" w:type="dxa"/>
          </w:tcPr>
          <w:p w14:paraId="10609ADA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血小板(×10⁹/L)</w:t>
            </w:r>
          </w:p>
        </w:tc>
        <w:tc>
          <w:tcPr>
            <w:tcW w:w="2873" w:type="dxa"/>
          </w:tcPr>
          <w:p w14:paraId="43C14C5D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20472DC0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  <w:tr w14:paraId="26E7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2" w:type="dxa"/>
          </w:tcPr>
          <w:p w14:paraId="4BBC2E0B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白蛋白(g/L)</w:t>
            </w:r>
          </w:p>
        </w:tc>
        <w:tc>
          <w:tcPr>
            <w:tcW w:w="2873" w:type="dxa"/>
          </w:tcPr>
          <w:p w14:paraId="052A3468">
            <w:pPr>
              <w:rPr>
                <w:sz w:val="20"/>
                <w:szCs w:val="22"/>
              </w:rPr>
            </w:pPr>
          </w:p>
        </w:tc>
        <w:tc>
          <w:tcPr>
            <w:tcW w:w="2873" w:type="dxa"/>
          </w:tcPr>
          <w:p w14:paraId="0529D804">
            <w:pPr>
              <w:rPr>
                <w:sz w:val="20"/>
                <w:szCs w:val="2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—</w:t>
            </w:r>
          </w:p>
        </w:tc>
      </w:tr>
    </w:tbl>
    <w:p w14:paraId="75CB5DD9">
      <w:pPr>
        <w:rPr>
          <w:rFonts w:hint="default"/>
          <w:sz w:val="28"/>
          <w:szCs w:val="36"/>
          <w:lang w:val="en-US" w:eastAsia="zh-CN"/>
        </w:rPr>
      </w:pPr>
    </w:p>
    <w:p w14:paraId="44F668D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color w:val="0000FF"/>
          <w:sz w:val="28"/>
          <w:szCs w:val="36"/>
          <w:lang w:val="en-US" w:eastAsia="zh-CN"/>
        </w:rPr>
        <w:t>依托医院现有平台构建脂肪肝信息化专病管理平台实施方案</w:t>
      </w:r>
    </w:p>
    <w:p w14:paraId="6928553C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背景：不新建独立系统，复用医院HIS、EMR、LIS、门诊/住院护士站、随访系统、移动医护端等现有平台，通过配置、字段改造、流程打通、报表开发实现脂肪肝专病闭环管理，适配QCC质量改进项目落地，覆盖院前筛查‑院中建档‑院内干预‑院后随访全流程。</w:t>
      </w:r>
    </w:p>
    <w:p w14:paraId="250A9119">
      <w:pPr>
        <w:rPr>
          <w:rFonts w:hint="default"/>
          <w:sz w:val="28"/>
          <w:szCs w:val="36"/>
          <w:lang w:val="en-US" w:eastAsia="zh-CN"/>
        </w:rPr>
      </w:pPr>
    </w:p>
    <w:p w14:paraId="4DBA84E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一、总体建设思路</w:t>
      </w:r>
    </w:p>
    <w:p w14:paraId="637E348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核心原则：利旧为主、最小开发、业务驱动、数据同源，不采购全新软件，在现有信息系统基础上做专病模块配置，实现：</w:t>
      </w:r>
    </w:p>
    <w:p w14:paraId="75ED7FF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自动识别脂肪肝高危/确诊患者；</w:t>
      </w:r>
    </w:p>
    <w:p w14:paraId="7938629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标准化专病电子建档；</w:t>
      </w:r>
    </w:p>
    <w:p w14:paraId="689C3B2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院内多学科干预提醒；</w:t>
      </w:r>
    </w:p>
    <w:p w14:paraId="0835D1E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自动化随访与健康宣教；</w:t>
      </w:r>
    </w:p>
    <w:p w14:paraId="05C14D7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5. 质量指标自动统计，支撑QCC质量持续改进。</w:t>
      </w:r>
    </w:p>
    <w:p w14:paraId="7BE9A30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涉及现有平台：HIS、电子病历EMR、检验LIS、超声PACS、医院随访系统、移动医护APP、护理文书系统、数据报表平台。</w:t>
      </w:r>
    </w:p>
    <w:p w14:paraId="315676DF">
      <w:pPr>
        <w:rPr>
          <w:rFonts w:hint="default"/>
          <w:sz w:val="28"/>
          <w:szCs w:val="36"/>
          <w:lang w:val="en-US" w:eastAsia="zh-CN"/>
        </w:rPr>
      </w:pPr>
    </w:p>
    <w:p w14:paraId="1BCAB9B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二、平台核心功能模块（基于现有系统改造配置）</w:t>
      </w:r>
    </w:p>
    <w:p w14:paraId="24C85B26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模块1：院前&amp;门诊自动筛查识别（入口）</w:t>
      </w:r>
    </w:p>
    <w:p w14:paraId="4AEDF3F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PACS超声触发：在现有PACS系统配置关键词规则，报告出现「脂肪肝、肝脏脂肪变性、MASLD」，自动打专病标签，回传给EMR。</w:t>
      </w:r>
    </w:p>
    <w:p w14:paraId="359329C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检验指标筛查：LIS系统抓取ALT、AST、GGT、甘油三酯、BMI等指标，设置阈值，对高危人群（代谢异常、肥胖、病毒性肝炎合并肝脂肪变）做风险预警弹窗。</w:t>
      </w:r>
    </w:p>
    <w:p w14:paraId="14203D5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门诊医生端弹窗：门诊HIS/EMR，当患者满足超声或检验高危条件，弹出提示：疑似/确诊脂肪肝，建议纳入专病管理，医生一键选择“纳入管理/暂不纳入”并记录理由。</w:t>
      </w:r>
    </w:p>
    <w:p w14:paraId="7D994DA6">
      <w:p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&gt; 改造方式：信息科配置规则引擎，</w:t>
      </w:r>
      <w:r>
        <w:rPr>
          <w:rFonts w:hint="default"/>
          <w:color w:val="0000FF"/>
          <w:sz w:val="28"/>
          <w:szCs w:val="36"/>
          <w:lang w:val="en-US" w:eastAsia="zh-CN"/>
        </w:rPr>
        <w:t>无需全新开发，配置弹窗、标签字段。</w:t>
      </w:r>
    </w:p>
    <w:p w14:paraId="4BF14919">
      <w:pPr>
        <w:rPr>
          <w:rFonts w:hint="default"/>
          <w:sz w:val="28"/>
          <w:szCs w:val="36"/>
          <w:lang w:val="en-US" w:eastAsia="zh-CN"/>
        </w:rPr>
      </w:pPr>
    </w:p>
    <w:p w14:paraId="4853858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模块2：住院/门诊标准化专病建档</w:t>
      </w:r>
    </w:p>
    <w:p w14:paraId="12B3ACF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复用</w:t>
      </w:r>
      <w:r>
        <w:rPr>
          <w:rFonts w:hint="eastAsia"/>
          <w:sz w:val="28"/>
          <w:szCs w:val="36"/>
          <w:lang w:val="en-US" w:eastAsia="zh-CN"/>
        </w:rPr>
        <w:t>电子病历，</w:t>
      </w:r>
      <w:r>
        <w:rPr>
          <w:rFonts w:hint="default"/>
          <w:sz w:val="28"/>
          <w:szCs w:val="36"/>
          <w:lang w:val="en-US" w:eastAsia="zh-CN"/>
        </w:rPr>
        <w:t>新建【脂肪肝专病管理表单】（嵌入现有电子病历，不换系统），表单字段：</w:t>
      </w:r>
    </w:p>
    <w:p w14:paraId="62C25E8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基础信息：身高体重、BMI、腰围、血压；</w:t>
      </w:r>
    </w:p>
    <w:p w14:paraId="0C973AD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危险因素：饮酒史、糖尿病、高血脂、高血压、睡眠、饮食运动习惯；</w:t>
      </w:r>
    </w:p>
    <w:p w14:paraId="07D0433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检查数据：肝功能、血脂、血糖、肝脏超声、FibroScan（如有）；</w:t>
      </w:r>
    </w:p>
    <w:p w14:paraId="555B77F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分层风险评估：低/中/高风险分层；</w:t>
      </w:r>
    </w:p>
    <w:p w14:paraId="73E7FE7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干预方案：饮食、运动、减重目标、药物、复查计划；</w:t>
      </w:r>
    </w:p>
    <w:p w14:paraId="600AC99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护理评估条目：专科护理问题、健康宣教记录。</w:t>
      </w:r>
    </w:p>
    <w:p w14:paraId="2A5E96E0">
      <w:pPr>
        <w:rPr>
          <w:rFonts w:hint="default"/>
          <w:sz w:val="28"/>
          <w:szCs w:val="36"/>
          <w:lang w:val="en-US" w:eastAsia="zh-CN"/>
        </w:rPr>
      </w:pPr>
    </w:p>
    <w:p w14:paraId="4221A1A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护士/医生完成表单后，数据存入医院现有数据库，打上专病ID标签，可在EMR患者主页快速查看专病档案。</w:t>
      </w:r>
    </w:p>
    <w:p w14:paraId="7F2B8F3D">
      <w:pPr>
        <w:rPr>
          <w:rFonts w:hint="default"/>
          <w:sz w:val="28"/>
          <w:szCs w:val="36"/>
          <w:lang w:val="en-US" w:eastAsia="zh-CN"/>
        </w:rPr>
      </w:pPr>
    </w:p>
    <w:p w14:paraId="6E249A9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模块3：院内临床干预提醒（医护端）</w:t>
      </w:r>
    </w:p>
    <w:p w14:paraId="7A6CBDA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医生端：系统自动生成复查时间节点，到点提醒开具对应检验、超声；高风险患者弹窗提醒多学科会诊（内分泌、营养科）。</w:t>
      </w:r>
    </w:p>
    <w:p w14:paraId="203D7A5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护理端（移动医护）：在护士站、手机端，对已建档患者推送：宣教任务、生活方式指导记录单；护理文书可直接调取脂肪肝评估模板，减少重复录入。</w:t>
      </w:r>
    </w:p>
    <w:p w14:paraId="1FDA6E4E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MDT协同：依托院内现有会诊系统，脂肪肝高风险患者可一键发起营养、内分泌会诊，会诊记录回流至专病档案。</w:t>
      </w:r>
    </w:p>
    <w:p w14:paraId="3F00EF22">
      <w:pPr>
        <w:rPr>
          <w:rFonts w:hint="default"/>
          <w:sz w:val="28"/>
          <w:szCs w:val="36"/>
          <w:lang w:val="en-US" w:eastAsia="zh-CN"/>
        </w:rPr>
      </w:pPr>
    </w:p>
    <w:p w14:paraId="32A5A64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模块4：院后随访管理（复用医院现有随访系统）</w:t>
      </w:r>
    </w:p>
    <w:p w14:paraId="3CDD5B9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不购买第三方随访系统，复用医院已有的随访平台做配置：</w:t>
      </w:r>
    </w:p>
    <w:p w14:paraId="6641685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专病档案同步至随访库，按风险等级设置随访周期：</w:t>
      </w:r>
    </w:p>
    <w:p w14:paraId="584F09A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    - 低风险：6‑12个月；中风险：3‑6个月；高风险：1‑3个月；</w:t>
      </w:r>
    </w:p>
    <w:p w14:paraId="74040FE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系统自动触发：短信/院内公众号推送随访提醒、复查通知、标准化健康宣教；</w:t>
      </w:r>
    </w:p>
    <w:p w14:paraId="4D039AA1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护士在随访模块录入随访结果，结果自动回写EMR专病档案；</w:t>
      </w:r>
    </w:p>
    <w:p w14:paraId="796FDEAD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失访患者标记，用于QCC质量分析。</w:t>
      </w:r>
    </w:p>
    <w:p w14:paraId="150BAE15">
      <w:pPr>
        <w:rPr>
          <w:rFonts w:hint="default"/>
          <w:sz w:val="28"/>
          <w:szCs w:val="36"/>
          <w:lang w:val="en-US" w:eastAsia="zh-CN"/>
        </w:rPr>
      </w:pPr>
    </w:p>
    <w:p w14:paraId="760C0B20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模块5：质量改进数据看板（报表平台）</w:t>
      </w:r>
    </w:p>
    <w:p w14:paraId="15769C7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利用医院现有BI/报表平台，抓取专病标签数据，自动产出QCC所需指标：</w:t>
      </w:r>
    </w:p>
    <w:p w14:paraId="704ECA4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筛查率、建档率、规范随访率；</w:t>
      </w:r>
    </w:p>
    <w:p w14:paraId="474CAF1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肝功能改善率、复查完成率、失访率；</w:t>
      </w:r>
    </w:p>
    <w:p w14:paraId="72B8A30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- 分层管理执行率、宣教落实率。</w:t>
      </w:r>
    </w:p>
    <w:p w14:paraId="094FDD5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报表直接供科室质量管控、护理质控、QCC项目汇报使用。</w:t>
      </w:r>
    </w:p>
    <w:p w14:paraId="56FD6EDE">
      <w:pPr>
        <w:rPr>
          <w:rFonts w:hint="default"/>
          <w:sz w:val="28"/>
          <w:szCs w:val="36"/>
          <w:lang w:val="en-US" w:eastAsia="zh-CN"/>
        </w:rPr>
      </w:pPr>
    </w:p>
    <w:p w14:paraId="70E22D45">
      <w:p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default"/>
          <w:color w:val="0000FF"/>
          <w:sz w:val="28"/>
          <w:szCs w:val="36"/>
          <w:lang w:val="en-US" w:eastAsia="zh-CN"/>
        </w:rPr>
        <w:t>三、分阶段实施步骤</w:t>
      </w:r>
    </w:p>
    <w:p w14:paraId="15DD0B66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阶段1：筹备与需求确认（1‑2个月）</w:t>
      </w:r>
    </w:p>
    <w:p w14:paraId="2A2E4401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成立项目小组：感染科医生、高责护士/感控护士、护长、信息科工程师、营养科；明确N1‑N4护士分层岗位职责。</w:t>
      </w:r>
    </w:p>
    <w:p w14:paraId="018A3BF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梳理临床流程：筛查‑建档‑评估‑干预‑随访‑质控，输出业务流程图、泳道图。</w:t>
      </w:r>
    </w:p>
    <w:p w14:paraId="09979E10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和信息科确认：现有系统是否支持新增EMR表单、标签、规则弹窗、随访同步；区分哪些是配置实现、哪些需要少量二次开发。</w:t>
      </w:r>
    </w:p>
    <w:p w14:paraId="5E9F70E0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制定专病表单、评估标准、随访SOP；完成各级医护人员培训课件初稿。</w:t>
      </w:r>
    </w:p>
    <w:p w14:paraId="6078611C">
      <w:pPr>
        <w:rPr>
          <w:rFonts w:hint="default"/>
          <w:sz w:val="28"/>
          <w:szCs w:val="36"/>
          <w:lang w:val="en-US" w:eastAsia="zh-CN"/>
        </w:rPr>
      </w:pPr>
    </w:p>
    <w:p w14:paraId="77D45E6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阶段2：系统配置与试点调试（2‑3个月）</w:t>
      </w:r>
    </w:p>
    <w:p w14:paraId="2E5067A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信息科完成配置：EMR专病表单、PACS‑LIS触发标签、医生弹窗；对接随访系统；搭建质量报表。</w:t>
      </w:r>
    </w:p>
    <w:p w14:paraId="6C14602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科室小范围试点：门诊+住院脂肪肝患者50‑100例试运行；收集医生、护士操作痛点，优化表单、弹窗，减少录入负担。</w:t>
      </w:r>
    </w:p>
    <w:p w14:paraId="5EAE052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制定分层岗位职责：</w:t>
      </w:r>
    </w:p>
    <w:p w14:paraId="076024F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    - N1：协助采集基础数据、执行宣教；</w:t>
      </w:r>
    </w:p>
    <w:p w14:paraId="46CB699C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    - N2：完成专病档案录入、随访执行；</w:t>
      </w:r>
    </w:p>
    <w:p w14:paraId="4A3AC4B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    - N3‑N4：风险评估、质量核查、问题分析；</w:t>
      </w:r>
    </w:p>
    <w:p w14:paraId="592F83BE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    - 护士长：项目质控、指标监控。</w:t>
      </w:r>
    </w:p>
    <w:p w14:paraId="7EE542C2">
      <w:pPr>
        <w:rPr>
          <w:rFonts w:hint="default"/>
          <w:sz w:val="28"/>
          <w:szCs w:val="36"/>
          <w:lang w:val="en-US" w:eastAsia="zh-CN"/>
        </w:rPr>
      </w:pPr>
    </w:p>
    <w:p w14:paraId="34650B8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阶段3：全面上线运行（3‑4个月）</w:t>
      </w:r>
    </w:p>
    <w:p w14:paraId="61F4854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全员培训：医生、门诊护士、病房护士，实操培训系统操作流程。</w:t>
      </w:r>
    </w:p>
    <w:p w14:paraId="44B9EF2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全量纳入：门诊及住院确诊/高危脂肪肝患者全部启动信息化管理。</w:t>
      </w:r>
    </w:p>
    <w:p w14:paraId="220AA191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建立科室质控机制：每月查看BI报表，分析建档率、随访率、失访原因，开展质量改进，作为QCC改善重点。</w:t>
      </w:r>
    </w:p>
    <w:p w14:paraId="2F48F90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问题闭环：针对系统卡点、临床执行不到位，持续优化流程。</w:t>
      </w:r>
    </w:p>
    <w:p w14:paraId="5345AA1C">
      <w:pPr>
        <w:rPr>
          <w:rFonts w:hint="default"/>
          <w:sz w:val="28"/>
          <w:szCs w:val="36"/>
          <w:lang w:val="en-US" w:eastAsia="zh-CN"/>
        </w:rPr>
      </w:pPr>
    </w:p>
    <w:p w14:paraId="26BA078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阶段4：效果评价与持续改进（长期）</w:t>
      </w:r>
    </w:p>
    <w:p w14:paraId="35527A4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收集QCC项目结局指标：建档率提升、随访完成率、复查依从性、肝功能改善情况。</w:t>
      </w:r>
    </w:p>
    <w:p w14:paraId="6A8168A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总结经验，形成科室SOP，可向其他科室推广。</w:t>
      </w:r>
    </w:p>
    <w:p w14:paraId="5F510436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定期复盘信息系统使用问题，持续迭代。</w:t>
      </w:r>
    </w:p>
    <w:p w14:paraId="5304BE86">
      <w:pPr>
        <w:rPr>
          <w:rFonts w:hint="default"/>
          <w:sz w:val="28"/>
          <w:szCs w:val="36"/>
          <w:lang w:val="en-US" w:eastAsia="zh-CN"/>
        </w:rPr>
      </w:pPr>
    </w:p>
    <w:p w14:paraId="1D2B085E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四、关键难点与应对措施</w:t>
      </w:r>
    </w:p>
    <w:p w14:paraId="6854C7D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医护录入负担重：尽量自动抓取LIS/PACS/HIS已有数据，减少手动输入；表单精简必填项。</w:t>
      </w:r>
    </w:p>
    <w:p w14:paraId="465A6C5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信息科资源有限：优先做配置类需求，严控定制开发量；先核心流程，次要功能后期迭代。</w:t>
      </w:r>
    </w:p>
    <w:p w14:paraId="5909C96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患者失访率高：随访多渠道（公众号+短信），科室护士电话兜底；在门诊住院强化告知随访意义。</w:t>
      </w:r>
    </w:p>
    <w:p w14:paraId="7F63B08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多科室协同不足：固定MDT会诊路径，将脂肪肝转诊纳入科室制度。</w:t>
      </w:r>
    </w:p>
    <w:p w14:paraId="1A38A129">
      <w:pPr>
        <w:rPr>
          <w:rFonts w:hint="default"/>
          <w:sz w:val="28"/>
          <w:szCs w:val="36"/>
          <w:lang w:val="en-US" w:eastAsia="zh-CN"/>
        </w:rPr>
      </w:pPr>
    </w:p>
    <w:p w14:paraId="7C4DA7E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五、QCC项目可直接使用的产出物清单</w:t>
      </w:r>
    </w:p>
    <w:p w14:paraId="0597FDD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脂肪肝信息化管理全流程泳道图</w:t>
      </w:r>
    </w:p>
    <w:p w14:paraId="21002A5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EMR专病表单模板</w:t>
      </w:r>
    </w:p>
    <w:p w14:paraId="48456846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3. 各级医护分层岗位职责</w:t>
      </w:r>
    </w:p>
    <w:p w14:paraId="2E35E42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4. 筛查‑建档‑随访SOP</w:t>
      </w:r>
    </w:p>
    <w:p w14:paraId="65F74406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5. 质量监控指标表</w:t>
      </w:r>
    </w:p>
    <w:p w14:paraId="67CAAB3B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6. 培训课件</w:t>
      </w:r>
    </w:p>
    <w:p w14:paraId="706E717F">
      <w:pPr>
        <w:rPr>
          <w:rFonts w:hint="default"/>
          <w:sz w:val="28"/>
          <w:szCs w:val="36"/>
          <w:lang w:val="en-US" w:eastAsia="zh-CN"/>
        </w:rPr>
      </w:pPr>
    </w:p>
    <w:p w14:paraId="67F4989A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171BF"/>
    <w:rsid w:val="085E53BC"/>
    <w:rsid w:val="129415F8"/>
    <w:rsid w:val="1ADE6BE3"/>
    <w:rsid w:val="1D6A2EBF"/>
    <w:rsid w:val="22E06CA1"/>
    <w:rsid w:val="253A4D8F"/>
    <w:rsid w:val="2BBE2D7A"/>
    <w:rsid w:val="2FC96724"/>
    <w:rsid w:val="30A411B0"/>
    <w:rsid w:val="3472025B"/>
    <w:rsid w:val="35A1689A"/>
    <w:rsid w:val="52C8312A"/>
    <w:rsid w:val="536C7F5A"/>
    <w:rsid w:val="56F97D56"/>
    <w:rsid w:val="59E20F76"/>
    <w:rsid w:val="5F225970"/>
    <w:rsid w:val="60026AD7"/>
    <w:rsid w:val="65424DFA"/>
    <w:rsid w:val="6CCB3A79"/>
    <w:rsid w:val="763B583E"/>
    <w:rsid w:val="777F556C"/>
    <w:rsid w:val="7AB9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2581</Words>
  <Characters>2886</Characters>
  <Lines>0</Lines>
  <Paragraphs>0</Paragraphs>
  <TotalTime>47</TotalTime>
  <ScaleCrop>false</ScaleCrop>
  <LinksUpToDate>false</LinksUpToDate>
  <CharactersWithSpaces>2964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2026-08-11T05:32:00Z</dcterms:created>
  <dc:creator>DELL</dc:creator>
  <cp:lastModifiedBy>许小跃</cp:lastModifiedBy>
  <cp:lastPrinted>2026-08-31T02:50:00Z</cp:lastPrinted>
  <dcterms:modified xsi:type="dcterms:W3CDTF">2026-08-31T02:50:08Z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eyJoZGlkIjoiZTM5MmFkNTczOTY3MzkyOTI3NjQ4NzY2NGVjYjE0YTgiLCJ1c2VySWQiOiIxMDUwODQwNzAzIn0=</vt:lpwstr>
  </property>
  <property fmtid="{D5CDD505-2E9C-101B-9397-08002B2CF9AE}" pid="4" name="ICV">
    <vt:lpwstr>6D6D2EAA17BF4AEF90EE183C50290BAB_12</vt:lpwstr>
  </property>
</Properties>
</file>