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8035" w14:textId="664F7C52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</w:t>
      </w:r>
      <w:r w:rsidR="00846C80">
        <w:rPr>
          <w:sz w:val="48"/>
          <w:szCs w:val="48"/>
        </w:rPr>
        <w:t>Project</w:t>
      </w:r>
    </w:p>
    <w:p w14:paraId="40442018" w14:textId="7B845EAC" w:rsidR="009613A6" w:rsidRDefault="00846C80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495C00FA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145018">
        <w:rPr>
          <w:lang w:val="en-GB"/>
        </w:rPr>
        <w:t>Evandro Gomez Quintino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145018">
        <w:rPr>
          <w:lang w:val="en-GB"/>
        </w:rPr>
        <w:t>2960774</w:t>
      </w:r>
    </w:p>
    <w:p w14:paraId="355BAC89" w14:textId="08A15BFA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145018">
        <w:rPr>
          <w:lang w:val="en-GB"/>
        </w:rPr>
        <w:t>Gavin Hughes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145018">
        <w:rPr>
          <w:lang w:val="en-GB"/>
        </w:rPr>
        <w:tab/>
      </w:r>
      <w:r w:rsidRPr="00057850">
        <w:rPr>
          <w:lang w:val="en-GB"/>
        </w:rPr>
        <w:t xml:space="preserve">Student Number2: 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3151"/>
        <w:gridCol w:w="3127"/>
      </w:tblGrid>
      <w:tr w:rsidR="00336A29" w:rsidRPr="00057850" w14:paraId="70B5A33A" w14:textId="77777777" w:rsidTr="00CB796B">
        <w:trPr>
          <w:trHeight w:val="282"/>
        </w:trPr>
        <w:tc>
          <w:tcPr>
            <w:tcW w:w="3380" w:type="dxa"/>
            <w:shd w:val="clear" w:color="auto" w:fill="auto"/>
          </w:tcPr>
          <w:p w14:paraId="760986CB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380" w:type="dxa"/>
            <w:shd w:val="clear" w:color="auto" w:fill="auto"/>
          </w:tcPr>
          <w:p w14:paraId="66851FA4" w14:textId="2F48349C" w:rsidR="00336A29" w:rsidRPr="00057850" w:rsidRDefault="00BD3B78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Evandro</w:t>
            </w:r>
          </w:p>
        </w:tc>
        <w:tc>
          <w:tcPr>
            <w:tcW w:w="3380" w:type="dxa"/>
            <w:shd w:val="clear" w:color="auto" w:fill="auto"/>
          </w:tcPr>
          <w:p w14:paraId="1C1BC733" w14:textId="24100241" w:rsidR="00336A29" w:rsidRPr="00057850" w:rsidRDefault="00BD3B78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Gavin</w:t>
            </w:r>
          </w:p>
        </w:tc>
      </w:tr>
      <w:tr w:rsidR="00336A29" w:rsidRPr="00057850" w14:paraId="33FCD084" w14:textId="77777777" w:rsidTr="00CB796B">
        <w:tc>
          <w:tcPr>
            <w:tcW w:w="3380" w:type="dxa"/>
            <w:shd w:val="clear" w:color="auto" w:fill="auto"/>
          </w:tcPr>
          <w:p w14:paraId="0343CEA7" w14:textId="77777777" w:rsidR="00336A29" w:rsidRPr="00057850" w:rsidRDefault="00336A29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3380" w:type="dxa"/>
            <w:shd w:val="clear" w:color="auto" w:fill="auto"/>
          </w:tcPr>
          <w:p w14:paraId="5B5B8368" w14:textId="765AF18A" w:rsidR="00336A29" w:rsidRPr="00057850" w:rsidRDefault="00BD3B78" w:rsidP="00CB796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380" w:type="dxa"/>
            <w:shd w:val="clear" w:color="auto" w:fill="auto"/>
          </w:tcPr>
          <w:p w14:paraId="60CD0319" w14:textId="39BF3079" w:rsidR="00336A29" w:rsidRPr="00057850" w:rsidRDefault="00BD3B78" w:rsidP="00CB796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336A29" w:rsidRPr="00057850" w14:paraId="1335D7F6" w14:textId="77777777" w:rsidTr="00CB796B">
        <w:tc>
          <w:tcPr>
            <w:tcW w:w="3380" w:type="dxa"/>
            <w:shd w:val="clear" w:color="auto" w:fill="auto"/>
          </w:tcPr>
          <w:p w14:paraId="04D82A27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3380" w:type="dxa"/>
            <w:shd w:val="clear" w:color="auto" w:fill="auto"/>
          </w:tcPr>
          <w:p w14:paraId="73D5D79B" w14:textId="43EAB230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DBD5369" w14:textId="4431C1F5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0138297A" w14:textId="77777777" w:rsidTr="00CB796B">
        <w:trPr>
          <w:trHeight w:val="283"/>
        </w:trPr>
        <w:tc>
          <w:tcPr>
            <w:tcW w:w="3380" w:type="dxa"/>
            <w:shd w:val="clear" w:color="auto" w:fill="auto"/>
          </w:tcPr>
          <w:p w14:paraId="13AAB2B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3380" w:type="dxa"/>
            <w:shd w:val="clear" w:color="auto" w:fill="auto"/>
          </w:tcPr>
          <w:p w14:paraId="1697C33F" w14:textId="1DC2C1A4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729FF68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2151DF44" w14:textId="77777777" w:rsidTr="00CB796B">
        <w:tc>
          <w:tcPr>
            <w:tcW w:w="3380" w:type="dxa"/>
            <w:shd w:val="clear" w:color="auto" w:fill="auto"/>
          </w:tcPr>
          <w:p w14:paraId="629BE7F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3380" w:type="dxa"/>
            <w:shd w:val="clear" w:color="auto" w:fill="auto"/>
          </w:tcPr>
          <w:p w14:paraId="121FB75F" w14:textId="69838A3B" w:rsidR="00336A29" w:rsidRPr="00057850" w:rsidRDefault="00BD3B78" w:rsidP="00CB796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3380" w:type="dxa"/>
            <w:shd w:val="clear" w:color="auto" w:fill="auto"/>
          </w:tcPr>
          <w:p w14:paraId="65CA6A03" w14:textId="19F141DB" w:rsidR="00336A29" w:rsidRPr="00057850" w:rsidRDefault="00BD3B78" w:rsidP="00CB796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36A29" w:rsidRPr="00057850" w14:paraId="08176773" w14:textId="77777777" w:rsidTr="00CB796B">
        <w:tc>
          <w:tcPr>
            <w:tcW w:w="3380" w:type="dxa"/>
            <w:shd w:val="clear" w:color="auto" w:fill="auto"/>
          </w:tcPr>
          <w:p w14:paraId="5CEEF5F0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3380" w:type="dxa"/>
            <w:shd w:val="clear" w:color="auto" w:fill="auto"/>
          </w:tcPr>
          <w:p w14:paraId="565DE7E8" w14:textId="77777777" w:rsidR="00336A29" w:rsidRPr="00057850" w:rsidRDefault="00336A29" w:rsidP="00CB796B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3380" w:type="dxa"/>
            <w:shd w:val="clear" w:color="auto" w:fill="auto"/>
          </w:tcPr>
          <w:p w14:paraId="6B96827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6E3CB83B" w14:textId="77777777" w:rsidTr="00CB796B">
        <w:tc>
          <w:tcPr>
            <w:tcW w:w="3380" w:type="dxa"/>
            <w:shd w:val="clear" w:color="auto" w:fill="auto"/>
          </w:tcPr>
          <w:p w14:paraId="04E84906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E461F07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4321440E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06F62259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646BDC6D" w:rsidR="00BF6941" w:rsidRDefault="00BF6941" w:rsidP="00D90A93">
      <w:r w:rsidRPr="00F943C4">
        <w:rPr>
          <w:b/>
          <w:bCs/>
        </w:rPr>
        <w:t>Student Name:</w:t>
      </w:r>
      <w:r>
        <w:t xml:space="preserve"> </w:t>
      </w:r>
      <w:r w:rsidR="00BD3B78">
        <w:t>Evandro Gomez Quintino &amp; Gavin Hughes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09B56091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not work.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additional features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6E82" w14:textId="77777777" w:rsidR="007E7479" w:rsidRDefault="007E7479" w:rsidP="00C83419">
      <w:r>
        <w:separator/>
      </w:r>
    </w:p>
  </w:endnote>
  <w:endnote w:type="continuationSeparator" w:id="0">
    <w:p w14:paraId="36763106" w14:textId="77777777" w:rsidR="007E7479" w:rsidRDefault="007E7479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BDDA7" w14:textId="1283CAD5" w:rsidR="00C83419" w:rsidRPr="004F02C3" w:rsidRDefault="00C83419" w:rsidP="00C83419">
    <w:pPr>
      <w:pStyle w:val="Footer"/>
    </w:pPr>
    <w:r>
      <w:t>Edited by Alex Cronin 2019.1</w:t>
    </w:r>
    <w:r w:rsidR="00336A29">
      <w:t>1</w:t>
    </w:r>
    <w:r>
      <w:t>.0</w:t>
    </w:r>
    <w:r w:rsidR="00336A29">
      <w:t>8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45B9" w14:textId="77777777" w:rsidR="007E7479" w:rsidRDefault="007E7479" w:rsidP="00C83419">
      <w:r>
        <w:separator/>
      </w:r>
    </w:p>
  </w:footnote>
  <w:footnote w:type="continuationSeparator" w:id="0">
    <w:p w14:paraId="3EAD701C" w14:textId="77777777" w:rsidR="007E7479" w:rsidRDefault="007E7479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145018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53E7"/>
    <w:rsid w:val="0077510C"/>
    <w:rsid w:val="00793CFC"/>
    <w:rsid w:val="007E7479"/>
    <w:rsid w:val="007E7D02"/>
    <w:rsid w:val="00846C80"/>
    <w:rsid w:val="0085074F"/>
    <w:rsid w:val="008E07E8"/>
    <w:rsid w:val="008F2F68"/>
    <w:rsid w:val="009613A6"/>
    <w:rsid w:val="009A6384"/>
    <w:rsid w:val="00A8395A"/>
    <w:rsid w:val="00B15AC6"/>
    <w:rsid w:val="00B53597"/>
    <w:rsid w:val="00BB2A90"/>
    <w:rsid w:val="00BD3B78"/>
    <w:rsid w:val="00BE04D0"/>
    <w:rsid w:val="00BF6941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Evandro Gomez Quintino</cp:lastModifiedBy>
  <cp:revision>16</cp:revision>
  <dcterms:created xsi:type="dcterms:W3CDTF">2019-10-05T14:17:00Z</dcterms:created>
  <dcterms:modified xsi:type="dcterms:W3CDTF">2019-11-27T12:42:00Z</dcterms:modified>
</cp:coreProperties>
</file>