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跨境电商顾问服务案例（2024年营收1.6亿元）</w:t>
      </w:r>
    </w:p>
    <w:p>
      <w:pPr>
        <w:ind w:firstLine="1476" w:firstLineChars="70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客户基本情况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圳某跨境电商贸易公司，2023年营业收入1.4亿元，2024年营收1.6亿元，员工50多人，其中会计人员4人，网上店铺有40多家，其中：亚马逊21家店铺，阿里国际站3家、ebay有5家家，速卖通6家，剩余店铺在虾皮等平台，销售家居用品等产品。部分产品在1688平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台采购，大的供应商给账期，有账期的占70%，现金支付的占30%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客户痛点：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1、1688平台部分不开票，通过微信、支付宝支付，收款后发货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无票采购占30%，私账支付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部分产品被买单出口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两套账，能拿到专票做出口退税的是按合规做账，其余做内账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低于5000元的小包采购未报关，也未做收入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退税过程中经常会遇到各种问题，退税受阻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私人账户收款金额很大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个人账户注册的第三方支付留存大量资金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解决方案：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梳理公司股权架构及交易架构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内公司设立三层架构：家族公司、防火墙公司（控股公司）、主体公司，ODI控股香港公司、境外通过香港公司归集资金，然后用香港公司投资控股其他境外公司，如：欧洲公司、东南亚公司、美国公司、日本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交易架构：无票采购部分通过1039市场采购模式及香港公司直接向供应商采购，有票采购部分通过主体公司向香港公司出口，通过服务公司收取香港公司的服务费。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解决两套账问题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（1）2023年内账收入1.4亿，外账收入5600多万元，收入相差近1半，税务风险很大，内账逐步合并到外账，主要解决银行存款、其他货币资金、应收、应付、预收、库存商品等会计科目的差异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（2）没有成本票的部分通过搭建合适交易架构处理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（3）私账收款未做收入的部分，通过搭建小规模公司架构处理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3、买单出口的部分，是没有采购发票的，通过香港公司直接采购处理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4、低于5000元小包未报关的部分，按内销合规财税要求处理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老板有在境外的私人账户有大额资金投资股票和期货风险化解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，通过逐步消化，后期不再增加，降低了税务风险，在已经有客户受到CRS大数据核查补税严管的严峻形势下，该客户提前做了消化处理，避免了核查。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由于网上店铺多业务提成计算量大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，业务员激励靠提成，4个会计每个月有一半的时间在计算提成，而且经常出现计算差错，为了提高工作效率和计算准确率，协助客户通过技术手段解决该问题。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三、增值服务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1、指导客户优化供应链流程，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协助客户制定采购管理、销售管理流程图、流程制度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指导客户做公司整体财务分析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，包括现金周转天数、存货周转天数、营收账款周转天数、应付账款周转天数、投资回报率，运营资金预算。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四、解决疑难杂症问题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1、解决出口退税过程中各种疑难杂症问题，例如：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解决FOB方式出口报关，账面上有支付大额海运费1800多万元的疑难问题，面临税务局要补税、滞纳金问题，通过分析问题，最后用合适的办法免于补税和缴滞纳金；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报关链路与资金链路不一致的问题、提单问题、物流单证问题、税务局提出需要解释的问题；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2、解决1688平台个人收款过程中各种疑难杂症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3、解决前期支付宝收款到对公账号的问题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4、解决国内合规前大量库存，如何消耗掉的问题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3E1F0B"/>
    <w:multiLevelType w:val="singleLevel"/>
    <w:tmpl w:val="153E1F0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D3FD793"/>
    <w:multiLevelType w:val="singleLevel"/>
    <w:tmpl w:val="2D3FD7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463E4EB"/>
    <w:multiLevelType w:val="singleLevel"/>
    <w:tmpl w:val="3463E4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5OWYzNGQ0NWEwMWUyM2RmMmU3OWQwNmU1ODY5NGQifQ=="/>
    <w:docVar w:name="KSO_WPS_MARK_KEY" w:val="3b6108e1-2ca3-4923-b6d5-59db809697c2"/>
  </w:docVars>
  <w:rsids>
    <w:rsidRoot w:val="316C49F9"/>
    <w:rsid w:val="316C49F9"/>
    <w:rsid w:val="78BC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1185</Words>
  <Characters>1247</Characters>
  <Lines>0</Lines>
  <Paragraphs>0</Paragraphs>
  <TotalTime>8</TotalTime>
  <ScaleCrop>false</ScaleCrop>
  <LinksUpToDate>false</LinksUpToDate>
  <CharactersWithSpaces>1253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2025-06-08T08:49:00Z</dcterms:created>
  <dc:creator>WPS_322950406</dc:creator>
  <cp:lastModifiedBy>WPS_322950406</cp:lastModifiedBy>
  <dcterms:modified xsi:type="dcterms:W3CDTF">2025-06-09T02:32:30Z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3CF7B2BFF2D84C4D97A9904BCF309977</vt:lpwstr>
  </property>
</Properties>
</file>