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169" w:type="dxa"/>
        <w:tblCellSpacing w:w="15" w:type="dxa"/>
        <w:shd w:val="clear" w:color="auto" w:fill="1B222D"/>
        <w:tblCellMar>
          <w:top w:w="15" w:type="dxa"/>
          <w:left w:w="15" w:type="dxa"/>
          <w:bottom w:w="15" w:type="dxa"/>
          <w:right w:w="15" w:type="dxa"/>
        </w:tblCellMar>
        <w:tblLook w:val="04A0" w:firstRow="1" w:lastRow="0" w:firstColumn="1" w:lastColumn="0" w:noHBand="0" w:noVBand="1"/>
      </w:tblPr>
      <w:tblGrid>
        <w:gridCol w:w="1580"/>
        <w:gridCol w:w="2896"/>
        <w:gridCol w:w="2240"/>
        <w:gridCol w:w="1362"/>
        <w:gridCol w:w="1349"/>
        <w:gridCol w:w="1364"/>
        <w:gridCol w:w="1378"/>
      </w:tblGrid>
      <w:tr w:rsidR="00022C96" w:rsidRPr="007B7F29" w:rsidTr="009C7FF7">
        <w:trPr>
          <w:trHeight w:val="600"/>
          <w:tblHeader/>
          <w:tblCellSpacing w:w="15" w:type="dxa"/>
        </w:trPr>
        <w:tc>
          <w:tcPr>
            <w:tcW w:w="1535" w:type="dxa"/>
            <w:tcBorders>
              <w:top w:val="nil"/>
              <w:left w:val="nil"/>
              <w:bottom w:val="nil"/>
              <w:right w:val="nil"/>
            </w:tcBorders>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Date</w:t>
            </w:r>
          </w:p>
        </w:tc>
        <w:tc>
          <w:tcPr>
            <w:tcW w:w="2866" w:type="dxa"/>
            <w:tcBorders>
              <w:top w:val="nil"/>
              <w:left w:val="nil"/>
              <w:bottom w:val="nil"/>
              <w:right w:val="nil"/>
            </w:tcBorders>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Value</w:t>
            </w:r>
          </w:p>
        </w:tc>
        <w:tc>
          <w:tcPr>
            <w:tcW w:w="2210" w:type="dxa"/>
            <w:tcBorders>
              <w:top w:val="nil"/>
              <w:left w:val="nil"/>
              <w:bottom w:val="nil"/>
              <w:right w:val="nil"/>
            </w:tcBorders>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Name</w:t>
            </w:r>
          </w:p>
        </w:tc>
        <w:tc>
          <w:tcPr>
            <w:tcW w:w="1332" w:type="dxa"/>
            <w:tcBorders>
              <w:top w:val="nil"/>
              <w:left w:val="nil"/>
              <w:bottom w:val="nil"/>
              <w:right w:val="nil"/>
            </w:tcBorders>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Entity</w:t>
            </w:r>
          </w:p>
        </w:tc>
        <w:tc>
          <w:tcPr>
            <w:tcW w:w="1319" w:type="dxa"/>
            <w:tcBorders>
              <w:top w:val="nil"/>
              <w:left w:val="nil"/>
              <w:bottom w:val="nil"/>
              <w:right w:val="nil"/>
            </w:tcBorders>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Role</w:t>
            </w:r>
          </w:p>
        </w:tc>
        <w:tc>
          <w:tcPr>
            <w:tcW w:w="1334" w:type="dxa"/>
            <w:tcBorders>
              <w:top w:val="nil"/>
              <w:left w:val="nil"/>
              <w:bottom w:val="nil"/>
              <w:right w:val="nil"/>
            </w:tcBorders>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Shares</w:t>
            </w:r>
          </w:p>
        </w:tc>
        <w:tc>
          <w:tcPr>
            <w:tcW w:w="1333" w:type="dxa"/>
            <w:tcBorders>
              <w:top w:val="nil"/>
              <w:left w:val="nil"/>
              <w:bottom w:val="nil"/>
              <w:right w:val="nil"/>
            </w:tcBorders>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Max Price</w:t>
            </w:r>
          </w:p>
        </w:tc>
      </w:tr>
      <w:tr w:rsidR="007B7F29" w:rsidRPr="007B7F29" w:rsidTr="009C7FF7">
        <w:trPr>
          <w:trHeight w:val="600"/>
          <w:tblCellSpacing w:w="15" w:type="dxa"/>
        </w:trPr>
        <w:tc>
          <w:tcPr>
            <w:tcW w:w="1535"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28 Mar 22</w:t>
            </w:r>
          </w:p>
        </w:tc>
        <w:tc>
          <w:tcPr>
            <w:tcW w:w="2866"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022C96">
              <w:rPr>
                <w:rFonts w:ascii="Segoe UI" w:eastAsia="Times New Roman" w:hAnsi="Segoe UI" w:cs="Segoe UI"/>
                <w:sz w:val="15"/>
                <w:szCs w:val="15"/>
                <w:lang w:eastAsia="en-NZ"/>
              </w:rPr>
              <w:t>SellNZ$3,875,245</w:t>
            </w:r>
          </w:p>
        </w:tc>
        <w:tc>
          <w:tcPr>
            <w:tcW w:w="2210"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Accident Compensation Corporation, Asset Management Arm</w:t>
            </w:r>
          </w:p>
        </w:tc>
        <w:tc>
          <w:tcPr>
            <w:tcW w:w="1332"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Company</w:t>
            </w:r>
          </w:p>
        </w:tc>
        <w:tc>
          <w:tcPr>
            <w:tcW w:w="1319"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
        </w:tc>
        <w:tc>
          <w:tcPr>
            <w:tcW w:w="1334"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3,819,602</w:t>
            </w:r>
          </w:p>
        </w:tc>
        <w:tc>
          <w:tcPr>
            <w:tcW w:w="1333"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NZ$1.01</w:t>
            </w:r>
          </w:p>
        </w:tc>
      </w:tr>
      <w:tr w:rsidR="00022C96" w:rsidRPr="007B7F29" w:rsidTr="009C7FF7">
        <w:trPr>
          <w:trHeight w:val="600"/>
          <w:tblCellSpacing w:w="15" w:type="dxa"/>
        </w:trPr>
        <w:tc>
          <w:tcPr>
            <w:tcW w:w="1535"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17 Feb 22</w:t>
            </w:r>
          </w:p>
        </w:tc>
        <w:tc>
          <w:tcPr>
            <w:tcW w:w="2866"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022C96">
              <w:rPr>
                <w:rFonts w:ascii="Segoe UI" w:eastAsia="Times New Roman" w:hAnsi="Segoe UI" w:cs="Segoe UI"/>
                <w:sz w:val="15"/>
                <w:szCs w:val="15"/>
                <w:lang w:eastAsia="en-NZ"/>
              </w:rPr>
              <w:t>BuyNZ$22,541</w:t>
            </w:r>
          </w:p>
        </w:tc>
        <w:tc>
          <w:tcPr>
            <w:tcW w:w="2210"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Accident Compensation Corporation, Asset Management Arm</w:t>
            </w:r>
          </w:p>
        </w:tc>
        <w:tc>
          <w:tcPr>
            <w:tcW w:w="1332"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Company</w:t>
            </w:r>
          </w:p>
        </w:tc>
        <w:tc>
          <w:tcPr>
            <w:tcW w:w="1319"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
        </w:tc>
        <w:tc>
          <w:tcPr>
            <w:tcW w:w="1334"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255,771</w:t>
            </w:r>
          </w:p>
        </w:tc>
        <w:tc>
          <w:tcPr>
            <w:tcW w:w="1333"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NZ$0.088</w:t>
            </w:r>
          </w:p>
        </w:tc>
      </w:tr>
      <w:tr w:rsidR="007B7F29" w:rsidRPr="007B7F29" w:rsidTr="009C7FF7">
        <w:trPr>
          <w:trHeight w:val="600"/>
          <w:tblCellSpacing w:w="15" w:type="dxa"/>
        </w:trPr>
        <w:tc>
          <w:tcPr>
            <w:tcW w:w="1535"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17 Feb 22</w:t>
            </w:r>
          </w:p>
        </w:tc>
        <w:tc>
          <w:tcPr>
            <w:tcW w:w="2866"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022C96">
              <w:rPr>
                <w:rFonts w:ascii="Segoe UI" w:eastAsia="Times New Roman" w:hAnsi="Segoe UI" w:cs="Segoe UI"/>
                <w:sz w:val="15"/>
                <w:szCs w:val="15"/>
                <w:lang w:eastAsia="en-NZ"/>
              </w:rPr>
              <w:t>SellNZ$2,821,816</w:t>
            </w:r>
          </w:p>
        </w:tc>
        <w:tc>
          <w:tcPr>
            <w:tcW w:w="2210"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Accident Compensation Corporation, Asset Management Arm</w:t>
            </w:r>
          </w:p>
        </w:tc>
        <w:tc>
          <w:tcPr>
            <w:tcW w:w="1332"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Company</w:t>
            </w:r>
          </w:p>
        </w:tc>
        <w:tc>
          <w:tcPr>
            <w:tcW w:w="1319"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
        </w:tc>
        <w:tc>
          <w:tcPr>
            <w:tcW w:w="1334"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2,980,414</w:t>
            </w:r>
          </w:p>
        </w:tc>
        <w:tc>
          <w:tcPr>
            <w:tcW w:w="1333"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NZ$0.95</w:t>
            </w:r>
          </w:p>
        </w:tc>
      </w:tr>
      <w:tr w:rsidR="00022C96" w:rsidRPr="007B7F29" w:rsidTr="009C7FF7">
        <w:trPr>
          <w:trHeight w:val="600"/>
          <w:tblCellSpacing w:w="15" w:type="dxa"/>
        </w:trPr>
        <w:tc>
          <w:tcPr>
            <w:tcW w:w="1535"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22 Dec 21</w:t>
            </w:r>
          </w:p>
        </w:tc>
        <w:tc>
          <w:tcPr>
            <w:tcW w:w="2866"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022C96">
              <w:rPr>
                <w:rFonts w:ascii="Segoe UI" w:eastAsia="Times New Roman" w:hAnsi="Segoe UI" w:cs="Segoe UI"/>
                <w:sz w:val="15"/>
                <w:szCs w:val="15"/>
                <w:lang w:eastAsia="en-NZ"/>
              </w:rPr>
              <w:t>BuyNZ$16,837</w:t>
            </w:r>
          </w:p>
        </w:tc>
        <w:tc>
          <w:tcPr>
            <w:tcW w:w="2210"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James Miller</w:t>
            </w:r>
          </w:p>
        </w:tc>
        <w:tc>
          <w:tcPr>
            <w:tcW w:w="1332"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Individual</w:t>
            </w:r>
          </w:p>
        </w:tc>
        <w:tc>
          <w:tcPr>
            <w:tcW w:w="1319"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
        </w:tc>
        <w:tc>
          <w:tcPr>
            <w:tcW w:w="1334"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18,502</w:t>
            </w:r>
          </w:p>
        </w:tc>
        <w:tc>
          <w:tcPr>
            <w:tcW w:w="1333"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NZ$0.91</w:t>
            </w:r>
          </w:p>
        </w:tc>
      </w:tr>
      <w:tr w:rsidR="007B7F29" w:rsidRPr="007B7F29" w:rsidTr="009C7FF7">
        <w:trPr>
          <w:trHeight w:val="600"/>
          <w:tblCellSpacing w:w="15" w:type="dxa"/>
        </w:trPr>
        <w:tc>
          <w:tcPr>
            <w:tcW w:w="1535"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09 Dec 21</w:t>
            </w:r>
          </w:p>
        </w:tc>
        <w:tc>
          <w:tcPr>
            <w:tcW w:w="2866"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022C96">
              <w:rPr>
                <w:rFonts w:ascii="Segoe UI" w:eastAsia="Times New Roman" w:hAnsi="Segoe UI" w:cs="Segoe UI"/>
                <w:sz w:val="15"/>
                <w:szCs w:val="15"/>
                <w:lang w:eastAsia="en-NZ"/>
              </w:rPr>
              <w:t>BuyNZ$74,820</w:t>
            </w:r>
          </w:p>
        </w:tc>
        <w:tc>
          <w:tcPr>
            <w:tcW w:w="2210"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roofErr w:type="spellStart"/>
            <w:r w:rsidRPr="007B7F29">
              <w:rPr>
                <w:rFonts w:ascii="Segoe UI" w:eastAsia="Times New Roman" w:hAnsi="Segoe UI" w:cs="Segoe UI"/>
                <w:sz w:val="15"/>
                <w:szCs w:val="15"/>
                <w:lang w:eastAsia="en-NZ"/>
              </w:rPr>
              <w:t>Zoenergy</w:t>
            </w:r>
            <w:proofErr w:type="spellEnd"/>
            <w:r w:rsidRPr="007B7F29">
              <w:rPr>
                <w:rFonts w:ascii="Segoe UI" w:eastAsia="Times New Roman" w:hAnsi="Segoe UI" w:cs="Segoe UI"/>
                <w:sz w:val="15"/>
                <w:szCs w:val="15"/>
                <w:lang w:eastAsia="en-NZ"/>
              </w:rPr>
              <w:t xml:space="preserve"> Limited</w:t>
            </w:r>
          </w:p>
        </w:tc>
        <w:tc>
          <w:tcPr>
            <w:tcW w:w="1332"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Company</w:t>
            </w:r>
          </w:p>
        </w:tc>
        <w:tc>
          <w:tcPr>
            <w:tcW w:w="1319"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
        </w:tc>
        <w:tc>
          <w:tcPr>
            <w:tcW w:w="1334"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87,000</w:t>
            </w:r>
          </w:p>
        </w:tc>
        <w:tc>
          <w:tcPr>
            <w:tcW w:w="1333"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NZ$0.86</w:t>
            </w:r>
          </w:p>
        </w:tc>
      </w:tr>
      <w:tr w:rsidR="00022C96" w:rsidRPr="007B7F29" w:rsidTr="009C7FF7">
        <w:trPr>
          <w:trHeight w:val="600"/>
          <w:tblCellSpacing w:w="15" w:type="dxa"/>
        </w:trPr>
        <w:tc>
          <w:tcPr>
            <w:tcW w:w="1535"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02 Dec 21</w:t>
            </w:r>
          </w:p>
        </w:tc>
        <w:tc>
          <w:tcPr>
            <w:tcW w:w="2866"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022C96">
              <w:rPr>
                <w:rFonts w:ascii="Segoe UI" w:eastAsia="Times New Roman" w:hAnsi="Segoe UI" w:cs="Segoe UI"/>
                <w:sz w:val="15"/>
                <w:szCs w:val="15"/>
                <w:lang w:eastAsia="en-NZ"/>
              </w:rPr>
              <w:t>BuyNZ$9,622,880</w:t>
            </w:r>
          </w:p>
        </w:tc>
        <w:tc>
          <w:tcPr>
            <w:tcW w:w="2210"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Accident Compensation Corporation, Asset Management Arm</w:t>
            </w:r>
          </w:p>
        </w:tc>
        <w:tc>
          <w:tcPr>
            <w:tcW w:w="1332"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Company</w:t>
            </w:r>
          </w:p>
        </w:tc>
        <w:tc>
          <w:tcPr>
            <w:tcW w:w="1319"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
        </w:tc>
        <w:tc>
          <w:tcPr>
            <w:tcW w:w="1334"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11,474,970</w:t>
            </w:r>
          </w:p>
        </w:tc>
        <w:tc>
          <w:tcPr>
            <w:tcW w:w="1333"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NZ$0.84</w:t>
            </w:r>
          </w:p>
        </w:tc>
      </w:tr>
      <w:tr w:rsidR="007B7F29" w:rsidRPr="007B7F29" w:rsidTr="009C7FF7">
        <w:trPr>
          <w:trHeight w:val="600"/>
          <w:tblCellSpacing w:w="15" w:type="dxa"/>
        </w:trPr>
        <w:tc>
          <w:tcPr>
            <w:tcW w:w="1535"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02 Dec 21</w:t>
            </w:r>
          </w:p>
        </w:tc>
        <w:tc>
          <w:tcPr>
            <w:tcW w:w="2866"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022C96">
              <w:rPr>
                <w:rFonts w:ascii="Segoe UI" w:eastAsia="Times New Roman" w:hAnsi="Segoe UI" w:cs="Segoe UI"/>
                <w:sz w:val="15"/>
                <w:szCs w:val="15"/>
                <w:lang w:eastAsia="en-NZ"/>
              </w:rPr>
              <w:t>SellNZ$2,642,628</w:t>
            </w:r>
          </w:p>
        </w:tc>
        <w:tc>
          <w:tcPr>
            <w:tcW w:w="2210"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Accident Compensation Corporation, Asset Management Arm</w:t>
            </w:r>
          </w:p>
        </w:tc>
        <w:tc>
          <w:tcPr>
            <w:tcW w:w="1332"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Company</w:t>
            </w:r>
          </w:p>
        </w:tc>
        <w:tc>
          <w:tcPr>
            <w:tcW w:w="1319"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
        </w:tc>
        <w:tc>
          <w:tcPr>
            <w:tcW w:w="1334"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2,773,168</w:t>
            </w:r>
          </w:p>
        </w:tc>
        <w:tc>
          <w:tcPr>
            <w:tcW w:w="1333"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NZ$0.95</w:t>
            </w:r>
          </w:p>
        </w:tc>
      </w:tr>
      <w:tr w:rsidR="00022C96" w:rsidRPr="007B7F29" w:rsidTr="009C7FF7">
        <w:trPr>
          <w:trHeight w:val="600"/>
          <w:tblCellSpacing w:w="15" w:type="dxa"/>
        </w:trPr>
        <w:tc>
          <w:tcPr>
            <w:tcW w:w="1535"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30 Nov 21</w:t>
            </w:r>
          </w:p>
        </w:tc>
        <w:tc>
          <w:tcPr>
            <w:tcW w:w="2866"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022C96">
              <w:rPr>
                <w:rFonts w:ascii="Segoe UI" w:eastAsia="Times New Roman" w:hAnsi="Segoe UI" w:cs="Segoe UI"/>
                <w:sz w:val="15"/>
                <w:szCs w:val="15"/>
                <w:lang w:eastAsia="en-NZ"/>
              </w:rPr>
              <w:t>BuyNZ$49,300</w:t>
            </w:r>
          </w:p>
        </w:tc>
        <w:tc>
          <w:tcPr>
            <w:tcW w:w="2210"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James Miller</w:t>
            </w:r>
          </w:p>
        </w:tc>
        <w:tc>
          <w:tcPr>
            <w:tcW w:w="1332"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Individual</w:t>
            </w:r>
          </w:p>
        </w:tc>
        <w:tc>
          <w:tcPr>
            <w:tcW w:w="1319"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
        </w:tc>
        <w:tc>
          <w:tcPr>
            <w:tcW w:w="1334"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58,000</w:t>
            </w:r>
          </w:p>
        </w:tc>
        <w:tc>
          <w:tcPr>
            <w:tcW w:w="1333"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NZ$0.85</w:t>
            </w:r>
          </w:p>
        </w:tc>
      </w:tr>
      <w:tr w:rsidR="007B7F29" w:rsidRPr="007B7F29" w:rsidTr="009C7FF7">
        <w:trPr>
          <w:trHeight w:val="600"/>
          <w:tblCellSpacing w:w="15" w:type="dxa"/>
        </w:trPr>
        <w:tc>
          <w:tcPr>
            <w:tcW w:w="1535"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24 Aug 21</w:t>
            </w:r>
          </w:p>
        </w:tc>
        <w:tc>
          <w:tcPr>
            <w:tcW w:w="2866"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022C96">
              <w:rPr>
                <w:rFonts w:ascii="Segoe UI" w:eastAsia="Times New Roman" w:hAnsi="Segoe UI" w:cs="Segoe UI"/>
                <w:sz w:val="15"/>
                <w:szCs w:val="15"/>
                <w:lang w:eastAsia="en-NZ"/>
              </w:rPr>
              <w:t>BuyNZ$150,214</w:t>
            </w:r>
          </w:p>
        </w:tc>
        <w:tc>
          <w:tcPr>
            <w:tcW w:w="2210"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Accident Compensation Corporation, Asset Management Arm</w:t>
            </w:r>
          </w:p>
        </w:tc>
        <w:tc>
          <w:tcPr>
            <w:tcW w:w="1332"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Company</w:t>
            </w:r>
          </w:p>
        </w:tc>
        <w:tc>
          <w:tcPr>
            <w:tcW w:w="1319"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
        </w:tc>
        <w:tc>
          <w:tcPr>
            <w:tcW w:w="1334"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183,432</w:t>
            </w:r>
          </w:p>
        </w:tc>
        <w:tc>
          <w:tcPr>
            <w:tcW w:w="1333"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NZ$0.82</w:t>
            </w:r>
          </w:p>
        </w:tc>
      </w:tr>
      <w:tr w:rsidR="00022C96" w:rsidRPr="007B7F29" w:rsidTr="009C7FF7">
        <w:trPr>
          <w:trHeight w:val="600"/>
          <w:tblCellSpacing w:w="15" w:type="dxa"/>
        </w:trPr>
        <w:tc>
          <w:tcPr>
            <w:tcW w:w="1535"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24 Aug 21</w:t>
            </w:r>
          </w:p>
        </w:tc>
        <w:tc>
          <w:tcPr>
            <w:tcW w:w="2866"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022C96">
              <w:rPr>
                <w:rFonts w:ascii="Segoe UI" w:eastAsia="Times New Roman" w:hAnsi="Segoe UI" w:cs="Segoe UI"/>
                <w:sz w:val="15"/>
                <w:szCs w:val="15"/>
                <w:lang w:eastAsia="en-NZ"/>
              </w:rPr>
              <w:t>SellNZ$3,730,105</w:t>
            </w:r>
          </w:p>
        </w:tc>
        <w:tc>
          <w:tcPr>
            <w:tcW w:w="2210"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Accident Compensation Corporation, Asset Management Arm</w:t>
            </w:r>
          </w:p>
        </w:tc>
        <w:tc>
          <w:tcPr>
            <w:tcW w:w="1332"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Company</w:t>
            </w:r>
          </w:p>
        </w:tc>
        <w:tc>
          <w:tcPr>
            <w:tcW w:w="1319"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
        </w:tc>
        <w:tc>
          <w:tcPr>
            <w:tcW w:w="1334"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4,487,099</w:t>
            </w:r>
          </w:p>
        </w:tc>
        <w:tc>
          <w:tcPr>
            <w:tcW w:w="1333"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NZ$0.83</w:t>
            </w:r>
          </w:p>
        </w:tc>
      </w:tr>
      <w:tr w:rsidR="007B7F29" w:rsidRPr="007B7F29" w:rsidTr="009C7FF7">
        <w:trPr>
          <w:trHeight w:val="600"/>
          <w:tblCellSpacing w:w="15" w:type="dxa"/>
        </w:trPr>
        <w:tc>
          <w:tcPr>
            <w:tcW w:w="1535"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03 Jun 21</w:t>
            </w:r>
          </w:p>
        </w:tc>
        <w:tc>
          <w:tcPr>
            <w:tcW w:w="2866"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022C96">
              <w:rPr>
                <w:rFonts w:ascii="Segoe UI" w:eastAsia="Times New Roman" w:hAnsi="Segoe UI" w:cs="Segoe UI"/>
                <w:sz w:val="15"/>
                <w:szCs w:val="15"/>
                <w:lang w:eastAsia="en-NZ"/>
              </w:rPr>
              <w:t>BuyNZ$1,136,473</w:t>
            </w:r>
          </w:p>
        </w:tc>
        <w:tc>
          <w:tcPr>
            <w:tcW w:w="2210"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Accident Compensation Corporation, Asset Management Arm</w:t>
            </w:r>
          </w:p>
        </w:tc>
        <w:tc>
          <w:tcPr>
            <w:tcW w:w="1332"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Company</w:t>
            </w:r>
          </w:p>
        </w:tc>
        <w:tc>
          <w:tcPr>
            <w:tcW w:w="1319"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
        </w:tc>
        <w:tc>
          <w:tcPr>
            <w:tcW w:w="1334"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2,516,182</w:t>
            </w:r>
          </w:p>
        </w:tc>
        <w:tc>
          <w:tcPr>
            <w:tcW w:w="1333"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NZ$0.45</w:t>
            </w:r>
          </w:p>
        </w:tc>
      </w:tr>
      <w:tr w:rsidR="00022C96" w:rsidRPr="007B7F29" w:rsidTr="009C7FF7">
        <w:trPr>
          <w:trHeight w:val="600"/>
          <w:tblCellSpacing w:w="15" w:type="dxa"/>
        </w:trPr>
        <w:tc>
          <w:tcPr>
            <w:tcW w:w="1535"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03 Jun 21</w:t>
            </w:r>
          </w:p>
        </w:tc>
        <w:tc>
          <w:tcPr>
            <w:tcW w:w="2866"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022C96">
              <w:rPr>
                <w:rFonts w:ascii="Segoe UI" w:eastAsia="Times New Roman" w:hAnsi="Segoe UI" w:cs="Segoe UI"/>
                <w:sz w:val="15"/>
                <w:szCs w:val="15"/>
                <w:lang w:eastAsia="en-NZ"/>
              </w:rPr>
              <w:t>SellNZ$3,196,270</w:t>
            </w:r>
          </w:p>
        </w:tc>
        <w:tc>
          <w:tcPr>
            <w:tcW w:w="2210"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Accident Compensation Corporation, Asset Management Arm</w:t>
            </w:r>
          </w:p>
        </w:tc>
        <w:tc>
          <w:tcPr>
            <w:tcW w:w="1332"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Company</w:t>
            </w:r>
          </w:p>
        </w:tc>
        <w:tc>
          <w:tcPr>
            <w:tcW w:w="1319"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rPr>
                <w:rFonts w:ascii="Segoe UI" w:eastAsia="Times New Roman" w:hAnsi="Segoe UI" w:cs="Segoe UI"/>
                <w:sz w:val="15"/>
                <w:szCs w:val="15"/>
                <w:lang w:eastAsia="en-NZ"/>
              </w:rPr>
            </w:pPr>
          </w:p>
        </w:tc>
        <w:tc>
          <w:tcPr>
            <w:tcW w:w="1334"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5,654,101</w:t>
            </w:r>
          </w:p>
        </w:tc>
        <w:tc>
          <w:tcPr>
            <w:tcW w:w="1333" w:type="dxa"/>
            <w:shd w:val="clear" w:color="auto" w:fill="auto"/>
            <w:tcMar>
              <w:top w:w="120" w:type="dxa"/>
              <w:left w:w="120" w:type="dxa"/>
              <w:bottom w:w="120" w:type="dxa"/>
              <w:right w:w="120" w:type="dxa"/>
            </w:tcMar>
            <w:hideMark/>
          </w:tcPr>
          <w:p w:rsidR="007B7F29" w:rsidRPr="007B7F29" w:rsidRDefault="007B7F29" w:rsidP="007B7F29">
            <w:pPr>
              <w:spacing w:after="0" w:line="240" w:lineRule="auto"/>
              <w:jc w:val="right"/>
              <w:rPr>
                <w:rFonts w:ascii="Segoe UI" w:eastAsia="Times New Roman" w:hAnsi="Segoe UI" w:cs="Segoe UI"/>
                <w:sz w:val="15"/>
                <w:szCs w:val="15"/>
                <w:lang w:eastAsia="en-NZ"/>
              </w:rPr>
            </w:pPr>
            <w:r w:rsidRPr="007B7F29">
              <w:rPr>
                <w:rFonts w:ascii="Segoe UI" w:eastAsia="Times New Roman" w:hAnsi="Segoe UI" w:cs="Segoe UI"/>
                <w:sz w:val="15"/>
                <w:szCs w:val="15"/>
                <w:lang w:eastAsia="en-NZ"/>
              </w:rPr>
              <w:t>NZ$0.57</w:t>
            </w:r>
          </w:p>
        </w:tc>
      </w:tr>
    </w:tbl>
    <w:p w:rsidR="009C7FF7" w:rsidRPr="009C7FF7" w:rsidRDefault="009C7FF7" w:rsidP="009C7FF7">
      <w:r w:rsidRPr="009C7FF7">
        <w:lastRenderedPageBreak/>
        <w:t>Top Shareholders</w:t>
      </w:r>
    </w:p>
    <w:p w:rsidR="009C7FF7" w:rsidRPr="009C7FF7" w:rsidRDefault="009C7FF7" w:rsidP="009C7FF7">
      <w:r w:rsidRPr="009C7FF7">
        <w:t>Top 16 shareholders own 47.49% of the company</w:t>
      </w:r>
    </w:p>
    <w:tbl>
      <w:tblPr>
        <w:tblW w:w="12169" w:type="dxa"/>
        <w:tblCellSpacing w:w="15" w:type="dxa"/>
        <w:tblCellMar>
          <w:top w:w="15" w:type="dxa"/>
          <w:left w:w="15" w:type="dxa"/>
          <w:bottom w:w="15" w:type="dxa"/>
          <w:right w:w="15" w:type="dxa"/>
        </w:tblCellMar>
        <w:tblLook w:val="04A0" w:firstRow="1" w:lastRow="0" w:firstColumn="1" w:lastColumn="0" w:noHBand="0" w:noVBand="1"/>
      </w:tblPr>
      <w:tblGrid>
        <w:gridCol w:w="1388"/>
        <w:gridCol w:w="4392"/>
        <w:gridCol w:w="1374"/>
        <w:gridCol w:w="1801"/>
        <w:gridCol w:w="1364"/>
        <w:gridCol w:w="1364"/>
        <w:gridCol w:w="486"/>
      </w:tblGrid>
      <w:tr w:rsidR="009C7FF7" w:rsidRPr="009C7FF7" w:rsidTr="009C7FF7">
        <w:trPr>
          <w:trHeight w:val="600"/>
          <w:tblHeader/>
          <w:tblCellSpacing w:w="15" w:type="dxa"/>
        </w:trPr>
        <w:tc>
          <w:tcPr>
            <w:tcW w:w="1349" w:type="dxa"/>
            <w:tcBorders>
              <w:top w:val="nil"/>
              <w:left w:val="nil"/>
              <w:bottom w:val="nil"/>
              <w:right w:val="nil"/>
            </w:tcBorders>
            <w:tcMar>
              <w:top w:w="120" w:type="dxa"/>
              <w:left w:w="120" w:type="dxa"/>
              <w:bottom w:w="120" w:type="dxa"/>
              <w:right w:w="120" w:type="dxa"/>
            </w:tcMar>
            <w:hideMark/>
          </w:tcPr>
          <w:p w:rsidR="009C7FF7" w:rsidRPr="009C7FF7" w:rsidRDefault="009C7FF7" w:rsidP="009C7FF7">
            <w:r w:rsidRPr="009C7FF7">
              <w:t>Ownership</w:t>
            </w:r>
          </w:p>
        </w:tc>
        <w:tc>
          <w:tcPr>
            <w:tcW w:w="4496" w:type="dxa"/>
            <w:tcBorders>
              <w:top w:val="nil"/>
              <w:left w:val="nil"/>
              <w:bottom w:val="nil"/>
              <w:right w:val="nil"/>
            </w:tcBorders>
            <w:tcMar>
              <w:top w:w="120" w:type="dxa"/>
              <w:left w:w="120" w:type="dxa"/>
              <w:bottom w:w="120" w:type="dxa"/>
              <w:right w:w="120" w:type="dxa"/>
            </w:tcMar>
            <w:hideMark/>
          </w:tcPr>
          <w:p w:rsidR="009C7FF7" w:rsidRPr="009C7FF7" w:rsidRDefault="009C7FF7" w:rsidP="009C7FF7">
            <w:r w:rsidRPr="009C7FF7">
              <w:t>Name</w:t>
            </w:r>
          </w:p>
        </w:tc>
        <w:tc>
          <w:tcPr>
            <w:tcW w:w="1349" w:type="dxa"/>
            <w:tcBorders>
              <w:top w:val="nil"/>
              <w:left w:val="nil"/>
              <w:bottom w:val="nil"/>
              <w:right w:val="nil"/>
            </w:tcBorders>
            <w:tcMar>
              <w:top w:w="120" w:type="dxa"/>
              <w:left w:w="120" w:type="dxa"/>
              <w:bottom w:w="120" w:type="dxa"/>
              <w:right w:w="120" w:type="dxa"/>
            </w:tcMar>
            <w:hideMark/>
          </w:tcPr>
          <w:p w:rsidR="009C7FF7" w:rsidRPr="009C7FF7" w:rsidRDefault="009C7FF7" w:rsidP="009C7FF7">
            <w:r w:rsidRPr="009C7FF7">
              <w:t>Shares</w:t>
            </w:r>
          </w:p>
        </w:tc>
        <w:tc>
          <w:tcPr>
            <w:tcW w:w="1798" w:type="dxa"/>
            <w:tcBorders>
              <w:top w:val="nil"/>
              <w:left w:val="nil"/>
              <w:bottom w:val="nil"/>
              <w:right w:val="nil"/>
            </w:tcBorders>
            <w:tcMar>
              <w:top w:w="120" w:type="dxa"/>
              <w:left w:w="120" w:type="dxa"/>
              <w:bottom w:w="120" w:type="dxa"/>
              <w:right w:w="120" w:type="dxa"/>
            </w:tcMar>
            <w:hideMark/>
          </w:tcPr>
          <w:p w:rsidR="009C7FF7" w:rsidRPr="009C7FF7" w:rsidRDefault="009C7FF7" w:rsidP="009C7FF7">
            <w:r w:rsidRPr="009C7FF7">
              <w:t>Current Value</w:t>
            </w:r>
          </w:p>
        </w:tc>
        <w:tc>
          <w:tcPr>
            <w:tcW w:w="1349" w:type="dxa"/>
            <w:tcBorders>
              <w:top w:val="nil"/>
              <w:left w:val="nil"/>
              <w:bottom w:val="nil"/>
              <w:right w:val="nil"/>
            </w:tcBorders>
            <w:tcMar>
              <w:top w:w="120" w:type="dxa"/>
              <w:left w:w="120" w:type="dxa"/>
              <w:bottom w:w="120" w:type="dxa"/>
              <w:right w:w="120" w:type="dxa"/>
            </w:tcMar>
            <w:hideMark/>
          </w:tcPr>
          <w:p w:rsidR="009C7FF7" w:rsidRPr="009C7FF7" w:rsidRDefault="009C7FF7" w:rsidP="009C7FF7">
            <w:r w:rsidRPr="009C7FF7">
              <w:t>Change %</w:t>
            </w:r>
          </w:p>
        </w:tc>
        <w:tc>
          <w:tcPr>
            <w:tcW w:w="1349" w:type="dxa"/>
            <w:tcBorders>
              <w:top w:val="nil"/>
              <w:left w:val="nil"/>
              <w:bottom w:val="nil"/>
              <w:right w:val="nil"/>
            </w:tcBorders>
            <w:tcMar>
              <w:top w:w="120" w:type="dxa"/>
              <w:left w:w="120" w:type="dxa"/>
              <w:bottom w:w="120" w:type="dxa"/>
              <w:right w:w="120" w:type="dxa"/>
            </w:tcMar>
            <w:hideMark/>
          </w:tcPr>
          <w:p w:rsidR="009C7FF7" w:rsidRPr="009C7FF7" w:rsidRDefault="009C7FF7" w:rsidP="009C7FF7">
            <w:r w:rsidRPr="009C7FF7">
              <w:t>Portfolio %</w:t>
            </w:r>
          </w:p>
        </w:tc>
        <w:tc>
          <w:tcPr>
            <w:tcW w:w="450" w:type="dxa"/>
            <w:tcBorders>
              <w:top w:val="nil"/>
              <w:left w:val="nil"/>
              <w:bottom w:val="nil"/>
              <w:right w:val="nil"/>
            </w:tcBorders>
            <w:tcMar>
              <w:top w:w="120" w:type="dxa"/>
              <w:left w:w="120" w:type="dxa"/>
              <w:bottom w:w="120" w:type="dxa"/>
              <w:right w:w="120" w:type="dxa"/>
            </w:tcMar>
            <w:hideMark/>
          </w:tcPr>
          <w:p w:rsidR="009C7FF7" w:rsidRPr="009C7FF7" w:rsidRDefault="009C7FF7" w:rsidP="009C7FF7"/>
        </w:tc>
      </w:tr>
      <w:tr w:rsidR="009C7FF7" w:rsidRPr="009C7FF7" w:rsidTr="009C7FF7">
        <w:trPr>
          <w:trHeight w:val="600"/>
          <w:tblCellSpacing w:w="15" w:type="dxa"/>
        </w:trPr>
        <w:tc>
          <w:tcPr>
            <w:tcW w:w="1349" w:type="dxa"/>
            <w:shd w:val="clear" w:color="auto" w:fill="auto"/>
            <w:tcMar>
              <w:top w:w="120" w:type="dxa"/>
              <w:left w:w="120" w:type="dxa"/>
              <w:bottom w:w="120" w:type="dxa"/>
              <w:right w:w="120" w:type="dxa"/>
            </w:tcMar>
            <w:hideMark/>
          </w:tcPr>
          <w:p w:rsidR="009C7FF7" w:rsidRPr="009C7FF7" w:rsidRDefault="009C7FF7" w:rsidP="009C7FF7">
            <w:r w:rsidRPr="009C7FF7">
              <w:t>14.47%</w:t>
            </w:r>
          </w:p>
        </w:tc>
        <w:tc>
          <w:tcPr>
            <w:tcW w:w="4496" w:type="dxa"/>
            <w:shd w:val="clear" w:color="auto" w:fill="auto"/>
            <w:tcMar>
              <w:top w:w="120" w:type="dxa"/>
              <w:left w:w="120" w:type="dxa"/>
              <w:bottom w:w="120" w:type="dxa"/>
              <w:right w:w="120" w:type="dxa"/>
            </w:tcMar>
            <w:hideMark/>
          </w:tcPr>
          <w:p w:rsidR="009C7FF7" w:rsidRPr="009C7FF7" w:rsidRDefault="009C7FF7" w:rsidP="009C7FF7">
            <w:r w:rsidRPr="009C7FF7">
              <w:t>Exxon Mobil Corporation</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53,760,000</w:t>
            </w:r>
          </w:p>
        </w:tc>
        <w:tc>
          <w:tcPr>
            <w:tcW w:w="1798" w:type="dxa"/>
            <w:shd w:val="clear" w:color="auto" w:fill="auto"/>
            <w:tcMar>
              <w:top w:w="120" w:type="dxa"/>
              <w:left w:w="120" w:type="dxa"/>
              <w:bottom w:w="120" w:type="dxa"/>
              <w:right w:w="120" w:type="dxa"/>
            </w:tcMar>
            <w:hideMark/>
          </w:tcPr>
          <w:p w:rsidR="009C7FF7" w:rsidRPr="009C7FF7" w:rsidRDefault="009C7FF7" w:rsidP="009C7FF7">
            <w:r w:rsidRPr="009C7FF7">
              <w:t>NZ$58.1m</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0%</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no data</w:t>
            </w:r>
          </w:p>
        </w:tc>
        <w:tc>
          <w:tcPr>
            <w:tcW w:w="450" w:type="dxa"/>
            <w:shd w:val="clear" w:color="auto" w:fill="auto"/>
            <w:tcMar>
              <w:top w:w="120" w:type="dxa"/>
              <w:left w:w="120" w:type="dxa"/>
              <w:bottom w:w="120" w:type="dxa"/>
              <w:right w:w="120" w:type="dxa"/>
            </w:tcMar>
            <w:hideMark/>
          </w:tcPr>
          <w:p w:rsidR="009C7FF7" w:rsidRPr="009C7FF7" w:rsidRDefault="009C7FF7" w:rsidP="009C7FF7"/>
        </w:tc>
      </w:tr>
      <w:tr w:rsidR="009C7FF7" w:rsidRPr="009C7FF7" w:rsidTr="009C7FF7">
        <w:trPr>
          <w:trHeight w:val="600"/>
          <w:tblCellSpacing w:w="15" w:type="dxa"/>
        </w:trPr>
        <w:tc>
          <w:tcPr>
            <w:tcW w:w="1349" w:type="dxa"/>
            <w:tcMar>
              <w:top w:w="120" w:type="dxa"/>
              <w:left w:w="120" w:type="dxa"/>
              <w:bottom w:w="120" w:type="dxa"/>
              <w:right w:w="120" w:type="dxa"/>
            </w:tcMar>
            <w:hideMark/>
          </w:tcPr>
          <w:p w:rsidR="009C7FF7" w:rsidRPr="009C7FF7" w:rsidRDefault="009C7FF7" w:rsidP="009C7FF7">
            <w:r w:rsidRPr="009C7FF7">
              <w:t>12.92%</w:t>
            </w:r>
          </w:p>
        </w:tc>
        <w:tc>
          <w:tcPr>
            <w:tcW w:w="4496" w:type="dxa"/>
            <w:tcMar>
              <w:top w:w="120" w:type="dxa"/>
              <w:left w:w="120" w:type="dxa"/>
              <w:bottom w:w="120" w:type="dxa"/>
              <w:right w:w="120" w:type="dxa"/>
            </w:tcMar>
            <w:hideMark/>
          </w:tcPr>
          <w:p w:rsidR="009C7FF7" w:rsidRPr="009C7FF7" w:rsidRDefault="009C7FF7" w:rsidP="009C7FF7">
            <w:r w:rsidRPr="009C7FF7">
              <w:t>Z Energy Limited</w:t>
            </w:r>
          </w:p>
        </w:tc>
        <w:tc>
          <w:tcPr>
            <w:tcW w:w="1349" w:type="dxa"/>
            <w:tcMar>
              <w:top w:w="120" w:type="dxa"/>
              <w:left w:w="120" w:type="dxa"/>
              <w:bottom w:w="120" w:type="dxa"/>
              <w:right w:w="120" w:type="dxa"/>
            </w:tcMar>
            <w:hideMark/>
          </w:tcPr>
          <w:p w:rsidR="009C7FF7" w:rsidRPr="009C7FF7" w:rsidRDefault="009C7FF7" w:rsidP="009C7FF7">
            <w:r w:rsidRPr="009C7FF7">
              <w:t>47,999,980</w:t>
            </w:r>
          </w:p>
        </w:tc>
        <w:tc>
          <w:tcPr>
            <w:tcW w:w="1798" w:type="dxa"/>
            <w:tcMar>
              <w:top w:w="120" w:type="dxa"/>
              <w:left w:w="120" w:type="dxa"/>
              <w:bottom w:w="120" w:type="dxa"/>
              <w:right w:w="120" w:type="dxa"/>
            </w:tcMar>
            <w:hideMark/>
          </w:tcPr>
          <w:p w:rsidR="009C7FF7" w:rsidRPr="009C7FF7" w:rsidRDefault="009C7FF7" w:rsidP="009C7FF7">
            <w:r w:rsidRPr="009C7FF7">
              <w:t>NZ$51.8m</w:t>
            </w:r>
          </w:p>
        </w:tc>
        <w:tc>
          <w:tcPr>
            <w:tcW w:w="1349" w:type="dxa"/>
            <w:tcMar>
              <w:top w:w="120" w:type="dxa"/>
              <w:left w:w="120" w:type="dxa"/>
              <w:bottom w:w="120" w:type="dxa"/>
              <w:right w:w="120" w:type="dxa"/>
            </w:tcMar>
            <w:hideMark/>
          </w:tcPr>
          <w:p w:rsidR="009C7FF7" w:rsidRPr="009C7FF7" w:rsidRDefault="009C7FF7" w:rsidP="009C7FF7">
            <w:r w:rsidRPr="009C7FF7">
              <w:t>0%</w:t>
            </w:r>
          </w:p>
        </w:tc>
        <w:tc>
          <w:tcPr>
            <w:tcW w:w="1349" w:type="dxa"/>
            <w:tcMar>
              <w:top w:w="120" w:type="dxa"/>
              <w:left w:w="120" w:type="dxa"/>
              <w:bottom w:w="120" w:type="dxa"/>
              <w:right w:w="120" w:type="dxa"/>
            </w:tcMar>
            <w:hideMark/>
          </w:tcPr>
          <w:p w:rsidR="009C7FF7" w:rsidRPr="009C7FF7" w:rsidRDefault="009C7FF7" w:rsidP="009C7FF7">
            <w:r w:rsidRPr="009C7FF7">
              <w:t>no data</w:t>
            </w:r>
          </w:p>
        </w:tc>
        <w:tc>
          <w:tcPr>
            <w:tcW w:w="450" w:type="dxa"/>
            <w:tcMar>
              <w:top w:w="120" w:type="dxa"/>
              <w:left w:w="120" w:type="dxa"/>
              <w:bottom w:w="120" w:type="dxa"/>
              <w:right w:w="120" w:type="dxa"/>
            </w:tcMar>
            <w:hideMark/>
          </w:tcPr>
          <w:p w:rsidR="009C7FF7" w:rsidRPr="009C7FF7" w:rsidRDefault="009C7FF7" w:rsidP="009C7FF7"/>
        </w:tc>
      </w:tr>
      <w:tr w:rsidR="009C7FF7" w:rsidRPr="009C7FF7" w:rsidTr="009C7FF7">
        <w:trPr>
          <w:trHeight w:val="600"/>
          <w:tblCellSpacing w:w="15" w:type="dxa"/>
        </w:trPr>
        <w:tc>
          <w:tcPr>
            <w:tcW w:w="1349" w:type="dxa"/>
            <w:shd w:val="clear" w:color="auto" w:fill="auto"/>
            <w:tcMar>
              <w:top w:w="120" w:type="dxa"/>
              <w:left w:w="120" w:type="dxa"/>
              <w:bottom w:w="120" w:type="dxa"/>
              <w:right w:w="120" w:type="dxa"/>
            </w:tcMar>
            <w:hideMark/>
          </w:tcPr>
          <w:p w:rsidR="009C7FF7" w:rsidRPr="009C7FF7" w:rsidRDefault="009C7FF7" w:rsidP="009C7FF7">
            <w:r w:rsidRPr="009C7FF7">
              <w:t>8.5%</w:t>
            </w:r>
          </w:p>
        </w:tc>
        <w:tc>
          <w:tcPr>
            <w:tcW w:w="4496" w:type="dxa"/>
            <w:shd w:val="clear" w:color="auto" w:fill="auto"/>
            <w:tcMar>
              <w:top w:w="120" w:type="dxa"/>
              <w:left w:w="120" w:type="dxa"/>
              <w:bottom w:w="120" w:type="dxa"/>
              <w:right w:w="120" w:type="dxa"/>
            </w:tcMar>
            <w:hideMark/>
          </w:tcPr>
          <w:p w:rsidR="009C7FF7" w:rsidRPr="009C7FF7" w:rsidRDefault="009C7FF7" w:rsidP="009C7FF7">
            <w:r w:rsidRPr="009C7FF7">
              <w:t xml:space="preserve">BP </w:t>
            </w:r>
            <w:proofErr w:type="spellStart"/>
            <w:r w:rsidRPr="009C7FF7">
              <w:t>p.l.c</w:t>
            </w:r>
            <w:proofErr w:type="spellEnd"/>
            <w:r w:rsidRPr="009C7FF7">
              <w:t>.</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31,572,640</w:t>
            </w:r>
          </w:p>
        </w:tc>
        <w:tc>
          <w:tcPr>
            <w:tcW w:w="1798" w:type="dxa"/>
            <w:shd w:val="clear" w:color="auto" w:fill="auto"/>
            <w:tcMar>
              <w:top w:w="120" w:type="dxa"/>
              <w:left w:w="120" w:type="dxa"/>
              <w:bottom w:w="120" w:type="dxa"/>
              <w:right w:w="120" w:type="dxa"/>
            </w:tcMar>
            <w:hideMark/>
          </w:tcPr>
          <w:p w:rsidR="009C7FF7" w:rsidRPr="009C7FF7" w:rsidRDefault="009C7FF7" w:rsidP="009C7FF7">
            <w:r w:rsidRPr="009C7FF7">
              <w:t>NZ$34.1m</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0%</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no data</w:t>
            </w:r>
          </w:p>
        </w:tc>
        <w:tc>
          <w:tcPr>
            <w:tcW w:w="450" w:type="dxa"/>
            <w:shd w:val="clear" w:color="auto" w:fill="auto"/>
            <w:tcMar>
              <w:top w:w="120" w:type="dxa"/>
              <w:left w:w="120" w:type="dxa"/>
              <w:bottom w:w="120" w:type="dxa"/>
              <w:right w:w="120" w:type="dxa"/>
            </w:tcMar>
            <w:hideMark/>
          </w:tcPr>
          <w:p w:rsidR="009C7FF7" w:rsidRPr="009C7FF7" w:rsidRDefault="009C7FF7" w:rsidP="009C7FF7"/>
        </w:tc>
      </w:tr>
      <w:tr w:rsidR="009C7FF7" w:rsidRPr="009C7FF7" w:rsidTr="009C7FF7">
        <w:trPr>
          <w:trHeight w:val="600"/>
          <w:tblCellSpacing w:w="15" w:type="dxa"/>
        </w:trPr>
        <w:tc>
          <w:tcPr>
            <w:tcW w:w="1349" w:type="dxa"/>
            <w:tcMar>
              <w:top w:w="120" w:type="dxa"/>
              <w:left w:w="120" w:type="dxa"/>
              <w:bottom w:w="120" w:type="dxa"/>
              <w:right w:w="120" w:type="dxa"/>
            </w:tcMar>
            <w:hideMark/>
          </w:tcPr>
          <w:p w:rsidR="009C7FF7" w:rsidRPr="009C7FF7" w:rsidRDefault="009C7FF7" w:rsidP="009C7FF7">
            <w:r w:rsidRPr="009C7FF7">
              <w:t>6.63%</w:t>
            </w:r>
          </w:p>
        </w:tc>
        <w:tc>
          <w:tcPr>
            <w:tcW w:w="4496" w:type="dxa"/>
            <w:tcMar>
              <w:top w:w="120" w:type="dxa"/>
              <w:left w:w="120" w:type="dxa"/>
              <w:bottom w:w="120" w:type="dxa"/>
              <w:right w:w="120" w:type="dxa"/>
            </w:tcMar>
            <w:hideMark/>
          </w:tcPr>
          <w:p w:rsidR="009C7FF7" w:rsidRPr="009C7FF7" w:rsidRDefault="009C7FF7" w:rsidP="009C7FF7">
            <w:r w:rsidRPr="009C7FF7">
              <w:t>Accident Compensation Corporation, Asset Management Arm</w:t>
            </w:r>
          </w:p>
        </w:tc>
        <w:tc>
          <w:tcPr>
            <w:tcW w:w="1349" w:type="dxa"/>
            <w:tcMar>
              <w:top w:w="120" w:type="dxa"/>
              <w:left w:w="120" w:type="dxa"/>
              <w:bottom w:w="120" w:type="dxa"/>
              <w:right w:w="120" w:type="dxa"/>
            </w:tcMar>
            <w:hideMark/>
          </w:tcPr>
          <w:p w:rsidR="009C7FF7" w:rsidRPr="009C7FF7" w:rsidRDefault="009C7FF7" w:rsidP="009C7FF7">
            <w:r w:rsidRPr="009C7FF7">
              <w:t>24,635,653</w:t>
            </w:r>
          </w:p>
        </w:tc>
        <w:tc>
          <w:tcPr>
            <w:tcW w:w="1798" w:type="dxa"/>
            <w:tcMar>
              <w:top w:w="120" w:type="dxa"/>
              <w:left w:w="120" w:type="dxa"/>
              <w:bottom w:w="120" w:type="dxa"/>
              <w:right w:w="120" w:type="dxa"/>
            </w:tcMar>
            <w:hideMark/>
          </w:tcPr>
          <w:p w:rsidR="009C7FF7" w:rsidRPr="009C7FF7" w:rsidRDefault="009C7FF7" w:rsidP="009C7FF7">
            <w:r w:rsidRPr="009C7FF7">
              <w:t>NZ$26.6m</w:t>
            </w:r>
          </w:p>
        </w:tc>
        <w:tc>
          <w:tcPr>
            <w:tcW w:w="1349" w:type="dxa"/>
            <w:tcMar>
              <w:top w:w="120" w:type="dxa"/>
              <w:left w:w="120" w:type="dxa"/>
              <w:bottom w:w="120" w:type="dxa"/>
              <w:right w:w="120" w:type="dxa"/>
            </w:tcMar>
            <w:hideMark/>
          </w:tcPr>
          <w:p w:rsidR="009C7FF7" w:rsidRPr="009C7FF7" w:rsidRDefault="009C7FF7" w:rsidP="009C7FF7">
            <w:r w:rsidRPr="009C7FF7">
              <w:t>-20.99%</w:t>
            </w:r>
          </w:p>
        </w:tc>
        <w:tc>
          <w:tcPr>
            <w:tcW w:w="1349" w:type="dxa"/>
            <w:tcMar>
              <w:top w:w="120" w:type="dxa"/>
              <w:left w:w="120" w:type="dxa"/>
              <w:bottom w:w="120" w:type="dxa"/>
              <w:right w:w="120" w:type="dxa"/>
            </w:tcMar>
            <w:hideMark/>
          </w:tcPr>
          <w:p w:rsidR="009C7FF7" w:rsidRPr="009C7FF7" w:rsidRDefault="009C7FF7" w:rsidP="009C7FF7">
            <w:r w:rsidRPr="009C7FF7">
              <w:t>0.55%</w:t>
            </w:r>
          </w:p>
        </w:tc>
        <w:tc>
          <w:tcPr>
            <w:tcW w:w="450" w:type="dxa"/>
            <w:tcMar>
              <w:top w:w="120" w:type="dxa"/>
              <w:left w:w="120" w:type="dxa"/>
              <w:bottom w:w="120" w:type="dxa"/>
              <w:right w:w="120" w:type="dxa"/>
            </w:tcMar>
            <w:hideMark/>
          </w:tcPr>
          <w:p w:rsidR="009C7FF7" w:rsidRPr="009C7FF7" w:rsidRDefault="009C7FF7" w:rsidP="009C7FF7"/>
        </w:tc>
      </w:tr>
      <w:tr w:rsidR="009C7FF7" w:rsidRPr="009C7FF7" w:rsidTr="009C7FF7">
        <w:trPr>
          <w:trHeight w:val="600"/>
          <w:tblCellSpacing w:w="15" w:type="dxa"/>
        </w:trPr>
        <w:tc>
          <w:tcPr>
            <w:tcW w:w="1349" w:type="dxa"/>
            <w:shd w:val="clear" w:color="auto" w:fill="auto"/>
            <w:tcMar>
              <w:top w:w="120" w:type="dxa"/>
              <w:left w:w="120" w:type="dxa"/>
              <w:bottom w:w="120" w:type="dxa"/>
              <w:right w:w="120" w:type="dxa"/>
            </w:tcMar>
            <w:hideMark/>
          </w:tcPr>
          <w:p w:rsidR="009C7FF7" w:rsidRPr="009C7FF7" w:rsidRDefault="009C7FF7" w:rsidP="009C7FF7">
            <w:r w:rsidRPr="009C7FF7">
              <w:t>1.62%</w:t>
            </w:r>
          </w:p>
        </w:tc>
        <w:tc>
          <w:tcPr>
            <w:tcW w:w="4496" w:type="dxa"/>
            <w:shd w:val="clear" w:color="auto" w:fill="auto"/>
            <w:tcMar>
              <w:top w:w="120" w:type="dxa"/>
              <w:left w:w="120" w:type="dxa"/>
              <w:bottom w:w="120" w:type="dxa"/>
              <w:right w:w="120" w:type="dxa"/>
            </w:tcMar>
            <w:hideMark/>
          </w:tcPr>
          <w:p w:rsidR="009C7FF7" w:rsidRPr="009C7FF7" w:rsidRDefault="009C7FF7" w:rsidP="009C7FF7">
            <w:r w:rsidRPr="009C7FF7">
              <w:t>Leveraged Equities Finance Limited, Asset Management Arm</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6,028,186</w:t>
            </w:r>
          </w:p>
        </w:tc>
        <w:tc>
          <w:tcPr>
            <w:tcW w:w="1798" w:type="dxa"/>
            <w:shd w:val="clear" w:color="auto" w:fill="auto"/>
            <w:tcMar>
              <w:top w:w="120" w:type="dxa"/>
              <w:left w:w="120" w:type="dxa"/>
              <w:bottom w:w="120" w:type="dxa"/>
              <w:right w:w="120" w:type="dxa"/>
            </w:tcMar>
            <w:hideMark/>
          </w:tcPr>
          <w:p w:rsidR="009C7FF7" w:rsidRPr="009C7FF7" w:rsidRDefault="009C7FF7" w:rsidP="009C7FF7">
            <w:r w:rsidRPr="009C7FF7">
              <w:t>NZ$6.5m</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0%</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12.27%</w:t>
            </w:r>
          </w:p>
        </w:tc>
        <w:tc>
          <w:tcPr>
            <w:tcW w:w="450" w:type="dxa"/>
            <w:shd w:val="clear" w:color="auto" w:fill="auto"/>
            <w:tcMar>
              <w:top w:w="120" w:type="dxa"/>
              <w:left w:w="120" w:type="dxa"/>
              <w:bottom w:w="120" w:type="dxa"/>
              <w:right w:w="120" w:type="dxa"/>
            </w:tcMar>
            <w:hideMark/>
          </w:tcPr>
          <w:p w:rsidR="009C7FF7" w:rsidRPr="009C7FF7" w:rsidRDefault="009C7FF7" w:rsidP="009C7FF7"/>
        </w:tc>
      </w:tr>
      <w:tr w:rsidR="009C7FF7" w:rsidRPr="009C7FF7" w:rsidTr="009C7FF7">
        <w:trPr>
          <w:trHeight w:val="600"/>
          <w:tblCellSpacing w:w="15" w:type="dxa"/>
        </w:trPr>
        <w:tc>
          <w:tcPr>
            <w:tcW w:w="1349" w:type="dxa"/>
            <w:tcMar>
              <w:top w:w="120" w:type="dxa"/>
              <w:left w:w="120" w:type="dxa"/>
              <w:bottom w:w="120" w:type="dxa"/>
              <w:right w:w="120" w:type="dxa"/>
            </w:tcMar>
            <w:hideMark/>
          </w:tcPr>
          <w:p w:rsidR="009C7FF7" w:rsidRPr="009C7FF7" w:rsidRDefault="009C7FF7" w:rsidP="009C7FF7">
            <w:r w:rsidRPr="009C7FF7">
              <w:t>1.24%</w:t>
            </w:r>
          </w:p>
        </w:tc>
        <w:tc>
          <w:tcPr>
            <w:tcW w:w="4496" w:type="dxa"/>
            <w:tcMar>
              <w:top w:w="120" w:type="dxa"/>
              <w:left w:w="120" w:type="dxa"/>
              <w:bottom w:w="120" w:type="dxa"/>
              <w:right w:w="120" w:type="dxa"/>
            </w:tcMar>
            <w:hideMark/>
          </w:tcPr>
          <w:p w:rsidR="009C7FF7" w:rsidRPr="009C7FF7" w:rsidRDefault="009C7FF7" w:rsidP="009C7FF7">
            <w:r w:rsidRPr="009C7FF7">
              <w:t>UBS Asset Management</w:t>
            </w:r>
          </w:p>
        </w:tc>
        <w:tc>
          <w:tcPr>
            <w:tcW w:w="1349" w:type="dxa"/>
            <w:tcMar>
              <w:top w:w="120" w:type="dxa"/>
              <w:left w:w="120" w:type="dxa"/>
              <w:bottom w:w="120" w:type="dxa"/>
              <w:right w:w="120" w:type="dxa"/>
            </w:tcMar>
            <w:hideMark/>
          </w:tcPr>
          <w:p w:rsidR="009C7FF7" w:rsidRPr="009C7FF7" w:rsidRDefault="009C7FF7" w:rsidP="009C7FF7">
            <w:r w:rsidRPr="009C7FF7">
              <w:t>4,601,641</w:t>
            </w:r>
          </w:p>
        </w:tc>
        <w:tc>
          <w:tcPr>
            <w:tcW w:w="1798" w:type="dxa"/>
            <w:tcMar>
              <w:top w:w="120" w:type="dxa"/>
              <w:left w:w="120" w:type="dxa"/>
              <w:bottom w:w="120" w:type="dxa"/>
              <w:right w:w="120" w:type="dxa"/>
            </w:tcMar>
            <w:hideMark/>
          </w:tcPr>
          <w:p w:rsidR="009C7FF7" w:rsidRPr="009C7FF7" w:rsidRDefault="009C7FF7" w:rsidP="009C7FF7">
            <w:r w:rsidRPr="009C7FF7">
              <w:t>NZ$5.0m</w:t>
            </w:r>
          </w:p>
        </w:tc>
        <w:tc>
          <w:tcPr>
            <w:tcW w:w="1349" w:type="dxa"/>
            <w:tcMar>
              <w:top w:w="120" w:type="dxa"/>
              <w:left w:w="120" w:type="dxa"/>
              <w:bottom w:w="120" w:type="dxa"/>
              <w:right w:w="120" w:type="dxa"/>
            </w:tcMar>
            <w:hideMark/>
          </w:tcPr>
          <w:p w:rsidR="009C7FF7" w:rsidRPr="009C7FF7" w:rsidRDefault="009C7FF7" w:rsidP="009C7FF7">
            <w:r w:rsidRPr="009C7FF7">
              <w:t>0%</w:t>
            </w:r>
          </w:p>
        </w:tc>
        <w:tc>
          <w:tcPr>
            <w:tcW w:w="1349" w:type="dxa"/>
            <w:tcMar>
              <w:top w:w="120" w:type="dxa"/>
              <w:left w:w="120" w:type="dxa"/>
              <w:bottom w:w="120" w:type="dxa"/>
              <w:right w:w="120" w:type="dxa"/>
            </w:tcMar>
            <w:hideMark/>
          </w:tcPr>
          <w:p w:rsidR="009C7FF7" w:rsidRPr="009C7FF7" w:rsidRDefault="009C7FF7" w:rsidP="009C7FF7">
            <w:r w:rsidRPr="009C7FF7">
              <w:t>no data</w:t>
            </w:r>
          </w:p>
        </w:tc>
        <w:tc>
          <w:tcPr>
            <w:tcW w:w="450" w:type="dxa"/>
            <w:tcMar>
              <w:top w:w="120" w:type="dxa"/>
              <w:left w:w="120" w:type="dxa"/>
              <w:bottom w:w="120" w:type="dxa"/>
              <w:right w:w="120" w:type="dxa"/>
            </w:tcMar>
            <w:hideMark/>
          </w:tcPr>
          <w:p w:rsidR="009C7FF7" w:rsidRPr="009C7FF7" w:rsidRDefault="009C7FF7" w:rsidP="009C7FF7"/>
        </w:tc>
      </w:tr>
      <w:tr w:rsidR="009C7FF7" w:rsidRPr="009C7FF7" w:rsidTr="009C7FF7">
        <w:trPr>
          <w:trHeight w:val="600"/>
          <w:tblCellSpacing w:w="15" w:type="dxa"/>
        </w:trPr>
        <w:tc>
          <w:tcPr>
            <w:tcW w:w="1349" w:type="dxa"/>
            <w:shd w:val="clear" w:color="auto" w:fill="auto"/>
            <w:tcMar>
              <w:top w:w="120" w:type="dxa"/>
              <w:left w:w="120" w:type="dxa"/>
              <w:bottom w:w="120" w:type="dxa"/>
              <w:right w:w="120" w:type="dxa"/>
            </w:tcMar>
            <w:hideMark/>
          </w:tcPr>
          <w:p w:rsidR="009C7FF7" w:rsidRPr="009C7FF7" w:rsidRDefault="009C7FF7" w:rsidP="009C7FF7">
            <w:r w:rsidRPr="009C7FF7">
              <w:t>0.99%</w:t>
            </w:r>
          </w:p>
        </w:tc>
        <w:tc>
          <w:tcPr>
            <w:tcW w:w="4496" w:type="dxa"/>
            <w:shd w:val="clear" w:color="auto" w:fill="auto"/>
            <w:tcMar>
              <w:top w:w="120" w:type="dxa"/>
              <w:left w:w="120" w:type="dxa"/>
              <w:bottom w:w="120" w:type="dxa"/>
              <w:right w:w="120" w:type="dxa"/>
            </w:tcMar>
            <w:hideMark/>
          </w:tcPr>
          <w:p w:rsidR="009C7FF7" w:rsidRPr="009C7FF7" w:rsidRDefault="009C7FF7" w:rsidP="009C7FF7">
            <w:r w:rsidRPr="009C7FF7">
              <w:t>Dimensional Fund Advisors LP</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3,662,308</w:t>
            </w:r>
          </w:p>
        </w:tc>
        <w:tc>
          <w:tcPr>
            <w:tcW w:w="1798" w:type="dxa"/>
            <w:shd w:val="clear" w:color="auto" w:fill="auto"/>
            <w:tcMar>
              <w:top w:w="120" w:type="dxa"/>
              <w:left w:w="120" w:type="dxa"/>
              <w:bottom w:w="120" w:type="dxa"/>
              <w:right w:w="120" w:type="dxa"/>
            </w:tcMar>
            <w:hideMark/>
          </w:tcPr>
          <w:p w:rsidR="009C7FF7" w:rsidRPr="009C7FF7" w:rsidRDefault="009C7FF7" w:rsidP="009C7FF7">
            <w:r w:rsidRPr="009C7FF7">
              <w:t>NZ$4.0m</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2.72%</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no data</w:t>
            </w:r>
          </w:p>
        </w:tc>
        <w:tc>
          <w:tcPr>
            <w:tcW w:w="450" w:type="dxa"/>
            <w:shd w:val="clear" w:color="auto" w:fill="auto"/>
            <w:tcMar>
              <w:top w:w="120" w:type="dxa"/>
              <w:left w:w="120" w:type="dxa"/>
              <w:bottom w:w="120" w:type="dxa"/>
              <w:right w:w="120" w:type="dxa"/>
            </w:tcMar>
            <w:hideMark/>
          </w:tcPr>
          <w:p w:rsidR="009C7FF7" w:rsidRPr="009C7FF7" w:rsidRDefault="009C7FF7" w:rsidP="009C7FF7"/>
        </w:tc>
      </w:tr>
      <w:tr w:rsidR="009C7FF7" w:rsidRPr="009C7FF7" w:rsidTr="009C7FF7">
        <w:trPr>
          <w:trHeight w:val="600"/>
          <w:tblCellSpacing w:w="15" w:type="dxa"/>
        </w:trPr>
        <w:tc>
          <w:tcPr>
            <w:tcW w:w="1349" w:type="dxa"/>
            <w:tcMar>
              <w:top w:w="120" w:type="dxa"/>
              <w:left w:w="120" w:type="dxa"/>
              <w:bottom w:w="120" w:type="dxa"/>
              <w:right w:w="120" w:type="dxa"/>
            </w:tcMar>
            <w:hideMark/>
          </w:tcPr>
          <w:p w:rsidR="009C7FF7" w:rsidRPr="009C7FF7" w:rsidRDefault="009C7FF7" w:rsidP="009C7FF7">
            <w:r w:rsidRPr="009C7FF7">
              <w:t>0.59%</w:t>
            </w:r>
          </w:p>
        </w:tc>
        <w:tc>
          <w:tcPr>
            <w:tcW w:w="4496" w:type="dxa"/>
            <w:tcMar>
              <w:top w:w="120" w:type="dxa"/>
              <w:left w:w="120" w:type="dxa"/>
              <w:bottom w:w="120" w:type="dxa"/>
              <w:right w:w="120" w:type="dxa"/>
            </w:tcMar>
            <w:hideMark/>
          </w:tcPr>
          <w:p w:rsidR="009C7FF7" w:rsidRPr="009C7FF7" w:rsidRDefault="009C7FF7" w:rsidP="009C7FF7">
            <w:r w:rsidRPr="009C7FF7">
              <w:t>Wellington Management Group LLP</w:t>
            </w:r>
          </w:p>
        </w:tc>
        <w:tc>
          <w:tcPr>
            <w:tcW w:w="1349" w:type="dxa"/>
            <w:tcMar>
              <w:top w:w="120" w:type="dxa"/>
              <w:left w:w="120" w:type="dxa"/>
              <w:bottom w:w="120" w:type="dxa"/>
              <w:right w:w="120" w:type="dxa"/>
            </w:tcMar>
            <w:hideMark/>
          </w:tcPr>
          <w:p w:rsidR="009C7FF7" w:rsidRPr="009C7FF7" w:rsidRDefault="009C7FF7" w:rsidP="009C7FF7">
            <w:r w:rsidRPr="009C7FF7">
              <w:t>2,187,930</w:t>
            </w:r>
          </w:p>
        </w:tc>
        <w:tc>
          <w:tcPr>
            <w:tcW w:w="1798" w:type="dxa"/>
            <w:tcMar>
              <w:top w:w="120" w:type="dxa"/>
              <w:left w:w="120" w:type="dxa"/>
              <w:bottom w:w="120" w:type="dxa"/>
              <w:right w:w="120" w:type="dxa"/>
            </w:tcMar>
            <w:hideMark/>
          </w:tcPr>
          <w:p w:rsidR="009C7FF7" w:rsidRPr="009C7FF7" w:rsidRDefault="009C7FF7" w:rsidP="009C7FF7">
            <w:r w:rsidRPr="009C7FF7">
              <w:t>NZ$2.4m</w:t>
            </w:r>
          </w:p>
        </w:tc>
        <w:tc>
          <w:tcPr>
            <w:tcW w:w="1349" w:type="dxa"/>
            <w:tcMar>
              <w:top w:w="120" w:type="dxa"/>
              <w:left w:w="120" w:type="dxa"/>
              <w:bottom w:w="120" w:type="dxa"/>
              <w:right w:w="120" w:type="dxa"/>
            </w:tcMar>
            <w:hideMark/>
          </w:tcPr>
          <w:p w:rsidR="009C7FF7" w:rsidRPr="009C7FF7" w:rsidRDefault="009C7FF7" w:rsidP="009C7FF7">
            <w:r w:rsidRPr="009C7FF7">
              <w:t>0%</w:t>
            </w:r>
          </w:p>
        </w:tc>
        <w:tc>
          <w:tcPr>
            <w:tcW w:w="1349" w:type="dxa"/>
            <w:tcMar>
              <w:top w:w="120" w:type="dxa"/>
              <w:left w:w="120" w:type="dxa"/>
              <w:bottom w:w="120" w:type="dxa"/>
              <w:right w:w="120" w:type="dxa"/>
            </w:tcMar>
            <w:hideMark/>
          </w:tcPr>
          <w:p w:rsidR="009C7FF7" w:rsidRPr="009C7FF7" w:rsidRDefault="009C7FF7" w:rsidP="009C7FF7">
            <w:r w:rsidRPr="009C7FF7">
              <w:t>no data</w:t>
            </w:r>
          </w:p>
        </w:tc>
        <w:tc>
          <w:tcPr>
            <w:tcW w:w="450" w:type="dxa"/>
            <w:tcMar>
              <w:top w:w="120" w:type="dxa"/>
              <w:left w:w="120" w:type="dxa"/>
              <w:bottom w:w="120" w:type="dxa"/>
              <w:right w:w="120" w:type="dxa"/>
            </w:tcMar>
            <w:hideMark/>
          </w:tcPr>
          <w:p w:rsidR="009C7FF7" w:rsidRPr="009C7FF7" w:rsidRDefault="009C7FF7" w:rsidP="009C7FF7"/>
        </w:tc>
      </w:tr>
      <w:tr w:rsidR="009C7FF7" w:rsidRPr="009C7FF7" w:rsidTr="009C7FF7">
        <w:trPr>
          <w:trHeight w:val="600"/>
          <w:tblCellSpacing w:w="15" w:type="dxa"/>
        </w:trPr>
        <w:tc>
          <w:tcPr>
            <w:tcW w:w="1349" w:type="dxa"/>
            <w:shd w:val="clear" w:color="auto" w:fill="auto"/>
            <w:tcMar>
              <w:top w:w="120" w:type="dxa"/>
              <w:left w:w="120" w:type="dxa"/>
              <w:bottom w:w="120" w:type="dxa"/>
              <w:right w:w="120" w:type="dxa"/>
            </w:tcMar>
            <w:hideMark/>
          </w:tcPr>
          <w:p w:rsidR="009C7FF7" w:rsidRPr="009C7FF7" w:rsidRDefault="009C7FF7" w:rsidP="009C7FF7">
            <w:r w:rsidRPr="009C7FF7">
              <w:t>0.37%</w:t>
            </w:r>
          </w:p>
        </w:tc>
        <w:tc>
          <w:tcPr>
            <w:tcW w:w="4496" w:type="dxa"/>
            <w:shd w:val="clear" w:color="auto" w:fill="auto"/>
            <w:tcMar>
              <w:top w:w="120" w:type="dxa"/>
              <w:left w:w="120" w:type="dxa"/>
              <w:bottom w:w="120" w:type="dxa"/>
              <w:right w:w="120" w:type="dxa"/>
            </w:tcMar>
            <w:hideMark/>
          </w:tcPr>
          <w:p w:rsidR="009C7FF7" w:rsidRPr="009C7FF7" w:rsidRDefault="009C7FF7" w:rsidP="009C7FF7">
            <w:r w:rsidRPr="009C7FF7">
              <w:t>Century Securities Limited</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1,360,000</w:t>
            </w:r>
          </w:p>
        </w:tc>
        <w:tc>
          <w:tcPr>
            <w:tcW w:w="1798" w:type="dxa"/>
            <w:shd w:val="clear" w:color="auto" w:fill="auto"/>
            <w:tcMar>
              <w:top w:w="120" w:type="dxa"/>
              <w:left w:w="120" w:type="dxa"/>
              <w:bottom w:w="120" w:type="dxa"/>
              <w:right w:w="120" w:type="dxa"/>
            </w:tcMar>
            <w:hideMark/>
          </w:tcPr>
          <w:p w:rsidR="009C7FF7" w:rsidRPr="009C7FF7" w:rsidRDefault="009C7FF7" w:rsidP="009C7FF7">
            <w:r w:rsidRPr="009C7FF7">
              <w:t>NZ$1.5m</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0%</w:t>
            </w:r>
          </w:p>
        </w:tc>
        <w:tc>
          <w:tcPr>
            <w:tcW w:w="1349" w:type="dxa"/>
            <w:shd w:val="clear" w:color="auto" w:fill="auto"/>
            <w:tcMar>
              <w:top w:w="120" w:type="dxa"/>
              <w:left w:w="120" w:type="dxa"/>
              <w:bottom w:w="120" w:type="dxa"/>
              <w:right w:w="120" w:type="dxa"/>
            </w:tcMar>
            <w:hideMark/>
          </w:tcPr>
          <w:p w:rsidR="009C7FF7" w:rsidRPr="009C7FF7" w:rsidRDefault="009C7FF7" w:rsidP="009C7FF7">
            <w:r w:rsidRPr="009C7FF7">
              <w:t>no data</w:t>
            </w:r>
          </w:p>
        </w:tc>
        <w:tc>
          <w:tcPr>
            <w:tcW w:w="450" w:type="dxa"/>
            <w:shd w:val="clear" w:color="auto" w:fill="auto"/>
            <w:tcMar>
              <w:top w:w="120" w:type="dxa"/>
              <w:left w:w="120" w:type="dxa"/>
              <w:bottom w:w="120" w:type="dxa"/>
              <w:right w:w="120" w:type="dxa"/>
            </w:tcMar>
            <w:hideMark/>
          </w:tcPr>
          <w:p w:rsidR="009C7FF7" w:rsidRPr="009C7FF7" w:rsidRDefault="009C7FF7" w:rsidP="009C7FF7"/>
        </w:tc>
      </w:tr>
      <w:tr w:rsidR="009C7FF7" w:rsidRPr="009C7FF7" w:rsidTr="009C7FF7">
        <w:trPr>
          <w:trHeight w:val="600"/>
          <w:tblCellSpacing w:w="15" w:type="dxa"/>
        </w:trPr>
        <w:tc>
          <w:tcPr>
            <w:tcW w:w="1349" w:type="dxa"/>
            <w:tcMar>
              <w:top w:w="120" w:type="dxa"/>
              <w:left w:w="120" w:type="dxa"/>
              <w:bottom w:w="120" w:type="dxa"/>
              <w:right w:w="120" w:type="dxa"/>
            </w:tcMar>
            <w:hideMark/>
          </w:tcPr>
          <w:p w:rsidR="009C7FF7" w:rsidRPr="009C7FF7" w:rsidRDefault="009C7FF7" w:rsidP="009C7FF7">
            <w:r w:rsidRPr="009C7FF7">
              <w:t>0.057%</w:t>
            </w:r>
          </w:p>
        </w:tc>
        <w:tc>
          <w:tcPr>
            <w:tcW w:w="4496" w:type="dxa"/>
            <w:tcMar>
              <w:top w:w="120" w:type="dxa"/>
              <w:left w:w="120" w:type="dxa"/>
              <w:bottom w:w="120" w:type="dxa"/>
              <w:right w:w="120" w:type="dxa"/>
            </w:tcMar>
            <w:hideMark/>
          </w:tcPr>
          <w:p w:rsidR="009C7FF7" w:rsidRPr="009C7FF7" w:rsidRDefault="009C7FF7" w:rsidP="009C7FF7">
            <w:r w:rsidRPr="009C7FF7">
              <w:t xml:space="preserve">American Century Investment Management </w:t>
            </w:r>
            <w:proofErr w:type="spellStart"/>
            <w:r w:rsidRPr="009C7FF7">
              <w:t>Inc</w:t>
            </w:r>
            <w:proofErr w:type="spellEnd"/>
          </w:p>
        </w:tc>
        <w:tc>
          <w:tcPr>
            <w:tcW w:w="1349" w:type="dxa"/>
            <w:tcMar>
              <w:top w:w="120" w:type="dxa"/>
              <w:left w:w="120" w:type="dxa"/>
              <w:bottom w:w="120" w:type="dxa"/>
              <w:right w:w="120" w:type="dxa"/>
            </w:tcMar>
            <w:hideMark/>
          </w:tcPr>
          <w:p w:rsidR="009C7FF7" w:rsidRPr="009C7FF7" w:rsidRDefault="009C7FF7" w:rsidP="009C7FF7">
            <w:r w:rsidRPr="009C7FF7">
              <w:t>210,004</w:t>
            </w:r>
          </w:p>
        </w:tc>
        <w:tc>
          <w:tcPr>
            <w:tcW w:w="1798" w:type="dxa"/>
            <w:tcMar>
              <w:top w:w="120" w:type="dxa"/>
              <w:left w:w="120" w:type="dxa"/>
              <w:bottom w:w="120" w:type="dxa"/>
              <w:right w:w="120" w:type="dxa"/>
            </w:tcMar>
            <w:hideMark/>
          </w:tcPr>
          <w:p w:rsidR="009C7FF7" w:rsidRPr="009C7FF7" w:rsidRDefault="009C7FF7" w:rsidP="009C7FF7">
            <w:r w:rsidRPr="009C7FF7">
              <w:t>NZ$226.8k</w:t>
            </w:r>
          </w:p>
        </w:tc>
        <w:tc>
          <w:tcPr>
            <w:tcW w:w="1349" w:type="dxa"/>
            <w:tcMar>
              <w:top w:w="120" w:type="dxa"/>
              <w:left w:w="120" w:type="dxa"/>
              <w:bottom w:w="120" w:type="dxa"/>
              <w:right w:w="120" w:type="dxa"/>
            </w:tcMar>
            <w:hideMark/>
          </w:tcPr>
          <w:p w:rsidR="009C7FF7" w:rsidRPr="009C7FF7" w:rsidRDefault="009C7FF7" w:rsidP="009C7FF7">
            <w:r w:rsidRPr="009C7FF7">
              <w:t>0%</w:t>
            </w:r>
          </w:p>
        </w:tc>
        <w:tc>
          <w:tcPr>
            <w:tcW w:w="1349" w:type="dxa"/>
            <w:tcMar>
              <w:top w:w="120" w:type="dxa"/>
              <w:left w:w="120" w:type="dxa"/>
              <w:bottom w:w="120" w:type="dxa"/>
              <w:right w:w="120" w:type="dxa"/>
            </w:tcMar>
            <w:hideMark/>
          </w:tcPr>
          <w:p w:rsidR="009C7FF7" w:rsidRPr="009C7FF7" w:rsidRDefault="009C7FF7" w:rsidP="009C7FF7">
            <w:r w:rsidRPr="009C7FF7">
              <w:t>no data</w:t>
            </w:r>
          </w:p>
        </w:tc>
        <w:tc>
          <w:tcPr>
            <w:tcW w:w="450" w:type="dxa"/>
            <w:tcMar>
              <w:top w:w="120" w:type="dxa"/>
              <w:left w:w="120" w:type="dxa"/>
              <w:bottom w:w="120" w:type="dxa"/>
              <w:right w:w="120" w:type="dxa"/>
            </w:tcMar>
            <w:hideMark/>
          </w:tcPr>
          <w:p w:rsidR="009C7FF7" w:rsidRPr="009C7FF7" w:rsidRDefault="009C7FF7" w:rsidP="009C7FF7"/>
        </w:tc>
      </w:tr>
      <w:tr w:rsidR="009C7FF7" w:rsidRPr="009C7FF7" w:rsidTr="008B35FF">
        <w:trPr>
          <w:trHeight w:val="600"/>
          <w:tblCellSpacing w:w="15" w:type="dxa"/>
        </w:trPr>
        <w:tc>
          <w:tcPr>
            <w:tcW w:w="1349" w:type="dxa"/>
            <w:shd w:val="clear" w:color="auto" w:fill="00B0F0"/>
            <w:tcMar>
              <w:top w:w="120" w:type="dxa"/>
              <w:left w:w="120" w:type="dxa"/>
              <w:bottom w:w="120" w:type="dxa"/>
              <w:right w:w="120" w:type="dxa"/>
            </w:tcMar>
            <w:hideMark/>
          </w:tcPr>
          <w:p w:rsidR="009C7FF7" w:rsidRPr="009C7FF7" w:rsidRDefault="009C7FF7" w:rsidP="009C7FF7">
            <w:r w:rsidRPr="009C7FF7">
              <w:lastRenderedPageBreak/>
              <w:t>0.032%</w:t>
            </w:r>
          </w:p>
        </w:tc>
        <w:tc>
          <w:tcPr>
            <w:tcW w:w="4496" w:type="dxa"/>
            <w:shd w:val="clear" w:color="auto" w:fill="00B0F0"/>
            <w:tcMar>
              <w:top w:w="120" w:type="dxa"/>
              <w:left w:w="120" w:type="dxa"/>
              <w:bottom w:w="120" w:type="dxa"/>
              <w:right w:w="120" w:type="dxa"/>
            </w:tcMar>
            <w:hideMark/>
          </w:tcPr>
          <w:p w:rsidR="009C7FF7" w:rsidRPr="009C7FF7" w:rsidRDefault="009C7FF7" w:rsidP="009C7FF7">
            <w:r w:rsidRPr="009C7FF7">
              <w:t>James Miller</w:t>
            </w:r>
            <w:r w:rsidR="008B35FF">
              <w:t xml:space="preserve"> (Board Member – Independent Director) 117,574 23,000 in 2020</w:t>
            </w:r>
          </w:p>
        </w:tc>
        <w:tc>
          <w:tcPr>
            <w:tcW w:w="1349" w:type="dxa"/>
            <w:shd w:val="clear" w:color="auto" w:fill="00B0F0"/>
            <w:tcMar>
              <w:top w:w="120" w:type="dxa"/>
              <w:left w:w="120" w:type="dxa"/>
              <w:bottom w:w="120" w:type="dxa"/>
              <w:right w:w="120" w:type="dxa"/>
            </w:tcMar>
            <w:hideMark/>
          </w:tcPr>
          <w:p w:rsidR="009C7FF7" w:rsidRPr="009C7FF7" w:rsidRDefault="009C7FF7" w:rsidP="009C7FF7">
            <w:r w:rsidRPr="009C7FF7">
              <w:t>117,574</w:t>
            </w:r>
          </w:p>
        </w:tc>
        <w:tc>
          <w:tcPr>
            <w:tcW w:w="1798" w:type="dxa"/>
            <w:shd w:val="clear" w:color="auto" w:fill="00B0F0"/>
            <w:tcMar>
              <w:top w:w="120" w:type="dxa"/>
              <w:left w:w="120" w:type="dxa"/>
              <w:bottom w:w="120" w:type="dxa"/>
              <w:right w:w="120" w:type="dxa"/>
            </w:tcMar>
            <w:hideMark/>
          </w:tcPr>
          <w:p w:rsidR="009C7FF7" w:rsidRPr="009C7FF7" w:rsidRDefault="009C7FF7" w:rsidP="009C7FF7">
            <w:r w:rsidRPr="009C7FF7">
              <w:t>NZ$127.0k</w:t>
            </w:r>
          </w:p>
        </w:tc>
        <w:tc>
          <w:tcPr>
            <w:tcW w:w="1349" w:type="dxa"/>
            <w:shd w:val="clear" w:color="auto" w:fill="00B0F0"/>
            <w:tcMar>
              <w:top w:w="120" w:type="dxa"/>
              <w:left w:w="120" w:type="dxa"/>
              <w:bottom w:w="120" w:type="dxa"/>
              <w:right w:w="120" w:type="dxa"/>
            </w:tcMar>
            <w:hideMark/>
          </w:tcPr>
          <w:p w:rsidR="009C7FF7" w:rsidRPr="009C7FF7" w:rsidRDefault="009C7FF7" w:rsidP="009C7FF7">
            <w:r w:rsidRPr="009C7FF7">
              <w:t>411.19%</w:t>
            </w:r>
          </w:p>
        </w:tc>
        <w:tc>
          <w:tcPr>
            <w:tcW w:w="1349" w:type="dxa"/>
            <w:shd w:val="clear" w:color="auto" w:fill="00B0F0"/>
            <w:tcMar>
              <w:top w:w="120" w:type="dxa"/>
              <w:left w:w="120" w:type="dxa"/>
              <w:bottom w:w="120" w:type="dxa"/>
              <w:right w:w="120" w:type="dxa"/>
            </w:tcMar>
            <w:hideMark/>
          </w:tcPr>
          <w:p w:rsidR="009C7FF7" w:rsidRPr="009C7FF7" w:rsidRDefault="009C7FF7" w:rsidP="009C7FF7">
            <w:r w:rsidRPr="009C7FF7">
              <w:t>no data</w:t>
            </w:r>
          </w:p>
        </w:tc>
        <w:tc>
          <w:tcPr>
            <w:tcW w:w="450" w:type="dxa"/>
            <w:shd w:val="clear" w:color="auto" w:fill="00B0F0"/>
            <w:tcMar>
              <w:top w:w="120" w:type="dxa"/>
              <w:left w:w="120" w:type="dxa"/>
              <w:bottom w:w="120" w:type="dxa"/>
              <w:right w:w="120" w:type="dxa"/>
            </w:tcMar>
            <w:hideMark/>
          </w:tcPr>
          <w:p w:rsidR="009C7FF7" w:rsidRPr="009C7FF7" w:rsidRDefault="009C7FF7" w:rsidP="009C7FF7"/>
        </w:tc>
      </w:tr>
      <w:tr w:rsidR="009C7FF7" w:rsidRPr="009C7FF7" w:rsidTr="009C7FF7">
        <w:trPr>
          <w:trHeight w:val="600"/>
          <w:tblCellSpacing w:w="15" w:type="dxa"/>
        </w:trPr>
        <w:tc>
          <w:tcPr>
            <w:tcW w:w="1349" w:type="dxa"/>
            <w:tcMar>
              <w:top w:w="120" w:type="dxa"/>
              <w:left w:w="120" w:type="dxa"/>
              <w:bottom w:w="120" w:type="dxa"/>
              <w:right w:w="120" w:type="dxa"/>
            </w:tcMar>
            <w:hideMark/>
          </w:tcPr>
          <w:p w:rsidR="009C7FF7" w:rsidRPr="009C7FF7" w:rsidRDefault="009C7FF7" w:rsidP="009C7FF7">
            <w:r w:rsidRPr="009C7FF7">
              <w:t>0.027%</w:t>
            </w:r>
          </w:p>
        </w:tc>
        <w:tc>
          <w:tcPr>
            <w:tcW w:w="4496" w:type="dxa"/>
            <w:tcMar>
              <w:top w:w="120" w:type="dxa"/>
              <w:left w:w="120" w:type="dxa"/>
              <w:bottom w:w="120" w:type="dxa"/>
              <w:right w:w="120" w:type="dxa"/>
            </w:tcMar>
            <w:hideMark/>
          </w:tcPr>
          <w:p w:rsidR="009C7FF7" w:rsidRPr="009C7FF7" w:rsidRDefault="009C7FF7" w:rsidP="009C7FF7">
            <w:r w:rsidRPr="009C7FF7">
              <w:t>PFM Asset Management LLC</w:t>
            </w:r>
          </w:p>
        </w:tc>
        <w:tc>
          <w:tcPr>
            <w:tcW w:w="1349" w:type="dxa"/>
            <w:tcMar>
              <w:top w:w="120" w:type="dxa"/>
              <w:left w:w="120" w:type="dxa"/>
              <w:bottom w:w="120" w:type="dxa"/>
              <w:right w:w="120" w:type="dxa"/>
            </w:tcMar>
            <w:hideMark/>
          </w:tcPr>
          <w:p w:rsidR="009C7FF7" w:rsidRPr="009C7FF7" w:rsidRDefault="009C7FF7" w:rsidP="009C7FF7">
            <w:r w:rsidRPr="009C7FF7">
              <w:t>101,742</w:t>
            </w:r>
          </w:p>
        </w:tc>
        <w:tc>
          <w:tcPr>
            <w:tcW w:w="1798" w:type="dxa"/>
            <w:tcMar>
              <w:top w:w="120" w:type="dxa"/>
              <w:left w:w="120" w:type="dxa"/>
              <w:bottom w:w="120" w:type="dxa"/>
              <w:right w:w="120" w:type="dxa"/>
            </w:tcMar>
            <w:hideMark/>
          </w:tcPr>
          <w:p w:rsidR="009C7FF7" w:rsidRPr="009C7FF7" w:rsidRDefault="009C7FF7" w:rsidP="009C7FF7">
            <w:r w:rsidRPr="009C7FF7">
              <w:t>NZ$109.9k</w:t>
            </w:r>
          </w:p>
        </w:tc>
        <w:tc>
          <w:tcPr>
            <w:tcW w:w="1349" w:type="dxa"/>
            <w:tcMar>
              <w:top w:w="120" w:type="dxa"/>
              <w:left w:w="120" w:type="dxa"/>
              <w:bottom w:w="120" w:type="dxa"/>
              <w:right w:w="120" w:type="dxa"/>
            </w:tcMar>
            <w:hideMark/>
          </w:tcPr>
          <w:p w:rsidR="009C7FF7" w:rsidRPr="009C7FF7" w:rsidRDefault="009C7FF7" w:rsidP="009C7FF7">
            <w:r w:rsidRPr="009C7FF7">
              <w:t>0%</w:t>
            </w:r>
          </w:p>
        </w:tc>
        <w:tc>
          <w:tcPr>
            <w:tcW w:w="1349" w:type="dxa"/>
            <w:tcMar>
              <w:top w:w="120" w:type="dxa"/>
              <w:left w:w="120" w:type="dxa"/>
              <w:bottom w:w="120" w:type="dxa"/>
              <w:right w:w="120" w:type="dxa"/>
            </w:tcMar>
            <w:hideMark/>
          </w:tcPr>
          <w:p w:rsidR="009C7FF7" w:rsidRPr="009C7FF7" w:rsidRDefault="009C7FF7" w:rsidP="009C7FF7">
            <w:r w:rsidRPr="009C7FF7">
              <w:t>no data</w:t>
            </w:r>
          </w:p>
        </w:tc>
        <w:tc>
          <w:tcPr>
            <w:tcW w:w="450" w:type="dxa"/>
            <w:tcMar>
              <w:top w:w="120" w:type="dxa"/>
              <w:left w:w="120" w:type="dxa"/>
              <w:bottom w:w="120" w:type="dxa"/>
              <w:right w:w="120" w:type="dxa"/>
            </w:tcMar>
            <w:hideMark/>
          </w:tcPr>
          <w:p w:rsidR="009C7FF7" w:rsidRPr="009C7FF7" w:rsidRDefault="009C7FF7" w:rsidP="009C7FF7"/>
        </w:tc>
      </w:tr>
      <w:tr w:rsidR="009C7FF7" w:rsidRPr="009C7FF7" w:rsidTr="008B35FF">
        <w:trPr>
          <w:trHeight w:val="600"/>
          <w:tblCellSpacing w:w="15" w:type="dxa"/>
        </w:trPr>
        <w:tc>
          <w:tcPr>
            <w:tcW w:w="1349" w:type="dxa"/>
            <w:shd w:val="clear" w:color="auto" w:fill="00B0F0"/>
            <w:tcMar>
              <w:top w:w="120" w:type="dxa"/>
              <w:left w:w="120" w:type="dxa"/>
              <w:bottom w:w="120" w:type="dxa"/>
              <w:right w:w="120" w:type="dxa"/>
            </w:tcMar>
            <w:hideMark/>
          </w:tcPr>
          <w:p w:rsidR="009C7FF7" w:rsidRPr="009C7FF7" w:rsidRDefault="009C7FF7" w:rsidP="009C7FF7">
            <w:r w:rsidRPr="009C7FF7">
              <w:t>0.023%</w:t>
            </w:r>
          </w:p>
        </w:tc>
        <w:tc>
          <w:tcPr>
            <w:tcW w:w="4496" w:type="dxa"/>
            <w:shd w:val="clear" w:color="auto" w:fill="00B0F0"/>
            <w:tcMar>
              <w:top w:w="120" w:type="dxa"/>
              <w:left w:w="120" w:type="dxa"/>
              <w:bottom w:w="120" w:type="dxa"/>
              <w:right w:w="120" w:type="dxa"/>
            </w:tcMar>
            <w:hideMark/>
          </w:tcPr>
          <w:p w:rsidR="009C7FF7" w:rsidRPr="009C7FF7" w:rsidRDefault="009C7FF7" w:rsidP="009C7FF7">
            <w:proofErr w:type="spellStart"/>
            <w:r w:rsidRPr="009C7FF7">
              <w:t>Zoenergy</w:t>
            </w:r>
            <w:proofErr w:type="spellEnd"/>
            <w:r w:rsidRPr="009C7FF7">
              <w:t xml:space="preserve"> Limited</w:t>
            </w:r>
            <w:r w:rsidR="008B35FF">
              <w:t xml:space="preserve"> (Paul Zealand – Independent Director) 87,000 No Shares in 2020</w:t>
            </w:r>
          </w:p>
        </w:tc>
        <w:tc>
          <w:tcPr>
            <w:tcW w:w="1349" w:type="dxa"/>
            <w:shd w:val="clear" w:color="auto" w:fill="00B0F0"/>
            <w:tcMar>
              <w:top w:w="120" w:type="dxa"/>
              <w:left w:w="120" w:type="dxa"/>
              <w:bottom w:w="120" w:type="dxa"/>
              <w:right w:w="120" w:type="dxa"/>
            </w:tcMar>
            <w:hideMark/>
          </w:tcPr>
          <w:p w:rsidR="009C7FF7" w:rsidRPr="009C7FF7" w:rsidRDefault="009C7FF7" w:rsidP="009C7FF7">
            <w:r w:rsidRPr="009C7FF7">
              <w:t>87,000</w:t>
            </w:r>
          </w:p>
        </w:tc>
        <w:tc>
          <w:tcPr>
            <w:tcW w:w="1798" w:type="dxa"/>
            <w:shd w:val="clear" w:color="auto" w:fill="00B0F0"/>
            <w:tcMar>
              <w:top w:w="120" w:type="dxa"/>
              <w:left w:w="120" w:type="dxa"/>
              <w:bottom w:w="120" w:type="dxa"/>
              <w:right w:w="120" w:type="dxa"/>
            </w:tcMar>
            <w:hideMark/>
          </w:tcPr>
          <w:p w:rsidR="009C7FF7" w:rsidRPr="009C7FF7" w:rsidRDefault="009C7FF7" w:rsidP="009C7FF7">
            <w:r w:rsidRPr="009C7FF7">
              <w:t>NZ$94.0k</w:t>
            </w:r>
          </w:p>
        </w:tc>
        <w:tc>
          <w:tcPr>
            <w:tcW w:w="1349" w:type="dxa"/>
            <w:shd w:val="clear" w:color="auto" w:fill="00B0F0"/>
            <w:tcMar>
              <w:top w:w="120" w:type="dxa"/>
              <w:left w:w="120" w:type="dxa"/>
              <w:bottom w:w="120" w:type="dxa"/>
              <w:right w:w="120" w:type="dxa"/>
            </w:tcMar>
            <w:hideMark/>
          </w:tcPr>
          <w:p w:rsidR="009C7FF7" w:rsidRPr="009C7FF7" w:rsidRDefault="009C7FF7" w:rsidP="009C7FF7">
            <w:r w:rsidRPr="009C7FF7">
              <w:t>0%</w:t>
            </w:r>
          </w:p>
        </w:tc>
        <w:tc>
          <w:tcPr>
            <w:tcW w:w="1349" w:type="dxa"/>
            <w:shd w:val="clear" w:color="auto" w:fill="00B0F0"/>
            <w:tcMar>
              <w:top w:w="120" w:type="dxa"/>
              <w:left w:w="120" w:type="dxa"/>
              <w:bottom w:w="120" w:type="dxa"/>
              <w:right w:w="120" w:type="dxa"/>
            </w:tcMar>
            <w:hideMark/>
          </w:tcPr>
          <w:p w:rsidR="009C7FF7" w:rsidRPr="009C7FF7" w:rsidRDefault="009C7FF7" w:rsidP="009C7FF7">
            <w:r w:rsidRPr="009C7FF7">
              <w:t>no data</w:t>
            </w:r>
          </w:p>
        </w:tc>
        <w:tc>
          <w:tcPr>
            <w:tcW w:w="450" w:type="dxa"/>
            <w:shd w:val="clear" w:color="auto" w:fill="00B0F0"/>
            <w:tcMar>
              <w:top w:w="120" w:type="dxa"/>
              <w:left w:w="120" w:type="dxa"/>
              <w:bottom w:w="120" w:type="dxa"/>
              <w:right w:w="120" w:type="dxa"/>
            </w:tcMar>
            <w:hideMark/>
          </w:tcPr>
          <w:p w:rsidR="009C7FF7" w:rsidRPr="009C7FF7" w:rsidRDefault="009C7FF7" w:rsidP="009C7FF7"/>
        </w:tc>
      </w:tr>
      <w:tr w:rsidR="009C7FF7" w:rsidRPr="009C7FF7" w:rsidTr="008B35FF">
        <w:trPr>
          <w:trHeight w:val="600"/>
          <w:tblCellSpacing w:w="15" w:type="dxa"/>
        </w:trPr>
        <w:tc>
          <w:tcPr>
            <w:tcW w:w="1349" w:type="dxa"/>
            <w:shd w:val="clear" w:color="auto" w:fill="00B0F0"/>
            <w:tcMar>
              <w:top w:w="120" w:type="dxa"/>
              <w:left w:w="120" w:type="dxa"/>
              <w:bottom w:w="120" w:type="dxa"/>
              <w:right w:w="120" w:type="dxa"/>
            </w:tcMar>
            <w:hideMark/>
          </w:tcPr>
          <w:p w:rsidR="009C7FF7" w:rsidRPr="009C7FF7" w:rsidRDefault="009C7FF7" w:rsidP="009C7FF7">
            <w:r w:rsidRPr="009C7FF7">
              <w:t>0.014%</w:t>
            </w:r>
          </w:p>
        </w:tc>
        <w:tc>
          <w:tcPr>
            <w:tcW w:w="4496" w:type="dxa"/>
            <w:shd w:val="clear" w:color="auto" w:fill="00B0F0"/>
            <w:tcMar>
              <w:top w:w="120" w:type="dxa"/>
              <w:left w:w="120" w:type="dxa"/>
              <w:bottom w:w="120" w:type="dxa"/>
              <w:right w:w="120" w:type="dxa"/>
            </w:tcMar>
            <w:hideMark/>
          </w:tcPr>
          <w:p w:rsidR="009C7FF7" w:rsidRPr="009C7FF7" w:rsidRDefault="009C7FF7" w:rsidP="009C7FF7">
            <w:r w:rsidRPr="009C7FF7">
              <w:t>Simon Allen</w:t>
            </w:r>
            <w:r w:rsidR="008B35FF">
              <w:t xml:space="preserve"> (Board Chairman – Independent Director)</w:t>
            </w:r>
            <w:r w:rsidR="001B3BF7">
              <w:t xml:space="preserve"> Equity interest: 53,072 shares (2020: 35,000)</w:t>
            </w:r>
          </w:p>
        </w:tc>
        <w:tc>
          <w:tcPr>
            <w:tcW w:w="1349" w:type="dxa"/>
            <w:shd w:val="clear" w:color="auto" w:fill="00B0F0"/>
            <w:tcMar>
              <w:top w:w="120" w:type="dxa"/>
              <w:left w:w="120" w:type="dxa"/>
              <w:bottom w:w="120" w:type="dxa"/>
              <w:right w:w="120" w:type="dxa"/>
            </w:tcMar>
            <w:hideMark/>
          </w:tcPr>
          <w:p w:rsidR="009C7FF7" w:rsidRPr="009C7FF7" w:rsidRDefault="009C7FF7" w:rsidP="009C7FF7">
            <w:r w:rsidRPr="009C7FF7">
              <w:t>53,072</w:t>
            </w:r>
          </w:p>
        </w:tc>
        <w:tc>
          <w:tcPr>
            <w:tcW w:w="1798" w:type="dxa"/>
            <w:shd w:val="clear" w:color="auto" w:fill="00B0F0"/>
            <w:tcMar>
              <w:top w:w="120" w:type="dxa"/>
              <w:left w:w="120" w:type="dxa"/>
              <w:bottom w:w="120" w:type="dxa"/>
              <w:right w:w="120" w:type="dxa"/>
            </w:tcMar>
            <w:hideMark/>
          </w:tcPr>
          <w:p w:rsidR="009C7FF7" w:rsidRPr="009C7FF7" w:rsidRDefault="009C7FF7" w:rsidP="009C7FF7">
            <w:r w:rsidRPr="009C7FF7">
              <w:t>NZ$57.3k</w:t>
            </w:r>
          </w:p>
        </w:tc>
        <w:tc>
          <w:tcPr>
            <w:tcW w:w="1349" w:type="dxa"/>
            <w:shd w:val="clear" w:color="auto" w:fill="00B0F0"/>
            <w:tcMar>
              <w:top w:w="120" w:type="dxa"/>
              <w:left w:w="120" w:type="dxa"/>
              <w:bottom w:w="120" w:type="dxa"/>
              <w:right w:w="120" w:type="dxa"/>
            </w:tcMar>
            <w:hideMark/>
          </w:tcPr>
          <w:p w:rsidR="009C7FF7" w:rsidRPr="009C7FF7" w:rsidRDefault="009C7FF7" w:rsidP="009C7FF7">
            <w:r w:rsidRPr="009C7FF7">
              <w:t>51.63%</w:t>
            </w:r>
          </w:p>
        </w:tc>
        <w:tc>
          <w:tcPr>
            <w:tcW w:w="1349" w:type="dxa"/>
            <w:shd w:val="clear" w:color="auto" w:fill="00B0F0"/>
            <w:tcMar>
              <w:top w:w="120" w:type="dxa"/>
              <w:left w:w="120" w:type="dxa"/>
              <w:bottom w:w="120" w:type="dxa"/>
              <w:right w:w="120" w:type="dxa"/>
            </w:tcMar>
            <w:hideMark/>
          </w:tcPr>
          <w:p w:rsidR="009C7FF7" w:rsidRPr="009C7FF7" w:rsidRDefault="009C7FF7" w:rsidP="009C7FF7">
            <w:r w:rsidRPr="009C7FF7">
              <w:t>no data</w:t>
            </w:r>
          </w:p>
        </w:tc>
        <w:tc>
          <w:tcPr>
            <w:tcW w:w="450" w:type="dxa"/>
            <w:shd w:val="clear" w:color="auto" w:fill="00B0F0"/>
            <w:tcMar>
              <w:top w:w="120" w:type="dxa"/>
              <w:left w:w="120" w:type="dxa"/>
              <w:bottom w:w="120" w:type="dxa"/>
              <w:right w:w="120" w:type="dxa"/>
            </w:tcMar>
            <w:hideMark/>
          </w:tcPr>
          <w:p w:rsidR="009C7FF7" w:rsidRPr="009C7FF7" w:rsidRDefault="009C7FF7" w:rsidP="009C7FF7"/>
        </w:tc>
      </w:tr>
      <w:tr w:rsidR="009C7FF7" w:rsidRPr="009C7FF7" w:rsidTr="008B35FF">
        <w:trPr>
          <w:trHeight w:val="600"/>
          <w:tblCellSpacing w:w="15" w:type="dxa"/>
        </w:trPr>
        <w:tc>
          <w:tcPr>
            <w:tcW w:w="1349" w:type="dxa"/>
            <w:shd w:val="clear" w:color="auto" w:fill="66FF33"/>
            <w:tcMar>
              <w:top w:w="120" w:type="dxa"/>
              <w:left w:w="120" w:type="dxa"/>
              <w:bottom w:w="120" w:type="dxa"/>
              <w:right w:w="120" w:type="dxa"/>
            </w:tcMar>
            <w:hideMark/>
          </w:tcPr>
          <w:p w:rsidR="009C7FF7" w:rsidRPr="009C7FF7" w:rsidRDefault="009C7FF7" w:rsidP="009C7FF7">
            <w:r w:rsidRPr="009C7FF7">
              <w:t>0.01%</w:t>
            </w:r>
          </w:p>
        </w:tc>
        <w:tc>
          <w:tcPr>
            <w:tcW w:w="4496" w:type="dxa"/>
            <w:shd w:val="clear" w:color="auto" w:fill="66FF33"/>
            <w:tcMar>
              <w:top w:w="120" w:type="dxa"/>
              <w:left w:w="120" w:type="dxa"/>
              <w:bottom w:w="120" w:type="dxa"/>
              <w:right w:w="120" w:type="dxa"/>
            </w:tcMar>
            <w:hideMark/>
          </w:tcPr>
          <w:p w:rsidR="009C7FF7" w:rsidRPr="009C7FF7" w:rsidRDefault="009C7FF7" w:rsidP="009C7FF7">
            <w:r w:rsidRPr="009C7FF7">
              <w:t>Denise Jensen</w:t>
            </w:r>
            <w:r w:rsidR="008B35FF">
              <w:t xml:space="preserve"> (CFO)</w:t>
            </w:r>
          </w:p>
        </w:tc>
        <w:tc>
          <w:tcPr>
            <w:tcW w:w="1349" w:type="dxa"/>
            <w:shd w:val="clear" w:color="auto" w:fill="66FF33"/>
            <w:tcMar>
              <w:top w:w="120" w:type="dxa"/>
              <w:left w:w="120" w:type="dxa"/>
              <w:bottom w:w="120" w:type="dxa"/>
              <w:right w:w="120" w:type="dxa"/>
            </w:tcMar>
            <w:hideMark/>
          </w:tcPr>
          <w:p w:rsidR="009C7FF7" w:rsidRPr="009C7FF7" w:rsidRDefault="009C7FF7" w:rsidP="009C7FF7">
            <w:r w:rsidRPr="009C7FF7">
              <w:t>38,090</w:t>
            </w:r>
          </w:p>
        </w:tc>
        <w:tc>
          <w:tcPr>
            <w:tcW w:w="1798" w:type="dxa"/>
            <w:shd w:val="clear" w:color="auto" w:fill="66FF33"/>
            <w:tcMar>
              <w:top w:w="120" w:type="dxa"/>
              <w:left w:w="120" w:type="dxa"/>
              <w:bottom w:w="120" w:type="dxa"/>
              <w:right w:w="120" w:type="dxa"/>
            </w:tcMar>
            <w:hideMark/>
          </w:tcPr>
          <w:p w:rsidR="009C7FF7" w:rsidRPr="009C7FF7" w:rsidRDefault="009C7FF7" w:rsidP="009C7FF7">
            <w:r w:rsidRPr="009C7FF7">
              <w:t>NZ$41.1k</w:t>
            </w:r>
          </w:p>
        </w:tc>
        <w:tc>
          <w:tcPr>
            <w:tcW w:w="1349" w:type="dxa"/>
            <w:shd w:val="clear" w:color="auto" w:fill="66FF33"/>
            <w:tcMar>
              <w:top w:w="120" w:type="dxa"/>
              <w:left w:w="120" w:type="dxa"/>
              <w:bottom w:w="120" w:type="dxa"/>
              <w:right w:w="120" w:type="dxa"/>
            </w:tcMar>
            <w:hideMark/>
          </w:tcPr>
          <w:p w:rsidR="009C7FF7" w:rsidRPr="009C7FF7" w:rsidRDefault="009C7FF7" w:rsidP="009C7FF7">
            <w:r w:rsidRPr="009C7FF7">
              <w:t>101.95%</w:t>
            </w:r>
          </w:p>
        </w:tc>
        <w:tc>
          <w:tcPr>
            <w:tcW w:w="1349" w:type="dxa"/>
            <w:shd w:val="clear" w:color="auto" w:fill="66FF33"/>
            <w:tcMar>
              <w:top w:w="120" w:type="dxa"/>
              <w:left w:w="120" w:type="dxa"/>
              <w:bottom w:w="120" w:type="dxa"/>
              <w:right w:w="120" w:type="dxa"/>
            </w:tcMar>
            <w:hideMark/>
          </w:tcPr>
          <w:p w:rsidR="009C7FF7" w:rsidRPr="009C7FF7" w:rsidRDefault="009C7FF7" w:rsidP="009C7FF7">
            <w:r w:rsidRPr="009C7FF7">
              <w:t>no data</w:t>
            </w:r>
          </w:p>
        </w:tc>
        <w:tc>
          <w:tcPr>
            <w:tcW w:w="450" w:type="dxa"/>
            <w:shd w:val="clear" w:color="auto" w:fill="66FF33"/>
            <w:tcMar>
              <w:top w:w="120" w:type="dxa"/>
              <w:left w:w="120" w:type="dxa"/>
              <w:bottom w:w="120" w:type="dxa"/>
              <w:right w:w="120" w:type="dxa"/>
            </w:tcMar>
            <w:hideMark/>
          </w:tcPr>
          <w:p w:rsidR="009C7FF7" w:rsidRPr="009C7FF7" w:rsidRDefault="009C7FF7" w:rsidP="009C7FF7"/>
        </w:tc>
      </w:tr>
      <w:tr w:rsidR="009C7FF7" w:rsidRPr="009C7FF7" w:rsidTr="009C7FF7">
        <w:trPr>
          <w:trHeight w:val="600"/>
          <w:tblCellSpacing w:w="15" w:type="dxa"/>
        </w:trPr>
        <w:tc>
          <w:tcPr>
            <w:tcW w:w="1349" w:type="dxa"/>
            <w:tcMar>
              <w:top w:w="120" w:type="dxa"/>
              <w:left w:w="120" w:type="dxa"/>
              <w:bottom w:w="120" w:type="dxa"/>
              <w:right w:w="120" w:type="dxa"/>
            </w:tcMar>
            <w:hideMark/>
          </w:tcPr>
          <w:p w:rsidR="009C7FF7" w:rsidRPr="009C7FF7" w:rsidRDefault="009C7FF7" w:rsidP="009C7FF7">
            <w:r w:rsidRPr="009C7FF7">
              <w:t>0.0055%</w:t>
            </w:r>
          </w:p>
        </w:tc>
        <w:tc>
          <w:tcPr>
            <w:tcW w:w="4496" w:type="dxa"/>
            <w:tcMar>
              <w:top w:w="120" w:type="dxa"/>
              <w:left w:w="120" w:type="dxa"/>
              <w:bottom w:w="120" w:type="dxa"/>
              <w:right w:w="120" w:type="dxa"/>
            </w:tcMar>
            <w:hideMark/>
          </w:tcPr>
          <w:p w:rsidR="009C7FF7" w:rsidRPr="009C7FF7" w:rsidRDefault="009C7FF7" w:rsidP="009C7FF7">
            <w:r w:rsidRPr="009C7FF7">
              <w:t>Macquarie Investment Management Business Trust</w:t>
            </w:r>
          </w:p>
        </w:tc>
        <w:tc>
          <w:tcPr>
            <w:tcW w:w="1349" w:type="dxa"/>
            <w:tcMar>
              <w:top w:w="120" w:type="dxa"/>
              <w:left w:w="120" w:type="dxa"/>
              <w:bottom w:w="120" w:type="dxa"/>
              <w:right w:w="120" w:type="dxa"/>
            </w:tcMar>
            <w:hideMark/>
          </w:tcPr>
          <w:p w:rsidR="009C7FF7" w:rsidRPr="009C7FF7" w:rsidRDefault="009C7FF7" w:rsidP="009C7FF7">
            <w:r w:rsidRPr="009C7FF7">
              <w:t>20,418</w:t>
            </w:r>
          </w:p>
        </w:tc>
        <w:tc>
          <w:tcPr>
            <w:tcW w:w="1798" w:type="dxa"/>
            <w:tcMar>
              <w:top w:w="120" w:type="dxa"/>
              <w:left w:w="120" w:type="dxa"/>
              <w:bottom w:w="120" w:type="dxa"/>
              <w:right w:w="120" w:type="dxa"/>
            </w:tcMar>
            <w:hideMark/>
          </w:tcPr>
          <w:p w:rsidR="009C7FF7" w:rsidRPr="009C7FF7" w:rsidRDefault="009C7FF7" w:rsidP="009C7FF7">
            <w:r w:rsidRPr="009C7FF7">
              <w:t>NZ$22.1k</w:t>
            </w:r>
          </w:p>
        </w:tc>
        <w:tc>
          <w:tcPr>
            <w:tcW w:w="1349" w:type="dxa"/>
            <w:tcMar>
              <w:top w:w="120" w:type="dxa"/>
              <w:left w:w="120" w:type="dxa"/>
              <w:bottom w:w="120" w:type="dxa"/>
              <w:right w:w="120" w:type="dxa"/>
            </w:tcMar>
            <w:hideMark/>
          </w:tcPr>
          <w:p w:rsidR="009C7FF7" w:rsidRPr="009C7FF7" w:rsidRDefault="009C7FF7" w:rsidP="009C7FF7">
            <w:r w:rsidRPr="009C7FF7">
              <w:t>0%</w:t>
            </w:r>
          </w:p>
        </w:tc>
        <w:tc>
          <w:tcPr>
            <w:tcW w:w="1349" w:type="dxa"/>
            <w:tcMar>
              <w:top w:w="120" w:type="dxa"/>
              <w:left w:w="120" w:type="dxa"/>
              <w:bottom w:w="120" w:type="dxa"/>
              <w:right w:w="120" w:type="dxa"/>
            </w:tcMar>
            <w:hideMark/>
          </w:tcPr>
          <w:p w:rsidR="009C7FF7" w:rsidRPr="009C7FF7" w:rsidRDefault="009C7FF7" w:rsidP="009C7FF7">
            <w:r w:rsidRPr="009C7FF7">
              <w:t>no data</w:t>
            </w:r>
          </w:p>
        </w:tc>
        <w:tc>
          <w:tcPr>
            <w:tcW w:w="450" w:type="dxa"/>
            <w:tcMar>
              <w:top w:w="120" w:type="dxa"/>
              <w:left w:w="120" w:type="dxa"/>
              <w:bottom w:w="120" w:type="dxa"/>
              <w:right w:w="120" w:type="dxa"/>
            </w:tcMar>
            <w:hideMark/>
          </w:tcPr>
          <w:p w:rsidR="009C7FF7" w:rsidRPr="009C7FF7" w:rsidRDefault="009C7FF7" w:rsidP="009C7FF7"/>
        </w:tc>
      </w:tr>
    </w:tbl>
    <w:p w:rsidR="009C7FF7" w:rsidRDefault="009C7FF7"/>
    <w:p w:rsidR="009C7FF7" w:rsidRDefault="009C7FF7">
      <w:r>
        <w:br w:type="page"/>
      </w:r>
    </w:p>
    <w:p w:rsidR="009C7FF7" w:rsidRDefault="009C7FF7">
      <w:pPr>
        <w:sectPr w:rsidR="009C7FF7" w:rsidSect="009C7FF7">
          <w:pgSz w:w="16838" w:h="11906" w:orient="landscape"/>
          <w:pgMar w:top="284" w:right="851" w:bottom="170" w:left="851" w:header="709" w:footer="709" w:gutter="0"/>
          <w:cols w:space="708"/>
          <w:docGrid w:linePitch="360"/>
        </w:sectPr>
      </w:pPr>
    </w:p>
    <w:p w:rsidR="009C7FF7" w:rsidRDefault="009C7FF7">
      <w:r>
        <w:lastRenderedPageBreak/>
        <w:t xml:space="preserve">24 Refining NZ Annual Report 2021 Directors’ and Officers’ Insurance The Company has granted indemnities to its Directors, Corporate Lead Team members, and persons whom it has appointed as Directors of its subsidiaries in relation to potential liabilities and costs they may incur in those roles. The indemnities are subject to certain limitations that are prescribed by law and they do not cover settlements or admissions prejudicing a successful defence of a claim without the Company’s consent as well as the indemnified person’s advisor costs after the defence of a claim has been assumed by the Company, unless they are reasonably necessary. The Company has arranged Directors’ and Officers’ Liability Insurance for its Directors, Corporate Lead Team and persons whom it has appointed as Directors of its subsidiaries, which provide them with insurance in respect of certain liabilities and costs they may incur in those roles. This insurance is limited to cover that is not prohibited by law. Independent professional </w:t>
      </w:r>
      <w:r w:rsidR="00A95F7D">
        <w:t>advice w</w:t>
      </w:r>
      <w:r>
        <w:t xml:space="preserve">ith the approval of the Chairman, Directors are entitled to seek independent professional advice on any aspect of their Director’s duties, at the Company’s expense. Use of Company information The Board did not receive any notices from any Director of the Company or its subsidiaries during the year, requesting to use Company information received in their capacity as a Director, which would not otherwise have been available to them. Donations The Company made donations of $14,000 during the year ended 31 December 2021 (2020: $50,000). No political donations were made. Credit rating The Company does not have a credit rating. STATUTORY DISCLOSURES Refining NZ Subsidiary Directors </w:t>
      </w:r>
    </w:p>
    <w:p w:rsidR="009C7FF7" w:rsidRDefault="009C7FF7">
      <w:bookmarkStart w:id="0" w:name="_GoBack"/>
      <w:bookmarkEnd w:id="0"/>
    </w:p>
    <w:p w:rsidR="001B3BF7" w:rsidRDefault="009C7FF7">
      <w:r>
        <w:t>REFINING NZ SUBS</w:t>
      </w:r>
      <w:r w:rsidR="001B3BF7">
        <w:t>IDIARY NAME OF DIRECTORS</w:t>
      </w:r>
    </w:p>
    <w:p w:rsidR="009C7FF7" w:rsidRDefault="009C7FF7">
      <w:r>
        <w:t xml:space="preserve">Independent Petroleum Laboratory Limited Naomi James, </w:t>
      </w:r>
      <w:r w:rsidRPr="009C7FF7">
        <w:rPr>
          <w:highlight w:val="green"/>
        </w:rPr>
        <w:t>Denise Jensen</w:t>
      </w:r>
    </w:p>
    <w:p w:rsidR="009C7FF7" w:rsidRDefault="009C7FF7">
      <w:r>
        <w:t xml:space="preserve">Channel Terminal Services Limited (formerly </w:t>
      </w:r>
      <w:proofErr w:type="spellStart"/>
      <w:r>
        <w:t>Maranga</w:t>
      </w:r>
      <w:proofErr w:type="spellEnd"/>
      <w:r>
        <w:t xml:space="preserve"> Ra Limited) Naomi James, </w:t>
      </w:r>
      <w:r w:rsidRPr="009C7FF7">
        <w:rPr>
          <w:highlight w:val="green"/>
        </w:rPr>
        <w:t>Denise Jensen</w:t>
      </w:r>
    </w:p>
    <w:p w:rsidR="00F5272E" w:rsidRDefault="009C7FF7">
      <w:proofErr w:type="spellStart"/>
      <w:r>
        <w:t>Maranga</w:t>
      </w:r>
      <w:proofErr w:type="spellEnd"/>
      <w:r>
        <w:t xml:space="preserve"> Ra Holdings Limited Naomi James, </w:t>
      </w:r>
      <w:r w:rsidRPr="009C7FF7">
        <w:rPr>
          <w:highlight w:val="green"/>
        </w:rPr>
        <w:t>Denise Jensen</w:t>
      </w:r>
      <w:r w:rsidR="008E49EA">
        <w:t xml:space="preserve"> (Denise Jensen - Retired from company secretary this year after 17 years in job)</w:t>
      </w:r>
    </w:p>
    <w:sectPr w:rsidR="00F5272E" w:rsidSect="009C7FF7">
      <w:pgSz w:w="11906" w:h="16838"/>
      <w:pgMar w:top="851" w:right="284" w:bottom="851"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29"/>
    <w:rsid w:val="00022C96"/>
    <w:rsid w:val="001B3BF7"/>
    <w:rsid w:val="007B7F29"/>
    <w:rsid w:val="008B35FF"/>
    <w:rsid w:val="008E49EA"/>
    <w:rsid w:val="009C7FF7"/>
    <w:rsid w:val="00A95F7D"/>
    <w:rsid w:val="00F5272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C5C4E-FCDA-4CB2-A8DF-B9E144B1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szg4xy-0">
    <w:name w:val="sc-szg4xy-0"/>
    <w:basedOn w:val="DefaultParagraphFont"/>
    <w:rsid w:val="007B7F29"/>
  </w:style>
  <w:style w:type="character" w:customStyle="1" w:styleId="sc-szg4xy-1">
    <w:name w:val="sc-szg4xy-1"/>
    <w:basedOn w:val="DefaultParagraphFont"/>
    <w:rsid w:val="007B7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793876">
      <w:bodyDiv w:val="1"/>
      <w:marLeft w:val="0"/>
      <w:marRight w:val="0"/>
      <w:marTop w:val="0"/>
      <w:marBottom w:val="0"/>
      <w:divBdr>
        <w:top w:val="none" w:sz="0" w:space="0" w:color="auto"/>
        <w:left w:val="none" w:sz="0" w:space="0" w:color="auto"/>
        <w:bottom w:val="none" w:sz="0" w:space="0" w:color="auto"/>
        <w:right w:val="none" w:sz="0" w:space="0" w:color="auto"/>
      </w:divBdr>
    </w:div>
    <w:div w:id="1860579473">
      <w:bodyDiv w:val="1"/>
      <w:marLeft w:val="0"/>
      <w:marRight w:val="0"/>
      <w:marTop w:val="0"/>
      <w:marBottom w:val="0"/>
      <w:divBdr>
        <w:top w:val="none" w:sz="0" w:space="0" w:color="auto"/>
        <w:left w:val="none" w:sz="0" w:space="0" w:color="auto"/>
        <w:bottom w:val="none" w:sz="0" w:space="0" w:color="auto"/>
        <w:right w:val="none" w:sz="0" w:space="0" w:color="auto"/>
      </w:divBdr>
      <w:divsChild>
        <w:div w:id="1227571814">
          <w:marLeft w:val="0"/>
          <w:marRight w:val="0"/>
          <w:marTop w:val="0"/>
          <w:marBottom w:val="0"/>
          <w:divBdr>
            <w:top w:val="none" w:sz="0" w:space="0" w:color="auto"/>
            <w:left w:val="none" w:sz="0" w:space="0" w:color="auto"/>
            <w:bottom w:val="none" w:sz="0" w:space="0" w:color="auto"/>
            <w:right w:val="none" w:sz="0" w:space="0" w:color="auto"/>
          </w:divBdr>
          <w:divsChild>
            <w:div w:id="555895381">
              <w:marLeft w:val="0"/>
              <w:marRight w:val="0"/>
              <w:marTop w:val="0"/>
              <w:marBottom w:val="0"/>
              <w:divBdr>
                <w:top w:val="none" w:sz="0" w:space="0" w:color="auto"/>
                <w:left w:val="none" w:sz="0" w:space="0" w:color="auto"/>
                <w:bottom w:val="none" w:sz="0" w:space="0" w:color="auto"/>
                <w:right w:val="none" w:sz="0" w:space="0" w:color="auto"/>
              </w:divBdr>
              <w:divsChild>
                <w:div w:id="1163164064">
                  <w:marLeft w:val="0"/>
                  <w:marRight w:val="0"/>
                  <w:marTop w:val="0"/>
                  <w:marBottom w:val="0"/>
                  <w:divBdr>
                    <w:top w:val="none" w:sz="0" w:space="0" w:color="auto"/>
                    <w:left w:val="none" w:sz="0" w:space="0" w:color="auto"/>
                    <w:bottom w:val="none" w:sz="0" w:space="0" w:color="auto"/>
                    <w:right w:val="none" w:sz="0" w:space="0" w:color="auto"/>
                  </w:divBdr>
                  <w:divsChild>
                    <w:div w:id="15532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2022-04-25T10:30:00Z</dcterms:created>
  <dcterms:modified xsi:type="dcterms:W3CDTF">2022-05-05T10:07:00Z</dcterms:modified>
</cp:coreProperties>
</file>