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after="120"/>
        <w:jc w:val="center"/>
      </w:pPr>
      <w:r>
        <w:rPr>
          <w:rFonts w:ascii="Arial" w:cs="Arial" w:eastAsia="Arial" w:hAnsi="Arial"/>
          <w:b/>
          <w:bCs/>
          <w:color w:val="C49A1E"/>
          <w:sz w:val="72"/>
          <w:szCs w:val="72"/>
        </w:rPr>
        <w:t xml:space="preserve">KLARA OS</w:t>
      </w:r>
    </w:p>
    <w:p>
      <w:pPr>
        <w:shd w:fill="0E1E3A" w:val="clear"/>
        <w:spacing w:before="80" w:after="80"/>
        <w:ind w:left="720" w:right="720"/>
        <w:jc w:val="center"/>
      </w:pPr>
      <w:r>
        <w:rPr>
          <w:rFonts w:ascii="Arial" w:cs="Arial" w:eastAsia="Arial" w:hAnsi="Arial"/>
          <w:color w:val="FFFFFF"/>
          <w:sz w:val="32"/>
          <w:szCs w:val="32"/>
        </w:rPr>
        <w:t xml:space="preserve">Healthcare Navigation Intelligence Operating System</w:t>
      </w:r>
    </w:p>
    <w:p>
      <w:pPr>
        <w:spacing w:before="160" w:after="160"/>
      </w:pPr>
    </w:p>
    <w:p>
      <w:pPr>
        <w:spacing w:after="80"/>
        <w:jc w:val="center"/>
      </w:pPr>
      <w:r>
        <w:rPr>
          <w:rFonts w:ascii="Arial" w:cs="Arial" w:eastAsia="Arial" w:hAnsi="Arial"/>
          <w:b/>
          <w:bCs/>
          <w:caps/>
          <w:color w:val="4F6080"/>
          <w:sz w:val="24"/>
          <w:szCs w:val="24"/>
        </w:rPr>
        <w:t xml:space="preserve">SYSTEM ARCHITECTURE SPECIFICATION</w:t>
      </w:r>
    </w:p>
    <w:p>
      <w:pPr>
        <w:spacing w:after="480"/>
        <w:jc w:val="center"/>
      </w:pPr>
      <w:r>
        <w:rPr>
          <w:rFonts w:ascii="Arial" w:cs="Arial" w:eastAsia="Arial" w:hAnsi="Arial"/>
          <w:color w:val="4F6080"/>
          <w:sz w:val="22"/>
          <w:szCs w:val="22"/>
        </w:rPr>
        <w:t xml:space="preserve">Version 1.0  ·  Nova Scotia Digital Health Initiative</w:t>
      </w:r>
    </w:p>
    <w:p>
      <w:pPr>
        <w:pBdr>
          <w:bottom w:val="single" w:color="D9DDE6" w:sz="2" w:space="1"/>
        </w:pBdr>
        <w:spacing w:before="200" w:after="200"/>
      </w:pPr>
    </w:p>
    <w:p>
      <w:pPr>
        <w:spacing w:before="24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pPr>
            <w:r>
              <w:rPr>
                <w:rFonts w:ascii="Arial" w:cs="Arial" w:eastAsia="Arial" w:hAnsi="Arial"/>
                <w:b/>
                <w:bCs/>
                <w:color w:val="0E1E3A"/>
                <w:sz w:val="22"/>
                <w:szCs w:val="22"/>
              </w:rPr>
              <w:t xml:space="preserve">Classification:</w:t>
            </w:r>
            <w:r>
              <w:rPr>
                <w:rFonts w:ascii="Arial" w:cs="Arial" w:eastAsia="Arial" w:hAnsi="Arial"/>
                <w:sz w:val="22"/>
                <w:szCs w:val="22"/>
              </w:rPr>
              <w:t xml:space="preserve">  Confidential — Internal Use</w:t>
            </w:r>
          </w:p>
          <w:p>
            <w:pPr>
              <w:spacing w:after="80"/>
            </w:pPr>
            <w:r>
              <w:rPr>
                <w:rFonts w:ascii="Arial" w:cs="Arial" w:eastAsia="Arial" w:hAnsi="Arial"/>
                <w:b/>
                <w:bCs/>
                <w:color w:val="0E1E3A"/>
                <w:sz w:val="22"/>
                <w:szCs w:val="22"/>
              </w:rPr>
              <w:t xml:space="preserve">Status:</w:t>
            </w:r>
            <w:r>
              <w:rPr>
                <w:rFonts w:ascii="Arial" w:cs="Arial" w:eastAsia="Arial" w:hAnsi="Arial"/>
                <w:sz w:val="22"/>
                <w:szCs w:val="22"/>
              </w:rPr>
              <w:t xml:space="preserve">  Specification Draft</w:t>
            </w:r>
          </w:p>
          <w:p>
            <w:pPr>
              <w:spacing w:after="0"/>
            </w:pPr>
            <w:r>
              <w:rPr>
                <w:rFonts w:ascii="Arial" w:cs="Arial" w:eastAsia="Arial" w:hAnsi="Arial"/>
                <w:b/>
                <w:bCs/>
                <w:color w:val="0E1E3A"/>
                <w:sz w:val="22"/>
                <w:szCs w:val="22"/>
              </w:rPr>
              <w:t xml:space="preserve">Document Type:</w:t>
            </w:r>
            <w:r>
              <w:rPr>
                <w:rFonts w:ascii="Arial" w:cs="Arial" w:eastAsia="Arial" w:hAnsi="Arial"/>
                <w:sz w:val="22"/>
                <w:szCs w:val="22"/>
              </w:rPr>
              <w:t xml:space="preserve">  Architecture Specification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after="80"/>
            </w:pPr>
            <w:r>
              <w:rPr>
                <w:rFonts w:ascii="Arial" w:cs="Arial" w:eastAsia="Arial" w:hAnsi="Arial"/>
                <w:b/>
                <w:bCs/>
                <w:color w:val="0E1E3A"/>
                <w:sz w:val="22"/>
                <w:szCs w:val="22"/>
              </w:rPr>
              <w:t xml:space="preserve">Jurisdiction:</w:t>
            </w:r>
            <w:r>
              <w:rPr>
                <w:rFonts w:ascii="Arial" w:cs="Arial" w:eastAsia="Arial" w:hAnsi="Arial"/>
                <w:sz w:val="22"/>
                <w:szCs w:val="22"/>
              </w:rPr>
              <w:t xml:space="preserve">  Nova Scotia, Canada</w:t>
            </w:r>
          </w:p>
          <w:p>
            <w:pPr>
              <w:spacing w:after="80"/>
            </w:pPr>
            <w:r>
              <w:rPr>
                <w:rFonts w:ascii="Arial" w:cs="Arial" w:eastAsia="Arial" w:hAnsi="Arial"/>
                <w:b/>
                <w:bCs/>
                <w:color w:val="0E1E3A"/>
                <w:sz w:val="22"/>
                <w:szCs w:val="22"/>
              </w:rPr>
              <w:t xml:space="preserve">Compliance:</w:t>
            </w:r>
            <w:r>
              <w:rPr>
                <w:rFonts w:ascii="Arial" w:cs="Arial" w:eastAsia="Arial" w:hAnsi="Arial"/>
                <w:sz w:val="22"/>
                <w:szCs w:val="22"/>
              </w:rPr>
              <w:t xml:space="preserve">  PHIA · PIPEDA · PIIDPA</w:t>
            </w:r>
          </w:p>
          <w:p>
            <w:pPr>
              <w:spacing w:after="0"/>
            </w:pPr>
            <w:r>
              <w:rPr>
                <w:rFonts w:ascii="Arial" w:cs="Arial" w:eastAsia="Arial" w:hAnsi="Arial"/>
                <w:b/>
                <w:bCs/>
                <w:color w:val="0E1E3A"/>
                <w:sz w:val="22"/>
                <w:szCs w:val="22"/>
              </w:rPr>
              <w:t xml:space="preserve">Architecture Version:</w:t>
            </w:r>
            <w:r>
              <w:rPr>
                <w:rFonts w:ascii="Arial" w:cs="Arial" w:eastAsia="Arial" w:hAnsi="Arial"/>
                <w:sz w:val="22"/>
                <w:szCs w:val="22"/>
              </w:rPr>
              <w:t xml:space="preserve">  KLARA v2.4.x</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A83030"/>
                <w:sz w:val="20"/>
                <w:szCs w:val="20"/>
              </w:rPr>
              <w:t xml:space="preserve">SAFETY MANDATE:</w:t>
            </w:r>
            <w:r>
              <w:rPr>
                <w:rFonts w:ascii="Arial" w:cs="Arial" w:eastAsia="Arial" w:hAnsi="Arial"/>
                <w:sz w:val="20"/>
                <w:szCs w:val="20"/>
              </w:rPr>
              <w:t xml:space="preserve">   Klara does not diagnose medical conditions. It is a navigation intelligence layer. Emergency indicators always override system routing and cannot be suppressed by any operator, configuration, or user input.</w:t>
            </w:r>
          </w:p>
        </w:tc>
      </w:tr>
    </w:tbl>
    <w:p>
      <w:pPr>
        <w:spacing w:before="320" w:after="0"/>
      </w:pPr>
    </w:p>
    <w:p>
      <w:pPr>
        <w:pageBreakBefore/>
      </w:pPr>
    </w:p>
    <w:p>
      <w:pPr>
        <w:pBdr>
          <w:bottom w:val="single" w:color="C49A1E" w:sz="4" w:space="2"/>
        </w:pBdr>
        <w:spacing w:before="0" w:after="200"/>
      </w:pPr>
      <w:r>
        <w:rPr>
          <w:rFonts w:ascii="Arial" w:cs="Arial" w:eastAsia="Arial" w:hAnsi="Arial"/>
          <w:b/>
          <w:bCs/>
          <w:color w:val="0E1E3A"/>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1. System Architecture Overview</w:t>
      </w:r>
    </w:p>
    <w:p>
      <w:pPr>
        <w:pStyle w:val="Heading2"/>
        <w:pBdr>
          <w:bottom w:val="single" w:color="C49A1E" w:sz="4" w:space="2"/>
        </w:pBdr>
        <w:spacing w:before="360" w:after="120"/>
      </w:pPr>
      <w:r>
        <w:rPr>
          <w:rFonts w:ascii="Arial" w:cs="Arial" w:eastAsia="Arial" w:hAnsi="Arial"/>
          <w:b/>
          <w:bCs/>
          <w:color w:val="0E1E3A"/>
          <w:sz w:val="28"/>
          <w:szCs w:val="28"/>
        </w:rPr>
        <w:t xml:space="preserve">1.1 Architectural Philosophy</w:t>
      </w:r>
    </w:p>
    <w:p>
      <w:pPr>
        <w:spacing w:before="60" w:after="140"/>
      </w:pPr>
      <w:r>
        <w:rPr>
          <w:rFonts w:ascii="Arial" w:cs="Arial" w:eastAsia="Arial" w:hAnsi="Arial"/>
          <w:sz w:val="22"/>
          <w:szCs w:val="22"/>
        </w:rPr>
        <w:t xml:space="preserve">KLARA OS is designed as a stateless, event-driven navigation middleware layer. It sits upstream of all existing Nova Scotia digital health infrastructure — receiving patient input, producing routing decisions, and handing off structured intake data downstream. It is explicitly not a clinical system. It does not store persistent health records. It does not make diagnoses. Its single purpose is to reduce the time between a patient recognizing a health need and reaching the right care setting.</w:t>
      </w:r>
    </w:p>
    <w:p>
      <w:pPr>
        <w:spacing w:before="60" w:after="140"/>
      </w:pPr>
      <w:r>
        <w:rPr>
          <w:rFonts w:ascii="Arial" w:cs="Arial" w:eastAsia="Arial" w:hAnsi="Arial"/>
          <w:sz w:val="22"/>
          <w:szCs w:val="22"/>
        </w:rPr>
        <w:t xml:space="preserve">The architecture is organized into seven loosely-coupled service layers, each with a defined contract, independent deployability, and clear blast-radius boundaries. A patient session passes sequentially through layers, with each layer adding structured context to the routing decision object. No layer has authority to modify the decisions of previous layers except the Governance Middleware Layer, which acts as a safety override that can halt, escalate, or redirect any decision at any point.</w:t>
      </w:r>
    </w:p>
    <w:p>
      <w:pPr>
        <w:pStyle w:val="Heading2"/>
        <w:pBdr>
          <w:bottom w:val="single" w:color="C49A1E" w:sz="4" w:space="2"/>
        </w:pBdr>
        <w:spacing w:before="360" w:after="120"/>
      </w:pPr>
      <w:r>
        <w:rPr>
          <w:rFonts w:ascii="Arial" w:cs="Arial" w:eastAsia="Arial" w:hAnsi="Arial"/>
          <w:b/>
          <w:bCs/>
          <w:color w:val="0E1E3A"/>
          <w:sz w:val="28"/>
          <w:szCs w:val="28"/>
        </w:rPr>
        <w:t xml:space="preserve">1.2 Service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4360"/>
        <w:gridCol w:w="2600"/>
      </w:tblGrid>
      <w:tr>
        <w:tc>
          <w:tcPr>
            <w:tcW w:type="dxa" w:w="700"/>
            <w:tcBorders>
              <w:top w:val="single" w:color="D9DDE6" w:sz="1"/>
              <w:left w:val="single" w:color="D9DDE6" w:sz="1"/>
              <w:bottom w:val="single" w:color="D9DDE6" w:sz="1"/>
              <w:right w:val="single" w:color="D9DDE6" w:sz="1"/>
            </w:tcBorders>
            <w:shd w:fill="1A2233"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Stage</w:t>
            </w:r>
          </w:p>
        </w:tc>
        <w:tc>
          <w:tcPr>
            <w:tcW w:type="dxa" w:w="1700"/>
            <w:tcBorders>
              <w:top w:val="single" w:color="D9DDE6" w:sz="1"/>
              <w:left w:val="single" w:color="D9DDE6" w:sz="1"/>
              <w:bottom w:val="single" w:color="D9DDE6" w:sz="1"/>
              <w:right w:val="single" w:color="D9DDE6" w:sz="1"/>
            </w:tcBorders>
            <w:shd w:fill="1A2233"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Component</w:t>
            </w:r>
          </w:p>
        </w:tc>
        <w:tc>
          <w:tcPr>
            <w:tcW w:type="dxa" w:w="4360"/>
            <w:tcBorders>
              <w:top w:val="single" w:color="D9DDE6" w:sz="1"/>
              <w:left w:val="single" w:color="D9DDE6" w:sz="1"/>
              <w:bottom w:val="single" w:color="D9DDE6" w:sz="1"/>
              <w:right w:val="single" w:color="D9DDE6" w:sz="1"/>
            </w:tcBorders>
            <w:shd w:fill="1A2233"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Function</w:t>
            </w:r>
          </w:p>
        </w:tc>
        <w:tc>
          <w:tcPr>
            <w:tcW w:type="dxa" w:w="2600"/>
            <w:tcBorders>
              <w:top w:val="single" w:color="D9DDE6" w:sz="1"/>
              <w:left w:val="single" w:color="D9DDE6" w:sz="1"/>
              <w:bottom w:val="single" w:color="D9DDE6" w:sz="1"/>
              <w:right w:val="single" w:color="D9DDE6" w:sz="1"/>
            </w:tcBorders>
            <w:shd w:fill="1A2233"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Output</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01</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Patient Intake Layer</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Multimodal symptom ingestion via web, app, 811 digital front-end. Normalizes free text and structured tags.</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PatientInputRecord</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02</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Symptom Parsing Engine</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NLP/LLM extraction of clinical concepts, SNOMED-CT mapping, symptom graph construction.</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ParsedSymptomRecord</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03</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Risk Classification Engine</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Rule-based + ML-assisted urgency scoring. Green/Amber/Red triage classification.</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RiskClassificationRecord</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04</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Provincial Context Layer</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Real-time integration with OPOR, DIS/SHARE, service directory. Enriches decision with patient-specific context.</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EnrichedContextRecord</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05</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Capacity-Aware Routing Engine</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Matches risk + context against live service availability. Produces weighted pathway ranking.</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RoutingDecisionRecord</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06</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Care Recommendation Engine</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Composes human-readable recommendation with rationale, contact info, estimated wait.</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CareRecommendationRecord</w:t>
            </w:r>
          </w:p>
        </w:tc>
      </w:tr>
      <w:tr>
        <w:tc>
          <w:tcPr>
            <w:tcW w:type="dxa" w:w="700"/>
            <w:tcBorders>
              <w:top w:val="single" w:color="D9DDE6" w:sz="1"/>
              <w:left w:val="single" w:color="D9DDE6" w:sz="1"/>
              <w:bottom w:val="single" w:color="D9DDE6" w:sz="1"/>
              <w:right w:val="single" w:color="D9DDE6" w:sz="1"/>
            </w:tcBorders>
            <w:shd w:fill="0E1E3A" w:val="clear"/>
            <w:tcMar>
              <w:top w:type="dxa" w:w="100"/>
              <w:left w:type="dxa" w:w="120"/>
              <w:bottom w:type="dxa" w:w="100"/>
              <w:right w:type="dxa" w:w="120"/>
            </w:tcMar>
            <w:vAlign w:val="center"/>
          </w:tcPr>
          <w:p>
            <w:pPr>
              <w:spacing w:after="0"/>
              <w:jc w:val="center"/>
            </w:pPr>
            <w:r>
              <w:rPr>
                <w:rFonts w:ascii="Arial" w:cs="Arial" w:eastAsia="Arial" w:hAnsi="Arial"/>
                <w:b/>
                <w:bCs/>
                <w:color w:val="C49A1E"/>
                <w:sz w:val="20"/>
                <w:szCs w:val="20"/>
              </w:rPr>
              <w:t xml:space="preserve">07</w:t>
            </w:r>
          </w:p>
        </w:tc>
        <w:tc>
          <w:tcPr>
            <w:tcW w:type="dxa" w:w="1700"/>
            <w:tcBorders>
              <w:top w:val="single" w:color="D9DDE6" w:sz="1"/>
              <w:left w:val="single" w:color="D9DDE6" w:sz="1"/>
              <w:bottom w:val="single" w:color="D9DDE6" w:sz="1"/>
              <w:right w:val="single" w:color="D9DDE6" w:sz="1"/>
            </w:tcBorders>
            <w:shd w:fill="F2F4F7" w:val="clear"/>
            <w:tcMar>
              <w:top w:type="dxa" w:w="100"/>
              <w:left w:type="dxa" w:w="160"/>
              <w:bottom w:type="dxa" w:w="100"/>
              <w:right w:type="dxa" w:w="120"/>
            </w:tcMar>
          </w:tcPr>
          <w:p>
            <w:pPr>
              <w:spacing w:after="0"/>
            </w:pPr>
            <w:r>
              <w:rPr>
                <w:rFonts w:ascii="Arial" w:cs="Arial" w:eastAsia="Arial" w:hAnsi="Arial"/>
                <w:b/>
                <w:bCs/>
                <w:color w:val="0E1E3A"/>
                <w:sz w:val="20"/>
                <w:szCs w:val="20"/>
              </w:rPr>
              <w:t xml:space="preserve">Structured Output Engine</w:t>
            </w:r>
          </w:p>
        </w:tc>
        <w:tc>
          <w:tcPr>
            <w:tcW w:type="dxa" w:w="436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sz w:val="20"/>
                <w:szCs w:val="20"/>
              </w:rPr>
              <w:t xml:space="preserve">Generates FHIR R4-compliant intake packet for downstream clinician systems.</w:t>
            </w:r>
          </w:p>
        </w:tc>
        <w:tc>
          <w:tcPr>
            <w:tcW w:type="dxa" w:w="2600"/>
            <w:tcBorders>
              <w:top w:val="single" w:color="D9DDE6" w:sz="1"/>
              <w:left w:val="single" w:color="D9DDE6" w:sz="1"/>
              <w:bottom w:val="single" w:color="D9DDE6" w:sz="1"/>
              <w:right w:val="single" w:color="D9DDE6" w:sz="1"/>
            </w:tcBorders>
            <w:shd w:fill="FFFFFF" w:val="clear"/>
            <w:tcMar>
              <w:top w:type="dxa" w:w="100"/>
              <w:left w:type="dxa" w:w="160"/>
              <w:bottom w:type="dxa" w:w="100"/>
              <w:right w:type="dxa" w:w="120"/>
            </w:tcMar>
          </w:tcPr>
          <w:p>
            <w:pPr>
              <w:spacing w:after="0"/>
            </w:pPr>
            <w:r>
              <w:rPr>
                <w:rFonts w:ascii="Arial" w:cs="Arial" w:eastAsia="Arial" w:hAnsi="Arial"/>
                <w:color w:val="1A7A56"/>
                <w:sz w:val="20"/>
                <w:szCs w:val="20"/>
              </w:rPr>
              <w:t xml:space="preserve">FHIRIntakeBundle</w:t>
            </w:r>
          </w:p>
        </w:tc>
      </w:tr>
    </w:tbl>
    <w:p>
      <w:pPr>
        <w:spacing w:before="120" w:after="80"/>
      </w:pPr>
    </w:p>
    <w:p>
      <w:pPr>
        <w:pStyle w:val="Heading2"/>
        <w:pBdr>
          <w:bottom w:val="single" w:color="C49A1E" w:sz="4" w:space="2"/>
        </w:pBdr>
        <w:spacing w:before="360" w:after="120"/>
      </w:pPr>
      <w:r>
        <w:rPr>
          <w:rFonts w:ascii="Arial" w:cs="Arial" w:eastAsia="Arial" w:hAnsi="Arial"/>
          <w:b/>
          <w:bCs/>
          <w:color w:val="0E1E3A"/>
          <w:sz w:val="28"/>
          <w:szCs w:val="28"/>
        </w:rPr>
        <w:t xml:space="preserve">1.3 Communication Architecture</w:t>
      </w:r>
    </w:p>
    <w:p>
      <w:pPr>
        <w:spacing w:before="60" w:after="140"/>
      </w:pPr>
      <w:r>
        <w:rPr>
          <w:rFonts w:ascii="Arial" w:cs="Arial" w:eastAsia="Arial" w:hAnsi="Arial"/>
          <w:sz w:val="22"/>
          <w:szCs w:val="22"/>
        </w:rPr>
        <w:t xml:space="preserve">All inter-service communication uses a synchronous REST/JSON contract within a single session context. The session object — a JSON document called the NavigationContext — is created at intake and passed by reference through each processing layer. Each layer appends its output as a named section of the NavigationContext and returns the enriched object. This eliminates the need for async message queuing in the critical path, minimizing latency. The target routing time is under 10 seconds wall-clock for 95% of sessions.</w:t>
      </w:r>
    </w:p>
    <w:p>
      <w:pPr>
        <w:spacing w:before="60" w:after="140"/>
      </w:pPr>
      <w:r>
        <w:rPr>
          <w:rFonts w:ascii="Arial" w:cs="Arial" w:eastAsia="Arial" w:hAnsi="Arial"/>
          <w:sz w:val="22"/>
          <w:szCs w:val="22"/>
        </w:rPr>
        <w:t xml:space="preserve">The Governance Middleware Layer runs as an asynchronous observer on all layer outputs. It evaluates safety rules against each output and can inject an override decision into the NavigationContext, which immediately halts downstream processing and redirects to the Emergency Override pathway. This is the only mechanism permitted to modify a previously-written NavigationContext field.</w:t>
      </w:r>
    </w:p>
    <w:p>
      <w:pPr>
        <w:pStyle w:val="Heading2"/>
        <w:pBdr>
          <w:bottom w:val="single" w:color="C49A1E" w:sz="4" w:space="2"/>
        </w:pBdr>
        <w:spacing w:before="360" w:after="120"/>
      </w:pPr>
      <w:r>
        <w:rPr>
          <w:rFonts w:ascii="Arial" w:cs="Arial" w:eastAsia="Arial" w:hAnsi="Arial"/>
          <w:b/>
          <w:bCs/>
          <w:color w:val="0E1E3A"/>
          <w:sz w:val="28"/>
          <w:szCs w:val="28"/>
        </w:rPr>
        <w:t xml:space="preserve">1.4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Session Flow:</w:t>
            </w:r>
            <w:r>
              <w:rPr>
                <w:rFonts w:ascii="Arial" w:cs="Arial" w:eastAsia="Arial" w:hAnsi="Arial"/>
                <w:sz w:val="20"/>
                <w:szCs w:val="20"/>
              </w:rPr>
              <w:t xml:space="preserve">   PatientInput → [IntakeLayer] → [SymptomParser] → [RiskEngine] → [ContextLayer] → [RoutingEngine] → [RecommendationEngine] → [OutputEngine] → FHIRBundle to destination system</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Governance Observer:</w:t>
            </w:r>
            <w:r>
              <w:rPr>
                <w:rFonts w:ascii="Arial" w:cs="Arial" w:eastAsia="Arial" w:hAnsi="Arial"/>
                <w:sz w:val="20"/>
                <w:szCs w:val="20"/>
              </w:rPr>
              <w:t xml:space="preserve">   Runs in parallel on every layer output. Red-flag detection triggers immediate halt and 911/ED redirect. Audit log entry written at each step regardless of outcome.</w:t>
            </w:r>
          </w:p>
        </w:tc>
      </w:tr>
    </w:tbl>
    <w:p>
      <w:pPr>
        <w:spacing w:before="120" w:after="80"/>
      </w:pPr>
    </w:p>
    <w:p>
      <w:pPr>
        <w:pStyle w:val="Heading2"/>
        <w:pBdr>
          <w:bottom w:val="single" w:color="C49A1E" w:sz="4" w:space="2"/>
        </w:pBdr>
        <w:spacing w:before="360" w:after="120"/>
      </w:pPr>
      <w:r>
        <w:rPr>
          <w:rFonts w:ascii="Arial" w:cs="Arial" w:eastAsia="Arial" w:hAnsi="Arial"/>
          <w:b/>
          <w:bCs/>
          <w:color w:val="0E1E3A"/>
          <w:sz w:val="28"/>
          <w:szCs w:val="28"/>
        </w:rPr>
        <w:t xml:space="preserve">1.5 Orchestration</w:t>
      </w:r>
    </w:p>
    <w:p>
      <w:pPr>
        <w:spacing w:before="60" w:after="140"/>
      </w:pPr>
      <w:r>
        <w:rPr>
          <w:rFonts w:ascii="Arial" w:cs="Arial" w:eastAsia="Arial" w:hAnsi="Arial"/>
          <w:sz w:val="22"/>
          <w:szCs w:val="22"/>
        </w:rPr>
        <w:t xml:space="preserve">KLARA uses a simple pipeline orchestrator pattern: a Coordinator Service receives the initial patient request, creates the NavigationContext, and calls each processing layer in sequence. The Coordinator enforces timeouts at each stage (maximum 2 seconds per layer) and implements a fallback strategy — if any layer fails or times out, the Coordinator defaults the NavigationContext to an Amber/Yellow classification and routes to 811 TeleHealth as a safe universal fallback. This fail-safe design ensures the system never leaves a patient without a pathway, even under degraded conditions.</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2. Patient Intake Engine</w:t>
      </w:r>
    </w:p>
    <w:p>
      <w:pPr>
        <w:pStyle w:val="Heading2"/>
        <w:pBdr>
          <w:bottom w:val="single" w:color="C49A1E" w:sz="4" w:space="2"/>
        </w:pBdr>
        <w:spacing w:before="360" w:after="120"/>
      </w:pPr>
      <w:r>
        <w:rPr>
          <w:rFonts w:ascii="Arial" w:cs="Arial" w:eastAsia="Arial" w:hAnsi="Arial"/>
          <w:b/>
          <w:bCs/>
          <w:color w:val="0E1E3A"/>
          <w:sz w:val="28"/>
          <w:szCs w:val="28"/>
        </w:rPr>
        <w:t xml:space="preserve">2.1 Intake Channels</w:t>
      </w:r>
    </w:p>
    <w:p>
      <w:pPr>
        <w:spacing w:before="60" w:after="140"/>
      </w:pPr>
      <w:r>
        <w:rPr>
          <w:rFonts w:ascii="Arial" w:cs="Arial" w:eastAsia="Arial" w:hAnsi="Arial"/>
          <w:sz w:val="22"/>
          <w:szCs w:val="22"/>
        </w:rPr>
        <w:t xml:space="preserve">The Patient Intake Engine accepts input from three primary channels, each producing a normalized PatientInputRecord for downstream processing.</w:t>
      </w:r>
    </w:p>
    <w:p>
      <w:pPr>
        <w:pStyle w:val="ListParagraph"/>
        <w:numPr>
          <w:ilvl w:val="0"/>
          <w:numId w:val="2"/>
        </w:numPr>
        <w:spacing w:after="100"/>
      </w:pPr>
      <w:r>
        <w:rPr>
          <w:rFonts w:ascii="Arial" w:cs="Arial" w:eastAsia="Arial" w:hAnsi="Arial"/>
          <w:sz w:val="22"/>
          <w:szCs w:val="22"/>
        </w:rPr>
        <w:t xml:space="preserve">Web Portal: React-based symptom entry with structured quick-tags and free-text input field. Supports English and French. Accessible to all Nova Scotians at klara.novascotia.ca.</w:t>
      </w:r>
    </w:p>
    <w:p>
      <w:pPr>
        <w:pStyle w:val="ListParagraph"/>
        <w:numPr>
          <w:ilvl w:val="0"/>
          <w:numId w:val="2"/>
        </w:numPr>
        <w:spacing w:after="100"/>
      </w:pPr>
      <w:r>
        <w:rPr>
          <w:rFonts w:ascii="Arial" w:cs="Arial" w:eastAsia="Arial" w:hAnsi="Arial"/>
          <w:sz w:val="22"/>
          <w:szCs w:val="22"/>
        </w:rPr>
        <w:t xml:space="preserve">YourHealthNS App Integration: KLARA operates as the navigation intelligence engine behind the YourHealthNS app, replacing or augmenting the existing Nova AI assistant with structured intake capability.</w:t>
      </w:r>
    </w:p>
    <w:p>
      <w:pPr>
        <w:pStyle w:val="ListParagraph"/>
        <w:numPr>
          <w:ilvl w:val="0"/>
          <w:numId w:val="2"/>
        </w:numPr>
        <w:spacing w:after="100"/>
      </w:pPr>
      <w:r>
        <w:rPr>
          <w:rFonts w:ascii="Arial" w:cs="Arial" w:eastAsia="Arial" w:hAnsi="Arial"/>
          <w:sz w:val="22"/>
          <w:szCs w:val="22"/>
        </w:rPr>
        <w:t xml:space="preserve">811 TeleHealth Digital Front-End: When patients call 811, a digital IVR option offers a web/app intake pathway before connecting with a nurse. Structured data from KLARA-processed sessions is forwarded to the nurse, reducing 811 call assessment time.</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2.2 NLP Symptom Extraction</w:t>
      </w:r>
    </w:p>
    <w:p>
      <w:pPr>
        <w:spacing w:before="60" w:after="140"/>
      </w:pPr>
      <w:r>
        <w:rPr>
          <w:rFonts w:ascii="Arial" w:cs="Arial" w:eastAsia="Arial" w:hAnsi="Arial"/>
          <w:sz w:val="22"/>
          <w:szCs w:val="22"/>
        </w:rPr>
        <w:t xml:space="preserve">Free-text symptom input is processed by a two-stage NLP pipeline. Stage 1 uses a fine-tuned clinical NER (Named Entity Recognition) model to identify symptom mentions, anatomical locations, temporal markers (duration, onset), severity qualifiers, and negation patterns. Stage 2 maps extracted mentions to SNOMED-CT concepts using a retrieval-augmented lookup against the Canadian SNOMED-CT edition, aligned with CACDI pan-Canadian standards.</w:t>
      </w:r>
    </w:p>
    <w:p>
      <w:pPr>
        <w:spacing w:before="60" w:after="140"/>
      </w:pPr>
      <w:r>
        <w:rPr>
          <w:rFonts w:ascii="Arial" w:cs="Arial" w:eastAsia="Arial" w:hAnsi="Arial"/>
          <w:sz w:val="22"/>
          <w:szCs w:val="22"/>
        </w:rPr>
        <w:t xml:space="preserve">The NLP pipeline is intentionally conservative: it extracts presenting complaint data, not diagnostic conclusions. The output is always framed as structured presenting complaints — analogous to what a triage nurse would document before a physician assessment — never as clinical interpretations. Any extraction with confidence below 0.72 is flagged as low-confidence and excluded from risk signal computation, defaulting to higher-acuity classification.</w:t>
      </w:r>
    </w:p>
    <w:p>
      <w:pPr>
        <w:pStyle w:val="Heading2"/>
        <w:pBdr>
          <w:bottom w:val="single" w:color="C49A1E" w:sz="4" w:space="2"/>
        </w:pBdr>
        <w:spacing w:before="360" w:after="120"/>
      </w:pPr>
      <w:r>
        <w:rPr>
          <w:rFonts w:ascii="Arial" w:cs="Arial" w:eastAsia="Arial" w:hAnsi="Arial"/>
          <w:b/>
          <w:bCs/>
          <w:color w:val="0E1E3A"/>
          <w:sz w:val="28"/>
          <w:szCs w:val="28"/>
        </w:rPr>
        <w:t xml:space="preserve">2.3 PatientInputRecord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Schema:</w:t>
            </w:r>
            <w:r>
              <w:rPr>
                <w:rFonts w:ascii="Arial" w:cs="Arial" w:eastAsia="Arial" w:hAnsi="Arial"/>
                <w:sz w:val="20"/>
                <w:szCs w:val="20"/>
              </w:rPr>
              <w:t xml:space="preserve">   PatientInputRecord { sessionId, timestamp, channel, rawInput, structuredSymptoms[], duration, severity, anatomicalLocation, riskFlags[], demographics { age_group, region, mobility }, consent { dis_query, share_query }, confidence_score }</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2.4 Symptom Ontology</w:t>
      </w:r>
    </w:p>
    <w:p>
      <w:pPr>
        <w:spacing w:before="60" w:after="140"/>
      </w:pPr>
      <w:r>
        <w:rPr>
          <w:rFonts w:ascii="Arial" w:cs="Arial" w:eastAsia="Arial" w:hAnsi="Arial"/>
          <w:sz w:val="22"/>
          <w:szCs w:val="22"/>
        </w:rPr>
        <w:t xml:space="preserve">All extracted symptoms are normalized to the following hierarchy: SNOMED-CT concept ID, canonical display name, symptom category (respiratory, cardiac, neurological, dermatological, psychiatric, gastrointestinal, musculoskeletal, general), body region, and urgency weight. Urgency weights are pre-calibrated against Schmitt-Thompson nurse triage protocols and the Canadian Triage and Acuity Scale (CTAS) criteria. The ontology is version-controlled and updated quarterly by a clinical advisory panel.</w:t>
      </w:r>
    </w:p>
    <w:p>
      <w:pPr>
        <w:pStyle w:val="Heading2"/>
        <w:pBdr>
          <w:bottom w:val="single" w:color="C49A1E" w:sz="4" w:space="2"/>
        </w:pBdr>
        <w:spacing w:before="360" w:after="120"/>
      </w:pPr>
      <w:r>
        <w:rPr>
          <w:rFonts w:ascii="Arial" w:cs="Arial" w:eastAsia="Arial" w:hAnsi="Arial"/>
          <w:b/>
          <w:bCs/>
          <w:color w:val="0E1E3A"/>
          <w:sz w:val="28"/>
          <w:szCs w:val="28"/>
        </w:rPr>
        <w:t xml:space="preserve">2.5 Risk Signal Detection</w:t>
      </w:r>
    </w:p>
    <w:p>
      <w:pPr>
        <w:spacing w:before="60" w:after="140"/>
      </w:pPr>
      <w:r>
        <w:rPr>
          <w:rFonts w:ascii="Arial" w:cs="Arial" w:eastAsia="Arial" w:hAnsi="Arial"/>
          <w:sz w:val="22"/>
          <w:szCs w:val="22"/>
        </w:rPr>
        <w:t xml:space="preserve">During intake processing, the Intake Engine runs a parallel safety scan on all input — both raw text and extracted concepts — against a Critical Symptom Register (CSR). The CSR is a curated list of high-specificity terms and concept clusters associated with immediately life-threatening conditions. Any CSR match immediately sets the session risk flag to CRITICAL_OVERRIDE, bypassing all downstream processing and triggering the Emergency Override pathway. This is a rule-based, deterministic safety tripwire — not AI-assisted.</w:t>
      </w:r>
    </w:p>
    <w:p>
      <w:pPr>
        <w:spacing w:before="60" w:after="140"/>
      </w:pPr>
      <w:r>
        <w:rPr>
          <w:rFonts w:ascii="Arial" w:cs="Arial" w:eastAsia="Arial" w:hAnsi="Arial"/>
          <w:sz w:val="22"/>
          <w:szCs w:val="22"/>
        </w:rPr>
        <w:t xml:space="preserve">CSR includes: chest pain, crushing chest pressure, can't breathe, severe shortness of breath, suicidal ideation, active bleeding, altered consciousness, loss of consciousness, seizure, stroke symptoms (facial droop, arm weakness, speech difficulty), severe allergic reaction, anaphylaxis.</w:t>
      </w:r>
    </w:p>
    <w:p>
      <w:pPr>
        <w:pStyle w:val="Heading2"/>
        <w:pBdr>
          <w:bottom w:val="single" w:color="C49A1E" w:sz="4" w:space="2"/>
        </w:pBdr>
        <w:spacing w:before="360" w:after="120"/>
      </w:pPr>
      <w:r>
        <w:rPr>
          <w:rFonts w:ascii="Arial" w:cs="Arial" w:eastAsia="Arial" w:hAnsi="Arial"/>
          <w:b/>
          <w:bCs/>
          <w:color w:val="0E1E3A"/>
          <w:sz w:val="28"/>
          <w:szCs w:val="28"/>
        </w:rPr>
        <w:t xml:space="preserve">2.6 Demographic Modifiers</w:t>
      </w:r>
    </w:p>
    <w:p>
      <w:pPr>
        <w:spacing w:before="60" w:after="140"/>
      </w:pPr>
      <w:r>
        <w:rPr>
          <w:rFonts w:ascii="Arial" w:cs="Arial" w:eastAsia="Arial" w:hAnsi="Arial"/>
          <w:sz w:val="22"/>
          <w:szCs w:val="22"/>
        </w:rPr>
        <w:t xml:space="preserve">Demographic context adjusts risk thresholds and pathway eligibility. Key modifiers include: pediatric age group (escalates respiratory and fever thresholds), geriatric age group (escalates fall, confusion, and cardiac thresholds), rural location (limits pathway options; prioritizes virtual care), reported mobility limitation (eliminates walk-in pathway options), and pregnancy (escalates abdominal and obstetric symptom thresholds).</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3. Risk Classification Engine</w:t>
      </w:r>
    </w:p>
    <w:p>
      <w:pPr>
        <w:pStyle w:val="Heading2"/>
        <w:pBdr>
          <w:bottom w:val="single" w:color="C49A1E" w:sz="4" w:space="2"/>
        </w:pBdr>
        <w:spacing w:before="360" w:after="120"/>
      </w:pPr>
      <w:r>
        <w:rPr>
          <w:rFonts w:ascii="Arial" w:cs="Arial" w:eastAsia="Arial" w:hAnsi="Arial"/>
          <w:b/>
          <w:bCs/>
          <w:color w:val="0E1E3A"/>
          <w:sz w:val="28"/>
          <w:szCs w:val="28"/>
        </w:rPr>
        <w:t xml:space="preserve">3.1 Classification Architecture</w:t>
      </w:r>
    </w:p>
    <w:p>
      <w:pPr>
        <w:spacing w:before="60" w:after="140"/>
      </w:pPr>
      <w:r>
        <w:rPr>
          <w:rFonts w:ascii="Arial" w:cs="Arial" w:eastAsia="Arial" w:hAnsi="Arial"/>
          <w:sz w:val="22"/>
          <w:szCs w:val="22"/>
        </w:rPr>
        <w:t xml:space="preserve">The Risk Classification Engine implements a two-tier architecture: a deterministic rule layer and a probabilistic scoring layer. The rule layer executes first and has unconditional authority. If any rule matches, the classification is set and the scoring layer is bypassed. This ensures that no probabilistic model can ever override a hard clinical safety rule.</w:t>
      </w:r>
    </w:p>
    <w:p>
      <w:pPr>
        <w:pStyle w:val="Heading2"/>
        <w:pBdr>
          <w:bottom w:val="single" w:color="C49A1E" w:sz="4" w:space="2"/>
        </w:pBdr>
        <w:spacing w:before="360" w:after="120"/>
      </w:pPr>
      <w:r>
        <w:rPr>
          <w:rFonts w:ascii="Arial" w:cs="Arial" w:eastAsia="Arial" w:hAnsi="Arial"/>
          <w:b/>
          <w:bCs/>
          <w:color w:val="0E1E3A"/>
          <w:sz w:val="28"/>
          <w:szCs w:val="28"/>
        </w:rPr>
        <w:t xml:space="preserve">3.2 Triage Classification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Classification</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Description</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GREEN — Safe / Informational</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Symptoms are non-urgent. No emergency indicators. Self-care guidance, pharmacy prescribing, or scheduled primary care is appropriate. Score: 0–29.</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AMBER — Clinician Evaluation</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Symptoms indicate moderate concern. A clinician should assess within 12–24 hours. Virtual care or primary care is appropriate. Score: 30–64.</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RED — Urgent Care Required</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Urgent indicators detected. Emergency department, urgent treatment centre, or 911 depending on acuity. Score: 65–100.</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CRITICAL_OVERRIDE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CSR match detected. Deterministic rule layer activated. System immediately redirects to 911/ED. Cannot be suppressed.</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3.3 Scoring Logic</w:t>
      </w:r>
    </w:p>
    <w:p>
      <w:pPr>
        <w:spacing w:before="60" w:after="140"/>
      </w:pPr>
      <w:r>
        <w:rPr>
          <w:rFonts w:ascii="Arial" w:cs="Arial" w:eastAsia="Arial" w:hAnsi="Arial"/>
          <w:sz w:val="22"/>
          <w:szCs w:val="22"/>
        </w:rPr>
        <w:t xml:space="preserve">The probabilistic scoring layer computes a risk score from 0–100 using a weighted sum of symptom urgency signals. Each extracted symptom carries an urgency weight from the clinical ontology. Duration and severity modifiers apply multipliers. Demographic modifiers apply to threshold boundaries. The final score is mapped to the Green/Amber/Red classification with asymmetric thresholds: the system scores more conservatively for pediatric, geriatric, and rural patients.</w:t>
      </w:r>
    </w:p>
    <w:p>
      <w:pPr>
        <w:spacing w:before="60" w:after="140"/>
      </w:pPr>
      <w:r>
        <w:rPr>
          <w:rFonts w:ascii="Arial" w:cs="Arial" w:eastAsia="Arial" w:hAnsi="Arial"/>
          <w:sz w:val="22"/>
          <w:szCs w:val="22"/>
        </w:rPr>
        <w:t xml:space="preserve">Risk Score = SUM(symptom_urgency_weight × severity_multiplier × duration_modifier) × demographic_modifier × confidence_discount</w:t>
      </w:r>
    </w:p>
    <w:p>
      <w:pPr>
        <w:spacing w:before="60" w:after="140"/>
      </w:pPr>
      <w:r>
        <w:rPr>
          <w:rFonts w:ascii="Arial" w:cs="Arial" w:eastAsia="Arial" w:hAnsi="Arial"/>
          <w:sz w:val="22"/>
          <w:szCs w:val="22"/>
        </w:rPr>
        <w:t xml:space="preserve">A confidence_discount is applied when NLP extraction confidence is below 0.85, nudging the score toward higher acuity. This implements the principle: when uncertain, escalate appropriately rather than reassure.</w:t>
      </w:r>
    </w:p>
    <w:p>
      <w:pPr>
        <w:pStyle w:val="Heading2"/>
        <w:pBdr>
          <w:bottom w:val="single" w:color="C49A1E" w:sz="4" w:space="2"/>
        </w:pBdr>
        <w:spacing w:before="360" w:after="120"/>
      </w:pPr>
      <w:r>
        <w:rPr>
          <w:rFonts w:ascii="Arial" w:cs="Arial" w:eastAsia="Arial" w:hAnsi="Arial"/>
          <w:b/>
          <w:bCs/>
          <w:color w:val="0E1E3A"/>
          <w:sz w:val="28"/>
          <w:szCs w:val="28"/>
        </w:rPr>
        <w:t xml:space="preserve">3.4 Escalation Rules</w:t>
      </w:r>
    </w:p>
    <w:p>
      <w:pPr>
        <w:pStyle w:val="ListParagraph"/>
        <w:numPr>
          <w:ilvl w:val="0"/>
          <w:numId w:val="2"/>
        </w:numPr>
        <w:spacing w:after="100"/>
      </w:pPr>
      <w:r>
        <w:rPr>
          <w:rFonts w:ascii="Arial" w:cs="Arial" w:eastAsia="Arial" w:hAnsi="Arial"/>
          <w:sz w:val="22"/>
          <w:szCs w:val="22"/>
        </w:rPr>
        <w:t xml:space="preserve">Any score &gt;= 65 triggers RED classification regardless of confidence level.</w:t>
      </w:r>
    </w:p>
    <w:p>
      <w:pPr>
        <w:pStyle w:val="ListParagraph"/>
        <w:numPr>
          <w:ilvl w:val="0"/>
          <w:numId w:val="2"/>
        </w:numPr>
        <w:spacing w:after="100"/>
      </w:pPr>
      <w:r>
        <w:rPr>
          <w:rFonts w:ascii="Arial" w:cs="Arial" w:eastAsia="Arial" w:hAnsi="Arial"/>
          <w:sz w:val="22"/>
          <w:szCs w:val="22"/>
        </w:rPr>
        <w:t xml:space="preserve">Any CSR match triggers CRITICAL_OVERRIDE regardless of score.</w:t>
      </w:r>
    </w:p>
    <w:p>
      <w:pPr>
        <w:pStyle w:val="ListParagraph"/>
        <w:numPr>
          <w:ilvl w:val="0"/>
          <w:numId w:val="2"/>
        </w:numPr>
        <w:spacing w:after="100"/>
      </w:pPr>
      <w:r>
        <w:rPr>
          <w:rFonts w:ascii="Arial" w:cs="Arial" w:eastAsia="Arial" w:hAnsi="Arial"/>
          <w:sz w:val="22"/>
          <w:szCs w:val="22"/>
        </w:rPr>
        <w:t xml:space="preserve">Any session where overall NLP confidence &lt; 0.50 defaults to AMBER classification.</w:t>
      </w:r>
    </w:p>
    <w:p>
      <w:pPr>
        <w:pStyle w:val="ListParagraph"/>
        <w:numPr>
          <w:ilvl w:val="0"/>
          <w:numId w:val="2"/>
        </w:numPr>
        <w:spacing w:after="100"/>
      </w:pPr>
      <w:r>
        <w:rPr>
          <w:rFonts w:ascii="Arial" w:cs="Arial" w:eastAsia="Arial" w:hAnsi="Arial"/>
          <w:sz w:val="22"/>
          <w:szCs w:val="22"/>
        </w:rPr>
        <w:t xml:space="preserve">Pediatric sessions with fever &gt;38.5°C AND respiratory symptoms are automatically escalated to AMBER minimum.</w:t>
      </w:r>
    </w:p>
    <w:p>
      <w:pPr>
        <w:pStyle w:val="ListParagraph"/>
        <w:numPr>
          <w:ilvl w:val="0"/>
          <w:numId w:val="2"/>
        </w:numPr>
        <w:spacing w:after="100"/>
      </w:pPr>
      <w:r>
        <w:rPr>
          <w:rFonts w:ascii="Arial" w:cs="Arial" w:eastAsia="Arial" w:hAnsi="Arial"/>
          <w:sz w:val="22"/>
          <w:szCs w:val="22"/>
        </w:rPr>
        <w:t xml:space="preserve">Any mental health session with key ideation signals triggers mandatory RED/CRITICAL_OVERRIDE.</w:t>
      </w:r>
    </w:p>
    <w:p>
      <w:pPr>
        <w:pStyle w:val="ListParagraph"/>
        <w:numPr>
          <w:ilvl w:val="0"/>
          <w:numId w:val="2"/>
        </w:numPr>
        <w:spacing w:after="100"/>
      </w:pPr>
      <w:r>
        <w:rPr>
          <w:rFonts w:ascii="Arial" w:cs="Arial" w:eastAsia="Arial" w:hAnsi="Arial"/>
          <w:sz w:val="22"/>
          <w:szCs w:val="22"/>
        </w:rPr>
        <w:t xml:space="preserve">Sessions with multiple comorbidity flags from DIS/SHARE context query are subject to a +10 score uplift.</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3.5 Avoiding False Reassurance</w:t>
      </w:r>
    </w:p>
    <w:p>
      <w:pPr>
        <w:spacing w:before="60" w:after="140"/>
      </w:pPr>
      <w:r>
        <w:rPr>
          <w:rFonts w:ascii="Arial" w:cs="Arial" w:eastAsia="Arial" w:hAnsi="Arial"/>
          <w:sz w:val="22"/>
          <w:szCs w:val="22"/>
        </w:rPr>
        <w:t xml:space="preserve">False reassurance — routing an urgent case to an inappropriate low-acuity pathway — is the highest-risk failure mode. The engine implements three mechanisms to prevent it. First, the CSR rule layer is pre-emptive and cannot be bypassed by any downstream logic. Second, asymmetric thresholds mean the system prefers false positive escalations over false negative reassurances: the cost of an unnecessary virtual care appointment is far lower than the cost of missing a serious condition. Third, all low-confidence extractions default upward — toward AMBER rather than GREEN.</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4. Healthcare Routing Engine</w:t>
      </w:r>
    </w:p>
    <w:p>
      <w:pPr>
        <w:pStyle w:val="Heading2"/>
        <w:pBdr>
          <w:bottom w:val="single" w:color="C49A1E" w:sz="4" w:space="2"/>
        </w:pBdr>
        <w:spacing w:before="360" w:after="120"/>
      </w:pPr>
      <w:r>
        <w:rPr>
          <w:rFonts w:ascii="Arial" w:cs="Arial" w:eastAsia="Arial" w:hAnsi="Arial"/>
          <w:b/>
          <w:bCs/>
          <w:color w:val="0E1E3A"/>
          <w:sz w:val="28"/>
          <w:szCs w:val="28"/>
        </w:rPr>
        <w:t xml:space="preserve">4.1 Routing Architecture</w:t>
      </w:r>
    </w:p>
    <w:p>
      <w:pPr>
        <w:spacing w:before="60" w:after="140"/>
      </w:pPr>
      <w:r>
        <w:rPr>
          <w:rFonts w:ascii="Arial" w:cs="Arial" w:eastAsia="Arial" w:hAnsi="Arial"/>
          <w:sz w:val="22"/>
          <w:szCs w:val="22"/>
        </w:rPr>
        <w:t xml:space="preserve">The Routing Engine receives the RiskClassificationRecord and EnrichedContextRecord and produces a weighted ranked list of care pathways. The ranking algorithm is a weighted scoring model: PathwayScore = (acuity_match × 0.40) + (availability × 0.25) + (proximity × 0.20) + (patient_preference × 0.15). Hard constraints eliminate pathways regardless of score: closed facilities are excluded, RED/CRITICAL_OVERRIDE cases exclude GREEN pathways, and provincial capacity caps prevent routing to facilities at maximum load.</w:t>
      </w:r>
    </w:p>
    <w:p>
      <w:pPr>
        <w:pStyle w:val="Heading2"/>
        <w:pBdr>
          <w:bottom w:val="single" w:color="C49A1E" w:sz="4" w:space="2"/>
        </w:pBdr>
        <w:spacing w:before="360" w:after="120"/>
      </w:pPr>
      <w:r>
        <w:rPr>
          <w:rFonts w:ascii="Arial" w:cs="Arial" w:eastAsia="Arial" w:hAnsi="Arial"/>
          <w:b/>
          <w:bCs/>
          <w:color w:val="0E1E3A"/>
          <w:sz w:val="28"/>
          <w:szCs w:val="28"/>
        </w:rPr>
        <w:t xml:space="preserve">4.2 Care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80"/>
        <w:gridCol w:w="2580"/>
      </w:tblGrid>
      <w:tr>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Pathway</w:t>
            </w:r>
          </w:p>
        </w:tc>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Eligible Risk Levels</w:t>
            </w:r>
          </w:p>
        </w:tc>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Routing Conditions</w:t>
            </w:r>
          </w:p>
        </w:tc>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Data Handoff</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19"/>
                <w:szCs w:val="19"/>
              </w:rPr>
              <w:t xml:space="preserve">Emergency Department (911)</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RED · CRITICAL_OVERRIDE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Life-threatening signals. CRITICAL_OVERRIDE mandatory.</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Call 911 guidance + FHIR summary if time permits</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19"/>
                <w:szCs w:val="19"/>
              </w:rPr>
              <w:t xml:space="preserve">Urgent Treatment Centre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RED · AMBER (high)</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Urgent but not life-threatening. UTC capacity available.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FHIR intake bundle to UTC registration system</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19"/>
                <w:szCs w:val="19"/>
              </w:rPr>
              <w:t xml:space="preserve">VirtualCareNS</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GREEN · AMBER</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Virtual care appropriate. Appointment slots available.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Pre-structured intake to Maple platform session</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19"/>
                <w:szCs w:val="19"/>
              </w:rPr>
              <w:t xml:space="preserve">Pharmacy Prescribing</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GREEN</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One of 19+ NS eligible conditions identified. Pharmacy available.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Structured intake with SNOMED codes to pharmacist</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19"/>
                <w:szCs w:val="19"/>
              </w:rPr>
              <w:t xml:space="preserve">Primary Care Clinic</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GREEN · AMBER (low)</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Collaborative Health Centre within 15km. Non-urgent.</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FHIR DocumentReference to clinic EMR via Ocean</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19"/>
                <w:szCs w:val="19"/>
              </w:rPr>
              <w:t xml:space="preserve">Self-Care Guidance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GREEN (low-acuity)</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Common, non-urgent symptom cluster. No flags.</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19"/>
                <w:szCs w:val="19"/>
              </w:rPr>
              <w:t xml:space="preserve">Self-care protocol document + pharmacy direction</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4.3 Capacity-Aware Routing</w:t>
      </w:r>
    </w:p>
    <w:p>
      <w:pPr>
        <w:spacing w:before="60" w:after="140"/>
      </w:pPr>
      <w:r>
        <w:rPr>
          <w:rFonts w:ascii="Arial" w:cs="Arial" w:eastAsia="Arial" w:hAnsi="Arial"/>
          <w:sz w:val="22"/>
          <w:szCs w:val="22"/>
        </w:rPr>
        <w:t xml:space="preserve">Routing decisions incorporate real-time service availability data. The Capacity Layer queries a Provincial Service Directory (PSDA) API that aggregates availability from VirtualCareNS slot feeds, 811 queue depth estimates, community ED open/closed status (ingested from NSH public notices), walk-in clinic hours, and partner clinician panel load. Where real-time data is unavailable, the system falls back to static service directory schedules enriched with known closure patterns.</w:t>
      </w:r>
    </w:p>
    <w:p>
      <w:pPr>
        <w:spacing w:before="60" w:after="140"/>
      </w:pPr>
      <w:r>
        <w:rPr>
          <w:rFonts w:ascii="Arial" w:cs="Arial" w:eastAsia="Arial" w:hAnsi="Arial"/>
          <w:sz w:val="22"/>
          <w:szCs w:val="22"/>
        </w:rPr>
        <w:t xml:space="preserve">Rural routing implements a dedicated load-balancing algorithm: if a patient's nearest ED is closed, the system routes through a weighted fallback chain (nearby UTC → VirtualCareNS → 811 → partner clinician) with hard constraints preventing routing to facilities at &gt;90% declared capacity. This prevents the flooding problem where automated routing concentrates demand at a single overflow point.</w:t>
      </w:r>
    </w:p>
    <w:p>
      <w:pPr>
        <w:pStyle w:val="Heading2"/>
        <w:pBdr>
          <w:bottom w:val="single" w:color="C49A1E" w:sz="4" w:space="2"/>
        </w:pBdr>
        <w:spacing w:before="360" w:after="120"/>
      </w:pPr>
      <w:r>
        <w:rPr>
          <w:rFonts w:ascii="Arial" w:cs="Arial" w:eastAsia="Arial" w:hAnsi="Arial"/>
          <w:b/>
          <w:bCs/>
          <w:color w:val="0E1E3A"/>
          <w:sz w:val="28"/>
          <w:szCs w:val="28"/>
        </w:rPr>
        <w:t xml:space="preserve">4.4 Routing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Schema:</w:t>
            </w:r>
            <w:r>
              <w:rPr>
                <w:rFonts w:ascii="Arial" w:cs="Arial" w:eastAsia="Arial" w:hAnsi="Arial"/>
                <w:sz w:val="20"/>
                <w:szCs w:val="20"/>
              </w:rPr>
              <w:t xml:space="preserve">   RoutingDecisionRecord { sessionId, riskLevel, primaryPathway, alternativePathways[], pathwayScore, exclusionReasons[], estimatedWait, geographicDistance, capacityStatus, confidenceScore, rationale_text, timestamp, governanceVersion }</w:t>
            </w:r>
          </w:p>
        </w:tc>
      </w:tr>
    </w:tbl>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5. Provincial Healthcare Context Layer</w:t>
      </w:r>
    </w:p>
    <w:p>
      <w:pPr>
        <w:pStyle w:val="Heading2"/>
        <w:pBdr>
          <w:bottom w:val="single" w:color="C49A1E" w:sz="4" w:space="2"/>
        </w:pBdr>
        <w:spacing w:before="360" w:after="120"/>
      </w:pPr>
      <w:r>
        <w:rPr>
          <w:rFonts w:ascii="Arial" w:cs="Arial" w:eastAsia="Arial" w:hAnsi="Arial"/>
          <w:b/>
          <w:bCs/>
          <w:color w:val="0E1E3A"/>
          <w:sz w:val="28"/>
          <w:szCs w:val="28"/>
        </w:rPr>
        <w:t xml:space="preserve">5.1 Context Layer Purpose</w:t>
      </w:r>
    </w:p>
    <w:p>
      <w:pPr>
        <w:spacing w:before="60" w:after="140"/>
      </w:pPr>
      <w:r>
        <w:rPr>
          <w:rFonts w:ascii="Arial" w:cs="Arial" w:eastAsia="Arial" w:hAnsi="Arial"/>
          <w:sz w:val="22"/>
          <w:szCs w:val="22"/>
        </w:rPr>
        <w:t xml:space="preserve">The Provincial Context Layer transforms generic routing into personalized navigation by enriching the NavigationContext with patient-specific health system data and real-time infrastructure state. It is the layer that makes KLARA aware of who the patient is (within the bounds of consented data access) and what the health system looks like at the moment of the request.</w:t>
      </w:r>
    </w:p>
    <w:p>
      <w:pPr>
        <w:pStyle w:val="Heading2"/>
        <w:pBdr>
          <w:bottom w:val="single" w:color="C49A1E" w:sz="4" w:space="2"/>
        </w:pBdr>
        <w:spacing w:before="360" w:after="120"/>
      </w:pPr>
      <w:r>
        <w:rPr>
          <w:rFonts w:ascii="Arial" w:cs="Arial" w:eastAsia="Arial" w:hAnsi="Arial"/>
          <w:b/>
          <w:bCs/>
          <w:color w:val="0E1E3A"/>
          <w:sz w:val="28"/>
          <w:szCs w:val="28"/>
        </w:rPr>
        <w:t xml:space="preserve">5.2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Data Source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Data Elements Queried</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DIS / SHARE (consent-gated)</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Active medications, known allergies, recent community dispensing events, recent lab/DI results from SHARE.</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OPOR (Oracle Health CIS)</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Encounter history, active care plans, known diagnoses (Phase 3+, post-rollout stabilization).</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Provincial Service Directory (PSDA)</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Facility open/closed status, hours, services offered, current capacity signals.</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VirtualCareNS / Maple API</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Available appointment slots for current + next 4 hours.</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811 Queue Monitor</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Estimated wait time for nurse triage.</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NSH Closure Notices</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Automated ingestion of ED and UTC closure announcements (automated web parsing + manual entry API).</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Statistics Canada GeoData</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Drive-time calculations from patient postal code to all relevant facilities.</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5.3 Consent Architecture</w:t>
      </w:r>
    </w:p>
    <w:p>
      <w:pPr>
        <w:spacing w:before="60" w:after="140"/>
      </w:pPr>
      <w:r>
        <w:rPr>
          <w:rFonts w:ascii="Arial" w:cs="Arial" w:eastAsia="Arial" w:hAnsi="Arial"/>
          <w:sz w:val="22"/>
          <w:szCs w:val="22"/>
        </w:rPr>
        <w:t xml:space="preserve">All DIS/SHARE and OPOR queries are consent-gated. At intake, patients are presented with a clear, plain-language consent prompt before any queries are initiated. Consent is session-scoped and does not persist beyond the session. Patients who decline context queries receive routing decisions based solely on their presented symptoms and geographic location — the system degrades gracefully without PHI access, it does not fail.</w:t>
      </w:r>
    </w:p>
    <w:p>
      <w:pPr>
        <w:pStyle w:val="Heading2"/>
        <w:pBdr>
          <w:bottom w:val="single" w:color="C49A1E" w:sz="4" w:space="2"/>
        </w:pBdr>
        <w:spacing w:before="360" w:after="120"/>
      </w:pPr>
      <w:r>
        <w:rPr>
          <w:rFonts w:ascii="Arial" w:cs="Arial" w:eastAsia="Arial" w:hAnsi="Arial"/>
          <w:b/>
          <w:bCs/>
          <w:color w:val="0E1E3A"/>
          <w:sz w:val="28"/>
          <w:szCs w:val="28"/>
        </w:rPr>
        <w:t xml:space="preserve">5.4 Context Enrichment Logic</w:t>
      </w:r>
    </w:p>
    <w:p>
      <w:pPr>
        <w:spacing w:before="60" w:after="140"/>
      </w:pPr>
      <w:r>
        <w:rPr>
          <w:rFonts w:ascii="Arial" w:cs="Arial" w:eastAsia="Arial" w:hAnsi="Arial"/>
          <w:sz w:val="22"/>
          <w:szCs w:val="22"/>
        </w:rPr>
        <w:t xml:space="preserve">The Context Layer applies four enrichment operations to the NavigationContext. Medication complexity flagging: if DIS query returns &gt;5 active medications or known complex medication interactions, the session receives a comorbidity_flag that uplifts the risk score and biases routing toward higher-capability settings. Allergy routing: known allergies affecting pharmaceutical options constrain the Pharmacy Prescribing pathway eligibility. Recent encounter context: if SHARE returns an ED encounter within the last 7 days for similar symptoms, the routing confidence score is adjusted and the clinician output includes a flagged note. Service-specific eligibility: some pathways have clinical eligibility requirements (e.g., pharmacy prescribing requires one of 19+ specific NS-eligible conditions); the Context Layer validates these constraints.</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6. Middleware Governance Layer</w:t>
      </w:r>
    </w:p>
    <w:p>
      <w:pPr>
        <w:pStyle w:val="Heading2"/>
        <w:pBdr>
          <w:bottom w:val="single" w:color="C49A1E" w:sz="4" w:space="2"/>
        </w:pBdr>
        <w:spacing w:before="360" w:after="120"/>
      </w:pPr>
      <w:r>
        <w:rPr>
          <w:rFonts w:ascii="Arial" w:cs="Arial" w:eastAsia="Arial" w:hAnsi="Arial"/>
          <w:b/>
          <w:bCs/>
          <w:color w:val="0E1E3A"/>
          <w:sz w:val="28"/>
          <w:szCs w:val="28"/>
        </w:rPr>
        <w:t xml:space="preserve">6.1 Governance Architecture</w:t>
      </w:r>
    </w:p>
    <w:p>
      <w:pPr>
        <w:spacing w:before="60" w:after="140"/>
      </w:pPr>
      <w:r>
        <w:rPr>
          <w:rFonts w:ascii="Arial" w:cs="Arial" w:eastAsia="Arial" w:hAnsi="Arial"/>
          <w:sz w:val="22"/>
          <w:szCs w:val="22"/>
        </w:rPr>
        <w:t xml:space="preserve">The Middleware Governance Layer is a non-optional system component that cannot be disabled by any operator configuration or patient action. It runs as a side-effect observer on every NavigationContext state transition and as a pre-flight validator before any output is delivered to the patient or downstream system. It enforces four categories of rules: clinical safety rules, regulatory compliance rules, equity monitoring rules, and audit logging requirements.</w:t>
      </w:r>
    </w:p>
    <w:p>
      <w:pPr>
        <w:pStyle w:val="Heading2"/>
        <w:pBdr>
          <w:bottom w:val="single" w:color="C49A1E" w:sz="4" w:space="2"/>
        </w:pBdr>
        <w:spacing w:before="360" w:after="120"/>
      </w:pPr>
      <w:r>
        <w:rPr>
          <w:rFonts w:ascii="Arial" w:cs="Arial" w:eastAsia="Arial" w:hAnsi="Arial"/>
          <w:b/>
          <w:bCs/>
          <w:color w:val="0E1E3A"/>
          <w:sz w:val="28"/>
          <w:szCs w:val="28"/>
        </w:rPr>
        <w:t xml:space="preserve">6.2 Clinical Safety Rules</w:t>
      </w:r>
    </w:p>
    <w:p>
      <w:pPr>
        <w:pStyle w:val="ListParagraph"/>
        <w:numPr>
          <w:ilvl w:val="0"/>
          <w:numId w:val="2"/>
        </w:numPr>
        <w:spacing w:after="100"/>
      </w:pPr>
      <w:r>
        <w:rPr>
          <w:rFonts w:ascii="Arial" w:cs="Arial" w:eastAsia="Arial" w:hAnsi="Arial"/>
          <w:sz w:val="22"/>
          <w:szCs w:val="22"/>
        </w:rPr>
        <w:t xml:space="preserve">RULE-CS-01 (Emergency Override): Any CRITICAL_OVERRIDE flag in the NavigationContext triggers immediate session redirect to Emergency Pathway. Output: mandatory 911 direction + nearest ED information. This rule cannot be overridden.</w:t>
      </w:r>
    </w:p>
    <w:p>
      <w:pPr>
        <w:pStyle w:val="ListParagraph"/>
        <w:numPr>
          <w:ilvl w:val="0"/>
          <w:numId w:val="2"/>
        </w:numPr>
        <w:spacing w:after="100"/>
      </w:pPr>
      <w:r>
        <w:rPr>
          <w:rFonts w:ascii="Arial" w:cs="Arial" w:eastAsia="Arial" w:hAnsi="Arial"/>
          <w:sz w:val="22"/>
          <w:szCs w:val="22"/>
        </w:rPr>
        <w:t xml:space="preserve">RULE-CS-02 (Uncertainty Escalation): Any session with overall_confidence &lt; 0.50 is classified AMBER minimum. No GREEN classification may be issued under this confidence level.</w:t>
      </w:r>
    </w:p>
    <w:p>
      <w:pPr>
        <w:pStyle w:val="ListParagraph"/>
        <w:numPr>
          <w:ilvl w:val="0"/>
          <w:numId w:val="2"/>
        </w:numPr>
        <w:spacing w:after="100"/>
      </w:pPr>
      <w:r>
        <w:rPr>
          <w:rFonts w:ascii="Arial" w:cs="Arial" w:eastAsia="Arial" w:hAnsi="Arial"/>
          <w:sz w:val="22"/>
          <w:szCs w:val="22"/>
        </w:rPr>
        <w:t xml:space="preserve">RULE-CS-03 (Mental Health Safety): Any session with detected ideation signals routes to crisis resources before any other pathway recommendation, regardless of risk score.</w:t>
      </w:r>
    </w:p>
    <w:p>
      <w:pPr>
        <w:pStyle w:val="ListParagraph"/>
        <w:numPr>
          <w:ilvl w:val="0"/>
          <w:numId w:val="2"/>
        </w:numPr>
        <w:spacing w:after="100"/>
      </w:pPr>
      <w:r>
        <w:rPr>
          <w:rFonts w:ascii="Arial" w:cs="Arial" w:eastAsia="Arial" w:hAnsi="Arial"/>
          <w:sz w:val="22"/>
          <w:szCs w:val="22"/>
        </w:rPr>
        <w:t xml:space="preserve">RULE-CS-04 (Pediatric Escalation): Pediatric sessions (age &lt; 18) have narrowed GREEN eligibility. Respiratory, fever, and neurological symptoms in pediatric contexts automatically floor to AMBER.</w:t>
      </w:r>
    </w:p>
    <w:p>
      <w:pPr>
        <w:pStyle w:val="ListParagraph"/>
        <w:numPr>
          <w:ilvl w:val="0"/>
          <w:numId w:val="2"/>
        </w:numPr>
        <w:spacing w:after="100"/>
      </w:pPr>
      <w:r>
        <w:rPr>
          <w:rFonts w:ascii="Arial" w:cs="Arial" w:eastAsia="Arial" w:hAnsi="Arial"/>
          <w:sz w:val="22"/>
          <w:szCs w:val="22"/>
        </w:rPr>
        <w:t xml:space="preserve">RULE-CS-05 (Capacity Failure Fallback): If no capacity-available pathway exists for the computed risk level, the system presents 811 as a universal fallback. The system never fails to provide a pathway.</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6.3 Regulatory Compliance Rules</w:t>
      </w:r>
    </w:p>
    <w:p>
      <w:pPr>
        <w:pStyle w:val="ListParagraph"/>
        <w:numPr>
          <w:ilvl w:val="0"/>
          <w:numId w:val="2"/>
        </w:numPr>
        <w:spacing w:after="100"/>
      </w:pPr>
      <w:r>
        <w:rPr>
          <w:rFonts w:ascii="Arial" w:cs="Arial" w:eastAsia="Arial" w:hAnsi="Arial"/>
          <w:sz w:val="22"/>
          <w:szCs w:val="22"/>
        </w:rPr>
        <w:t xml:space="preserve">RULE-RC-01 (Non-Diagnostic Output): The governance layer inspects all recommendation text for diagnostic language patterns. Any recommendation output containing diagnostic framing ("You have...", "This is likely...", "You may be suffering from...") is rejected and the recommendation is regenerated with navigation-only framing.</w:t>
      </w:r>
    </w:p>
    <w:p>
      <w:pPr>
        <w:pStyle w:val="ListParagraph"/>
        <w:numPr>
          <w:ilvl w:val="0"/>
          <w:numId w:val="2"/>
        </w:numPr>
        <w:spacing w:after="100"/>
      </w:pPr>
      <w:r>
        <w:rPr>
          <w:rFonts w:ascii="Arial" w:cs="Arial" w:eastAsia="Arial" w:hAnsi="Arial"/>
          <w:sz w:val="22"/>
          <w:szCs w:val="22"/>
        </w:rPr>
        <w:t xml:space="preserve">RULE-RC-02 (AI Disclosure): All patient-facing outputs include a mandatory disclosure that they are interacting with an AI navigation system and that the system does not replace clinical assessment.</w:t>
      </w:r>
    </w:p>
    <w:p>
      <w:pPr>
        <w:pStyle w:val="ListParagraph"/>
        <w:numPr>
          <w:ilvl w:val="0"/>
          <w:numId w:val="2"/>
        </w:numPr>
        <w:spacing w:after="100"/>
      </w:pPr>
      <w:r>
        <w:rPr>
          <w:rFonts w:ascii="Arial" w:cs="Arial" w:eastAsia="Arial" w:hAnsi="Arial"/>
          <w:sz w:val="22"/>
          <w:szCs w:val="22"/>
        </w:rPr>
        <w:t xml:space="preserve">RULE-RC-03 (Data Residency): All session data processing must occur on Canadian-hosted infrastructure. Any API call detected routing PHI-bearing payloads to non-Canadian endpoints triggers an immediate session alert and data-handling audit.</w:t>
      </w:r>
    </w:p>
    <w:p>
      <w:pPr>
        <w:pStyle w:val="ListParagraph"/>
        <w:numPr>
          <w:ilvl w:val="0"/>
          <w:numId w:val="2"/>
        </w:numPr>
        <w:spacing w:after="100"/>
      </w:pPr>
      <w:r>
        <w:rPr>
          <w:rFonts w:ascii="Arial" w:cs="Arial" w:eastAsia="Arial" w:hAnsi="Arial"/>
          <w:sz w:val="22"/>
          <w:szCs w:val="22"/>
        </w:rPr>
        <w:t xml:space="preserve">RULE-RC-04 (PHI Minimization): The governance layer enforces PHI field stripping from session objects before they are passed to the analytics and dashboard pipelines. Anonymized telemetry only.</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6.4 Audit Logging</w:t>
      </w:r>
    </w:p>
    <w:p>
      <w:pPr>
        <w:spacing w:before="60" w:after="140"/>
      </w:pPr>
      <w:r>
        <w:rPr>
          <w:rFonts w:ascii="Arial" w:cs="Arial" w:eastAsia="Arial" w:hAnsi="Arial"/>
          <w:sz w:val="22"/>
          <w:szCs w:val="22"/>
        </w:rPr>
        <w:t xml:space="preserve">KLARA implements tamper-evident audit logging compliant with the Nova Scotia PHIA mandatory Record of User Activity requirement. Every state transition in the NavigationContext generates an immutable audit log entry containing: session ID (pseudonymized), timestamp, layer name, input hash, output hash, rule evaluations, risk scores, routing decisions, and operator/system version identifiers. Audit logs are written to an append-only log store with cryptographic chaining — no record can be altered without breaking the chain, providing forensic integrity.</w:t>
      </w:r>
    </w:p>
    <w:p>
      <w:pPr>
        <w:spacing w:before="60" w:after="140"/>
      </w:pPr>
      <w:r>
        <w:rPr>
          <w:rFonts w:ascii="Arial" w:cs="Arial" w:eastAsia="Arial" w:hAnsi="Arial"/>
          <w:sz w:val="22"/>
          <w:szCs w:val="22"/>
        </w:rPr>
        <w:t xml:space="preserve">Audit logs are retained for 7 years in compliance with PHIA retention requirements. Access is restricted to NS Health Authority administrators with role-based access controls. All log access is itself logged.</w:t>
      </w:r>
    </w:p>
    <w:p>
      <w:pPr>
        <w:pStyle w:val="Heading2"/>
        <w:pBdr>
          <w:bottom w:val="single" w:color="C49A1E" w:sz="4" w:space="2"/>
        </w:pBdr>
        <w:spacing w:before="360" w:after="120"/>
      </w:pPr>
      <w:r>
        <w:rPr>
          <w:rFonts w:ascii="Arial" w:cs="Arial" w:eastAsia="Arial" w:hAnsi="Arial"/>
          <w:b/>
          <w:bCs/>
          <w:color w:val="0E1E3A"/>
          <w:sz w:val="28"/>
          <w:szCs w:val="28"/>
        </w:rPr>
        <w:t xml:space="preserve">6.5 Explainability</w:t>
      </w:r>
    </w:p>
    <w:p>
      <w:pPr>
        <w:spacing w:before="60" w:after="140"/>
      </w:pPr>
      <w:r>
        <w:rPr>
          <w:rFonts w:ascii="Arial" w:cs="Arial" w:eastAsia="Arial" w:hAnsi="Arial"/>
          <w:sz w:val="22"/>
          <w:szCs w:val="22"/>
        </w:rPr>
        <w:t xml:space="preserve">Every routing decision includes a human-readable rationale summary generated by the Recommendation Engine and validated by the Governance Layer. This rationale explains: what symptoms were detected, what risk score was computed and why, what pathway was selected and why competing pathways were ranked lower. The rationale is included in the clinician-facing structured intake summary and is available to patients on request. All AI-assisted decisions include a confidence score and signal a list of the primary factors driving the classification.</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7. Data Architecture</w:t>
      </w:r>
    </w:p>
    <w:p>
      <w:pPr>
        <w:pStyle w:val="Heading2"/>
        <w:pBdr>
          <w:bottom w:val="single" w:color="C49A1E" w:sz="4" w:space="2"/>
        </w:pBdr>
        <w:spacing w:before="360" w:after="120"/>
      </w:pPr>
      <w:r>
        <w:rPr>
          <w:rFonts w:ascii="Arial" w:cs="Arial" w:eastAsia="Arial" w:hAnsi="Arial"/>
          <w:b/>
          <w:bCs/>
          <w:color w:val="0E1E3A"/>
          <w:sz w:val="28"/>
          <w:szCs w:val="28"/>
        </w:rPr>
        <w:t xml:space="preserve">7.1 Data Architecture Principles</w:t>
      </w:r>
    </w:p>
    <w:p>
      <w:pPr>
        <w:pStyle w:val="ListParagraph"/>
        <w:numPr>
          <w:ilvl w:val="0"/>
          <w:numId w:val="2"/>
        </w:numPr>
        <w:spacing w:after="100"/>
      </w:pPr>
      <w:r>
        <w:rPr>
          <w:rFonts w:ascii="Arial" w:cs="Arial" w:eastAsia="Arial" w:hAnsi="Arial"/>
          <w:sz w:val="22"/>
          <w:szCs w:val="22"/>
        </w:rPr>
        <w:t xml:space="preserve">Session-scoped PHI: No personal health information is retained after session close. KLARA is a navigation system, not a health record. PHI is used only within the session and is purged at session end.</w:t>
      </w:r>
    </w:p>
    <w:p>
      <w:pPr>
        <w:pStyle w:val="ListParagraph"/>
        <w:numPr>
          <w:ilvl w:val="0"/>
          <w:numId w:val="2"/>
        </w:numPr>
        <w:spacing w:after="100"/>
      </w:pPr>
      <w:r>
        <w:rPr>
          <w:rFonts w:ascii="Arial" w:cs="Arial" w:eastAsia="Arial" w:hAnsi="Arial"/>
          <w:sz w:val="22"/>
          <w:szCs w:val="22"/>
        </w:rPr>
        <w:t xml:space="preserve">Anonymized telemetry: System performance, routing patterns, and aggregate health intelligence are captured as anonymized operational telemetry, stripped of all PHI before storage.</w:t>
      </w:r>
    </w:p>
    <w:p>
      <w:pPr>
        <w:pStyle w:val="ListParagraph"/>
        <w:numPr>
          <w:ilvl w:val="0"/>
          <w:numId w:val="2"/>
        </w:numPr>
        <w:spacing w:after="100"/>
      </w:pPr>
      <w:r>
        <w:rPr>
          <w:rFonts w:ascii="Arial" w:cs="Arial" w:eastAsia="Arial" w:hAnsi="Arial"/>
          <w:sz w:val="22"/>
          <w:szCs w:val="22"/>
        </w:rPr>
        <w:t xml:space="preserve">Canadian data residency: All data storage and processing occurs on Canadian-hosted infrastructure, compliant with PIIDPA restrictions on international data transfer.</w:t>
      </w:r>
    </w:p>
    <w:p>
      <w:pPr>
        <w:pStyle w:val="ListParagraph"/>
        <w:numPr>
          <w:ilvl w:val="0"/>
          <w:numId w:val="2"/>
        </w:numPr>
        <w:spacing w:after="100"/>
      </w:pPr>
      <w:r>
        <w:rPr>
          <w:rFonts w:ascii="Arial" w:cs="Arial" w:eastAsia="Arial" w:hAnsi="Arial"/>
          <w:sz w:val="22"/>
          <w:szCs w:val="22"/>
        </w:rPr>
        <w:t xml:space="preserve">Encryption in transit and at rest: All PHI-bearing data is encrypted in transit using TLS 1.3 minimum and at rest using AES-256 at the field level for PHI fields within session objects.</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7.2 Core Data Models</w:t>
      </w:r>
    </w:p>
    <w:p>
      <w:pPr>
        <w:pStyle w:val="Heading3"/>
        <w:spacing w:before="240" w:after="80"/>
      </w:pPr>
      <w:r>
        <w:rPr>
          <w:rFonts w:ascii="Arial" w:cs="Arial" w:eastAsia="Arial" w:hAnsi="Arial"/>
          <w:b/>
          <w:bCs/>
          <w:color w:val="1A2233"/>
          <w:sz w:val="24"/>
          <w:szCs w:val="24"/>
        </w:rPr>
        <w:t xml:space="preserve">7.2.1 NavigationContext (Session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Fields:</w:t>
            </w:r>
            <w:r>
              <w:rPr>
                <w:rFonts w:ascii="Arial" w:cs="Arial" w:eastAsia="Arial" w:hAnsi="Arial"/>
                <w:sz w:val="20"/>
                <w:szCs w:val="20"/>
              </w:rPr>
              <w:t xml:space="preserve">   sessionId (UUID, pseudonymized), createdAt, channel, patientInputRecord, parsedSymptomRecord, riskClassificationRecord, enrichedContextRecord, routingDecisionRecord, careRecommendationRecord, fhirOutputBundle, governanceLog[], sessionStatus, ttl (session expiry)</w:t>
            </w:r>
          </w:p>
        </w:tc>
      </w:tr>
    </w:tbl>
    <w:p>
      <w:pPr>
        <w:spacing w:before="60" w:after="60"/>
      </w:pPr>
    </w:p>
    <w:p>
      <w:pPr>
        <w:pStyle w:val="Heading3"/>
        <w:spacing w:before="240" w:after="80"/>
      </w:pPr>
      <w:r>
        <w:rPr>
          <w:rFonts w:ascii="Arial" w:cs="Arial" w:eastAsia="Arial" w:hAnsi="Arial"/>
          <w:b/>
          <w:bCs/>
          <w:color w:val="1A2233"/>
          <w:sz w:val="24"/>
          <w:szCs w:val="24"/>
        </w:rPr>
        <w:t xml:space="preserve">7.2.2 Audit Log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Fields:</w:t>
            </w:r>
            <w:r>
              <w:rPr>
                <w:rFonts w:ascii="Arial" w:cs="Arial" w:eastAsia="Arial" w:hAnsi="Arial"/>
                <w:sz w:val="20"/>
                <w:szCs w:val="20"/>
              </w:rPr>
              <w:t xml:space="preserve">   auditId, sessionId (pseudonymized), timestamp, layerName, eventType, inputHash, outputHash, riskLevel, routingDecision, governanceRulesEvaluated[], previousRecordHash (chain integrity), systemVersion, operatorId</w:t>
            </w:r>
          </w:p>
        </w:tc>
      </w:tr>
    </w:tbl>
    <w:p>
      <w:pPr>
        <w:spacing w:before="60" w:after="60"/>
      </w:pPr>
    </w:p>
    <w:p>
      <w:pPr>
        <w:pStyle w:val="Heading3"/>
        <w:spacing w:before="240" w:after="80"/>
      </w:pPr>
      <w:r>
        <w:rPr>
          <w:rFonts w:ascii="Arial" w:cs="Arial" w:eastAsia="Arial" w:hAnsi="Arial"/>
          <w:b/>
          <w:bCs/>
          <w:color w:val="1A2233"/>
          <w:sz w:val="24"/>
          <w:szCs w:val="24"/>
        </w:rPr>
        <w:t xml:space="preserve">7.2.3 Anonymized Telemetry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Fields:</w:t>
            </w:r>
            <w:r>
              <w:rPr>
                <w:rFonts w:ascii="Arial" w:cs="Arial" w:eastAsia="Arial" w:hAnsi="Arial"/>
                <w:sz w:val="20"/>
                <w:szCs w:val="20"/>
              </w:rPr>
              <w:t xml:space="preserve">   telemetryId, timestamp, channel, region (zone-level, not postal code), riskLevel, pathway, waitEstimate, sessionDurationMs, confidenceScore, completionStatus — NO PHI FIELDS</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7.3 PHI Lifecycle Management</w:t>
      </w:r>
    </w:p>
    <w:p>
      <w:pPr>
        <w:spacing w:before="60" w:after="140"/>
      </w:pPr>
      <w:r>
        <w:rPr>
          <w:rFonts w:ascii="Arial" w:cs="Arial" w:eastAsia="Arial" w:hAnsi="Arial"/>
          <w:sz w:val="22"/>
          <w:szCs w:val="22"/>
        </w:rPr>
        <w:t xml:space="preserve">Session PHI follows a strict lifecycle: Created at intake, processed within the session, exported to destination system via FHIR bundle (patient-consented), and purged at session close (maximum session TTL: 4 hours). No PHI field survives the session close event. The FHIR export to the destination system is the only authorized PHI egress pathway, and it requires explicit patient confirmation before transmission.</w:t>
      </w:r>
    </w:p>
    <w:p>
      <w:pPr>
        <w:spacing w:before="60" w:after="140"/>
      </w:pPr>
      <w:r>
        <w:rPr>
          <w:rFonts w:ascii="Arial" w:cs="Arial" w:eastAsia="Arial" w:hAnsi="Arial"/>
          <w:sz w:val="22"/>
          <w:szCs w:val="22"/>
        </w:rPr>
        <w:t xml:space="preserve">Anonymized telemetry is retained for 24 months for system improvement and population-level analytics. Audit logs are retained for 7 years as required by PHIA. All retention schedules are enforced by automated data lifecycle management policies.</w:t>
      </w:r>
    </w:p>
    <w:p>
      <w:pPr>
        <w:pStyle w:val="Heading2"/>
        <w:pBdr>
          <w:bottom w:val="single" w:color="C49A1E" w:sz="4" w:space="2"/>
        </w:pBdr>
        <w:spacing w:before="360" w:after="120"/>
      </w:pPr>
      <w:r>
        <w:rPr>
          <w:rFonts w:ascii="Arial" w:cs="Arial" w:eastAsia="Arial" w:hAnsi="Arial"/>
          <w:b/>
          <w:bCs/>
          <w:color w:val="0E1E3A"/>
          <w:sz w:val="28"/>
          <w:szCs w:val="28"/>
        </w:rPr>
        <w:t xml:space="preserve">7.4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Standard</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Key Requirements</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Nova Scotia PHIA</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Record of User Activity; breach notification; patient access rights; custodian authorization. KLARA operates under NS Health Authority as custodian.</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PIPEDA (Federal)</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Consent for collection; purpose limitation; accuracy; safeguards; accountability. Met by session-scoped PHI and explicit consent architecture.</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PIIDPA (NS)</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Restricts international data transfer. Met by mandatory Canadian data residency requirement.</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FHIR R4 / CA Core+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Structured interoperability standard for OPOR/EMR integration. KLARA outputs comply with FHIR R4 DocumentReference and Composition resources.</w:t>
            </w:r>
          </w:p>
        </w:tc>
      </w:tr>
    </w:tbl>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8. AI System Design</w:t>
      </w:r>
    </w:p>
    <w:p>
      <w:pPr>
        <w:pStyle w:val="Heading2"/>
        <w:pBdr>
          <w:bottom w:val="single" w:color="C49A1E" w:sz="4" w:space="2"/>
        </w:pBdr>
        <w:spacing w:before="360" w:after="120"/>
      </w:pPr>
      <w:r>
        <w:rPr>
          <w:rFonts w:ascii="Arial" w:cs="Arial" w:eastAsia="Arial" w:hAnsi="Arial"/>
          <w:b/>
          <w:bCs/>
          <w:color w:val="0E1E3A"/>
          <w:sz w:val="28"/>
          <w:szCs w:val="28"/>
        </w:rPr>
        <w:t xml:space="preserve">8.1 AI Component Architecture</w:t>
      </w:r>
    </w:p>
    <w:p>
      <w:pPr>
        <w:spacing w:before="60" w:after="140"/>
      </w:pPr>
      <w:r>
        <w:rPr>
          <w:rFonts w:ascii="Arial" w:cs="Arial" w:eastAsia="Arial" w:hAnsi="Arial"/>
          <w:sz w:val="22"/>
          <w:szCs w:val="22"/>
        </w:rPr>
        <w:t xml:space="preserve">KLARA's intelligence is composed of three distinct AI components: a clinical NLP pipeline for symptom extraction, a risk classification model for urgency scoring, and a Retrieval-Augmented Generation (RAG) component for recommendation rationale generation. These are separate, independently-deployable components with distinct governance requirements. The most safety-critical decisions — emergency override rules, hard risk thresholds — are deterministic and not AI-assisted.</w:t>
      </w:r>
    </w:p>
    <w:p>
      <w:pPr>
        <w:pStyle w:val="Heading2"/>
        <w:pBdr>
          <w:bottom w:val="single" w:color="C49A1E" w:sz="4" w:space="2"/>
        </w:pBdr>
        <w:spacing w:before="360" w:after="120"/>
      </w:pPr>
      <w:r>
        <w:rPr>
          <w:rFonts w:ascii="Arial" w:cs="Arial" w:eastAsia="Arial" w:hAnsi="Arial"/>
          <w:b/>
          <w:bCs/>
          <w:color w:val="0E1E3A"/>
          <w:sz w:val="28"/>
          <w:szCs w:val="28"/>
        </w:rPr>
        <w:t xml:space="preserve">8.2 Clinical NLP Pipeline</w:t>
      </w:r>
    </w:p>
    <w:p>
      <w:pPr>
        <w:spacing w:before="60" w:after="140"/>
      </w:pPr>
      <w:r>
        <w:rPr>
          <w:rFonts w:ascii="Arial" w:cs="Arial" w:eastAsia="Arial" w:hAnsi="Arial"/>
          <w:sz w:val="22"/>
          <w:szCs w:val="22"/>
        </w:rPr>
        <w:t xml:space="preserve">The NLP pipeline is a fine-tuned transformer model (base: Bio_ClinicalBERT or equivalent), adapted on Canadian clinical triage data. It performs: named entity recognition for symptom, duration, severity, and location concepts; negation detection ("no chest pain" must not extract "chest pain"); temporal relation extraction (onset, duration, change over time); and SNOMED-CT concept linking via dense retrieval.</w:t>
      </w:r>
    </w:p>
    <w:p>
      <w:pPr>
        <w:spacing w:before="60" w:after="140"/>
      </w:pPr>
      <w:r>
        <w:rPr>
          <w:rFonts w:ascii="Arial" w:cs="Arial" w:eastAsia="Arial" w:hAnsi="Arial"/>
          <w:sz w:val="22"/>
          <w:szCs w:val="22"/>
        </w:rPr>
        <w:t xml:space="preserve">Training data considerations: The model is trained on anonymized Canadian clinical notes and validated triage datasets. It must not be trained on US-only datasets due to differences in healthcare terminology and population disease patterns. Ongoing fine-tuning with NS Health clinical advisory panel review.</w:t>
      </w:r>
    </w:p>
    <w:p>
      <w:pPr>
        <w:pStyle w:val="Heading2"/>
        <w:pBdr>
          <w:bottom w:val="single" w:color="C49A1E" w:sz="4" w:space="2"/>
        </w:pBdr>
        <w:spacing w:before="360" w:after="120"/>
      </w:pPr>
      <w:r>
        <w:rPr>
          <w:rFonts w:ascii="Arial" w:cs="Arial" w:eastAsia="Arial" w:hAnsi="Arial"/>
          <w:b/>
          <w:bCs/>
          <w:color w:val="0E1E3A"/>
          <w:sz w:val="28"/>
          <w:szCs w:val="28"/>
        </w:rPr>
        <w:t xml:space="preserve">8.3 Risk Classification Model</w:t>
      </w:r>
    </w:p>
    <w:p>
      <w:pPr>
        <w:spacing w:before="60" w:after="140"/>
      </w:pPr>
      <w:r>
        <w:rPr>
          <w:rFonts w:ascii="Arial" w:cs="Arial" w:eastAsia="Arial" w:hAnsi="Arial"/>
          <w:sz w:val="22"/>
          <w:szCs w:val="22"/>
        </w:rPr>
        <w:t xml:space="preserve">The probabilistic risk scoring layer is a gradient-boosted classifier trained on historical Canadian triage outcomes (CTAS classifications from retrospective ED data). Features include extracted symptom vectors, severity/duration signals, demographic modifiers, and DIS/SHARE-derived comorbidity flags. The model outputs a continuous risk score (0–100) that is thresholded to Green/Amber/Red classifications.</w:t>
      </w:r>
    </w:p>
    <w:p>
      <w:pPr>
        <w:spacing w:before="60" w:after="140"/>
      </w:pPr>
      <w:r>
        <w:rPr>
          <w:rFonts w:ascii="Arial" w:cs="Arial" w:eastAsia="Arial" w:hAnsi="Arial"/>
          <w:sz w:val="22"/>
          <w:szCs w:val="22"/>
        </w:rPr>
        <w:t xml:space="preserve">Equity and bias mitigation: The model is evaluated across demographic subgroups (age, sex, region, language) before each deployment. Research shows Black patients face 20% greater odds of mis-triage in ED settings. KLARA implements post-processing equity constraints that monitor for disparate false-negative rates by demographic group. Continuous bias monitoring is integrated into the dashboard telemetry pipeline.</w:t>
      </w:r>
    </w:p>
    <w:p>
      <w:pPr>
        <w:pStyle w:val="Heading2"/>
        <w:pBdr>
          <w:bottom w:val="single" w:color="C49A1E" w:sz="4" w:space="2"/>
        </w:pBdr>
        <w:spacing w:before="360" w:after="120"/>
      </w:pPr>
      <w:r>
        <w:rPr>
          <w:rFonts w:ascii="Arial" w:cs="Arial" w:eastAsia="Arial" w:hAnsi="Arial"/>
          <w:b/>
          <w:bCs/>
          <w:color w:val="0E1E3A"/>
          <w:sz w:val="28"/>
          <w:szCs w:val="28"/>
        </w:rPr>
        <w:t xml:space="preserve">8.4 RAG Recommendation Engine</w:t>
      </w:r>
    </w:p>
    <w:p>
      <w:pPr>
        <w:spacing w:before="60" w:after="140"/>
      </w:pPr>
      <w:r>
        <w:rPr>
          <w:rFonts w:ascii="Arial" w:cs="Arial" w:eastAsia="Arial" w:hAnsi="Arial"/>
          <w:sz w:val="22"/>
          <w:szCs w:val="22"/>
        </w:rPr>
        <w:t xml:space="preserve">Recommendation rationale text is generated using a Retrieval-Augmented Generation architecture. A base language model (GPT-4 or equivalent, hosted on Canadian infrastructure) retrieves grounding evidence from a curated knowledge base of Nova Scotia clinical pathways, service descriptions, and health information resources before generating explanation text. This grounds all outputs in provincial-specific, authoritative sources and eliminates hallucination risk from unbounded generation.</w:t>
      </w:r>
    </w:p>
    <w:p>
      <w:pPr>
        <w:spacing w:before="60" w:after="140"/>
      </w:pPr>
      <w:r>
        <w:rPr>
          <w:rFonts w:ascii="Arial" w:cs="Arial" w:eastAsia="Arial" w:hAnsi="Arial"/>
          <w:sz w:val="22"/>
          <w:szCs w:val="22"/>
        </w:rPr>
        <w:t xml:space="preserve">The RAG knowledge base contains: NS Health clinical pathways for common presentations, VirtualCareNS service descriptions, pharmacy prescribing eligibility criteria, UTC and ED indications, and patient-friendly health information aligned with HealthLink BC and NS Health Authority clinical content. The knowledge base is version-controlled and reviewed quarterly.</w:t>
      </w:r>
    </w:p>
    <w:p>
      <w:pPr>
        <w:pStyle w:val="Heading2"/>
        <w:pBdr>
          <w:bottom w:val="single" w:color="C49A1E" w:sz="4" w:space="2"/>
        </w:pBdr>
        <w:spacing w:before="360" w:after="120"/>
      </w:pPr>
      <w:r>
        <w:rPr>
          <w:rFonts w:ascii="Arial" w:cs="Arial" w:eastAsia="Arial" w:hAnsi="Arial"/>
          <w:b/>
          <w:bCs/>
          <w:color w:val="0E1E3A"/>
          <w:sz w:val="28"/>
          <w:szCs w:val="28"/>
        </w:rPr>
        <w:t xml:space="preserve">8.5 Hallucination Safeguards</w:t>
      </w:r>
    </w:p>
    <w:p>
      <w:pPr>
        <w:pStyle w:val="ListParagraph"/>
        <w:numPr>
          <w:ilvl w:val="0"/>
          <w:numId w:val="2"/>
        </w:numPr>
        <w:spacing w:after="100"/>
      </w:pPr>
      <w:r>
        <w:rPr>
          <w:rFonts w:ascii="Arial" w:cs="Arial" w:eastAsia="Arial" w:hAnsi="Arial"/>
          <w:sz w:val="22"/>
          <w:szCs w:val="22"/>
        </w:rPr>
        <w:t xml:space="preserve">All recommendation text is constrained to retrieval-grounded content only. The RAG component is configured with strict output constraints: no speculation, no diagnosis, no treatment recommendations.</w:t>
      </w:r>
    </w:p>
    <w:p>
      <w:pPr>
        <w:pStyle w:val="ListParagraph"/>
        <w:numPr>
          <w:ilvl w:val="0"/>
          <w:numId w:val="2"/>
        </w:numPr>
        <w:spacing w:after="100"/>
      </w:pPr>
      <w:r>
        <w:rPr>
          <w:rFonts w:ascii="Arial" w:cs="Arial" w:eastAsia="Arial" w:hAnsi="Arial"/>
          <w:sz w:val="22"/>
          <w:szCs w:val="22"/>
        </w:rPr>
        <w:t xml:space="preserve">The Governance Layer performs a post-generation content policy scan on all recommendation text, rejecting outputs that contain diagnostic language, treatment claims, or medication advice.</w:t>
      </w:r>
    </w:p>
    <w:p>
      <w:pPr>
        <w:pStyle w:val="ListParagraph"/>
        <w:numPr>
          <w:ilvl w:val="0"/>
          <w:numId w:val="2"/>
        </w:numPr>
        <w:spacing w:after="100"/>
      </w:pPr>
      <w:r>
        <w:rPr>
          <w:rFonts w:ascii="Arial" w:cs="Arial" w:eastAsia="Arial" w:hAnsi="Arial"/>
          <w:sz w:val="22"/>
          <w:szCs w:val="22"/>
        </w:rPr>
        <w:t xml:space="preserve">Confidence scores are mandatory on all AI-generated fields. Low-confidence outputs trigger human-in-the-loop review flags in high-acuity sessions.</w:t>
      </w:r>
    </w:p>
    <w:p>
      <w:pPr>
        <w:pStyle w:val="ListParagraph"/>
        <w:numPr>
          <w:ilvl w:val="0"/>
          <w:numId w:val="2"/>
        </w:numPr>
        <w:spacing w:after="100"/>
      </w:pPr>
      <w:r>
        <w:rPr>
          <w:rFonts w:ascii="Arial" w:cs="Arial" w:eastAsia="Arial" w:hAnsi="Arial"/>
          <w:sz w:val="22"/>
          <w:szCs w:val="22"/>
        </w:rPr>
        <w:t xml:space="preserve">All RAG retrieval sources are logged in the audit trail, enabling post-hoc inspection of the evidence used for any recommendation.</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9. Infrastructure Architecture</w:t>
      </w:r>
    </w:p>
    <w:p>
      <w:pPr>
        <w:pStyle w:val="Heading2"/>
        <w:pBdr>
          <w:bottom w:val="single" w:color="C49A1E" w:sz="4" w:space="2"/>
        </w:pBdr>
        <w:spacing w:before="360" w:after="120"/>
      </w:pPr>
      <w:r>
        <w:rPr>
          <w:rFonts w:ascii="Arial" w:cs="Arial" w:eastAsia="Arial" w:hAnsi="Arial"/>
          <w:b/>
          <w:bCs/>
          <w:color w:val="0E1E3A"/>
          <w:sz w:val="28"/>
          <w:szCs w:val="28"/>
        </w:rPr>
        <w:t xml:space="preserve">9.1 Infrastructure Requirements</w:t>
      </w:r>
    </w:p>
    <w:p>
      <w:pPr>
        <w:pStyle w:val="ListParagraph"/>
        <w:numPr>
          <w:ilvl w:val="0"/>
          <w:numId w:val="2"/>
        </w:numPr>
        <w:spacing w:after="100"/>
      </w:pPr>
      <w:r>
        <w:rPr>
          <w:rFonts w:ascii="Arial" w:cs="Arial" w:eastAsia="Arial" w:hAnsi="Arial"/>
          <w:sz w:val="22"/>
          <w:szCs w:val="22"/>
        </w:rPr>
        <w:t xml:space="preserve">Canadian data residency: All compute, storage, and networking on Canadian infrastructure. Preferred: Government of Canada Cloud (GC Cloud), Microsoft Azure Canada Central, or Amazon AWS Canada (Central). NSH should evaluate GC Cloud as the primary option given PIIDPA requirements.</w:t>
      </w:r>
    </w:p>
    <w:p>
      <w:pPr>
        <w:pStyle w:val="ListParagraph"/>
        <w:numPr>
          <w:ilvl w:val="0"/>
          <w:numId w:val="2"/>
        </w:numPr>
        <w:spacing w:after="100"/>
      </w:pPr>
      <w:r>
        <w:rPr>
          <w:rFonts w:ascii="Arial" w:cs="Arial" w:eastAsia="Arial" w:hAnsi="Arial"/>
          <w:sz w:val="22"/>
          <w:szCs w:val="22"/>
        </w:rPr>
        <w:t xml:space="preserve">High availability: KLARA is a public-facing health service. Target SLA: 99.9% uptime. Active-active deployment across two availability zones.</w:t>
      </w:r>
    </w:p>
    <w:p>
      <w:pPr>
        <w:pStyle w:val="ListParagraph"/>
        <w:numPr>
          <w:ilvl w:val="0"/>
          <w:numId w:val="2"/>
        </w:numPr>
        <w:spacing w:after="100"/>
      </w:pPr>
      <w:r>
        <w:rPr>
          <w:rFonts w:ascii="Arial" w:cs="Arial" w:eastAsia="Arial" w:hAnsi="Arial"/>
          <w:sz w:val="22"/>
          <w:szCs w:val="22"/>
        </w:rPr>
        <w:t xml:space="preserve">Horizontal scalability: All services are stateless and containerized (Docker/Kubernetes), enabling auto-scaling under demand spikes.</w:t>
      </w:r>
    </w:p>
    <w:p>
      <w:pPr>
        <w:pStyle w:val="ListParagraph"/>
        <w:numPr>
          <w:ilvl w:val="0"/>
          <w:numId w:val="2"/>
        </w:numPr>
        <w:spacing w:after="100"/>
      </w:pPr>
      <w:r>
        <w:rPr>
          <w:rFonts w:ascii="Arial" w:cs="Arial" w:eastAsia="Arial" w:hAnsi="Arial"/>
          <w:sz w:val="22"/>
          <w:szCs w:val="22"/>
        </w:rPr>
        <w:t xml:space="preserve">Security posture: Zero-trust architecture. All service-to-service calls are mutually authenticated. PHI-bearing network segments are isolated. Penetration testing on each major release.</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9.2 Service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Layer</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Technology / Approach</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API Gateway</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Kong or AWS API Gateway (Canadian region). Rate limiting, authentication, TLS termination.</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Session Coordinator</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Node.js/Go stateless service. Manages NavigationContext lifecycle. Horizontally scalable.</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NLP Service</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Python FastAPI container. Hosts fine-tuned clinical NER model. GPU-optional (CPU inference acceptable for &lt;2s SLA).</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Risk Classification Service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Python FastAPI. Hosts gradient-boosted classifier. Loaded in memory for sub-100ms inference.</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RAG Engine</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Python LangChain or LlamaIndex stack. Vector database: Chroma or Weaviate (Canadian-hosted). LLM: Azure OpenAI Canada or equivalent.</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Routing Engine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Go service. Implements weighted scoring algorithm. Queries PSDA API for capacity data.</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FHIR Output Service</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HAPI FHIR server or Java FHIR library. Generates compliant R4 bundles. Validates against CA Core+ profiles.</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Audit Log Store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Append-only time-series DB (e.g., TimescaleDB) with cryptographic chaining. Separate from main application database.</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Telemetry Pipeline</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Apache Kafka → Apache Spark → Data warehouse (Snowflake or Azure Synapse, Canadian region).</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Monitoring &amp; Observability</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Prometheus + Grafana. Distributed tracing: Jaeger or OpenTelemetry. Alert manager: PagerDuty.</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9.3 Scalability Design</w:t>
      </w:r>
    </w:p>
    <w:p>
      <w:pPr>
        <w:spacing w:before="60" w:after="140"/>
      </w:pPr>
      <w:r>
        <w:rPr>
          <w:rFonts w:ascii="Arial" w:cs="Arial" w:eastAsia="Arial" w:hAnsi="Arial"/>
          <w:sz w:val="22"/>
          <w:szCs w:val="22"/>
        </w:rPr>
        <w:t xml:space="preserve">KLARA targets provincial-scale deployment serving up to 1.08 million Nova Scotians. Conservative load estimate: peak 5,000 concurrent sessions during flu season or major health events. The stateless coordinator architecture and containerized microservices enable horizontal scaling at each layer independently. The NLP and RAG components are the most computationally intensive; these are configured with auto-scaling policies based on queue depth metrics.</w:t>
      </w:r>
    </w:p>
    <w:p>
      <w:pPr>
        <w:spacing w:before="60" w:after="140"/>
      </w:pPr>
      <w:r>
        <w:rPr>
          <w:rFonts w:ascii="Arial" w:cs="Arial" w:eastAsia="Arial" w:hAnsi="Arial"/>
          <w:sz w:val="22"/>
          <w:szCs w:val="22"/>
        </w:rPr>
        <w:t xml:space="preserve">The Provincial Service Directory API (capacity layer) is the most fragile dependency. KLARA implements aggressive caching (TTL: 2 minutes for capacity data, 24 hours for static service directory) and graceful degradation — if the PSDA API is unavailable, KLARA routes using cached data and adds a note to the recommendation flagging that capacity information may be outdated.</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10. Healthcare System Integrations</w:t>
      </w:r>
    </w:p>
    <w:p>
      <w:pPr>
        <w:pStyle w:val="Heading2"/>
        <w:pBdr>
          <w:bottom w:val="single" w:color="C49A1E" w:sz="4" w:space="2"/>
        </w:pBdr>
        <w:spacing w:before="360" w:after="120"/>
      </w:pPr>
      <w:r>
        <w:rPr>
          <w:rFonts w:ascii="Arial" w:cs="Arial" w:eastAsia="Arial" w:hAnsi="Arial"/>
          <w:b/>
          <w:bCs/>
          <w:color w:val="0E1E3A"/>
          <w:sz w:val="28"/>
          <w:szCs w:val="28"/>
        </w:rPr>
        <w:t xml:space="preserve">10.1 Integration Architecture Principles</w:t>
      </w:r>
    </w:p>
    <w:p>
      <w:pPr>
        <w:spacing w:before="60" w:after="140"/>
      </w:pPr>
      <w:r>
        <w:rPr>
          <w:rFonts w:ascii="Arial" w:cs="Arial" w:eastAsia="Arial" w:hAnsi="Arial"/>
          <w:sz w:val="22"/>
          <w:szCs w:val="22"/>
        </w:rPr>
        <w:t xml:space="preserve">All integrations are FHIR R4-first, using CA Core+ profiles wherever available. KLARA is a producer of structured intake data, not a consumer of clinical records beyond what is needed for routing enrichment. Integrations are designed with fallback paths: if an integration is unavailable, KLARA continues to function with reduced context rather than failing. The order of integration priority is: VirtualCareNS (Phase 1), 811 (Phase 1), OPOR (Phase 2+, post-stabilization), EMRs via Ocean (Phase 2), DIS/SHARE (Phase 2).</w:t>
      </w:r>
    </w:p>
    <w:p>
      <w:pPr>
        <w:pStyle w:val="Heading2"/>
        <w:pBdr>
          <w:bottom w:val="single" w:color="C49A1E" w:sz="4" w:space="2"/>
        </w:pBdr>
        <w:spacing w:before="360" w:after="120"/>
      </w:pPr>
      <w:r>
        <w:rPr>
          <w:rFonts w:ascii="Arial" w:cs="Arial" w:eastAsia="Arial" w:hAnsi="Arial"/>
          <w:b/>
          <w:bCs/>
          <w:color w:val="0E1E3A"/>
          <w:sz w:val="28"/>
          <w:szCs w:val="28"/>
        </w:rPr>
        <w:t xml:space="preserve">10.2 OPOR — Oracle Health CIS</w:t>
      </w:r>
    </w:p>
    <w:p>
      <w:pPr>
        <w:spacing w:before="60" w:after="140"/>
      </w:pPr>
      <w:r>
        <w:rPr>
          <w:rFonts w:ascii="Arial" w:cs="Arial" w:eastAsia="Arial" w:hAnsi="Arial"/>
          <w:sz w:val="22"/>
          <w:szCs w:val="22"/>
        </w:rPr>
        <w:t xml:space="preserve">Integration pathway: SMART on FHIR app registered via Oracle Health Developer Program. KLARA deploys as a SMART app launchable from within the OPOR clinician context, and as a standalone intake pathway that generates FHIR DocumentReference resources importable into OPOR charts. CDS Hooks integration enables real-time intake context to surface in the clinician workflow at the point of patient arrival.</w:t>
      </w:r>
    </w:p>
    <w:p>
      <w:pPr>
        <w:spacing w:before="60" w:after="140"/>
      </w:pPr>
      <w:r>
        <w:rPr>
          <w:rFonts w:ascii="Arial" w:cs="Arial" w:eastAsia="Arial" w:hAnsi="Arial"/>
          <w:sz w:val="22"/>
          <w:szCs w:val="22"/>
        </w:rPr>
        <w:t xml:space="preserve">KLARA's OPOR integration is explicitly scheduled as a Phase 3 component, after Wave 2 (Central Zone, planned May 2026) stabilizes. Early OPOR integration risks compounding integration instability. In Phases 1-2, KLARA operates OPOR-independently using DIS/SHARE for context and generating standalone FHIR bundles delivered via secure message.</w:t>
      </w:r>
    </w:p>
    <w:p>
      <w:pPr>
        <w:pStyle w:val="Heading2"/>
        <w:pBdr>
          <w:bottom w:val="single" w:color="C49A1E" w:sz="4" w:space="2"/>
        </w:pBdr>
        <w:spacing w:before="360" w:after="120"/>
      </w:pPr>
      <w:r>
        <w:rPr>
          <w:rFonts w:ascii="Arial" w:cs="Arial" w:eastAsia="Arial" w:hAnsi="Arial"/>
          <w:b/>
          <w:bCs/>
          <w:color w:val="0E1E3A"/>
          <w:sz w:val="28"/>
          <w:szCs w:val="28"/>
        </w:rPr>
        <w:t xml:space="preserve">10.3 VirtualCareNS — Maple Platform</w:t>
      </w:r>
    </w:p>
    <w:p>
      <w:pPr>
        <w:spacing w:before="60" w:after="140"/>
      </w:pPr>
      <w:r>
        <w:rPr>
          <w:rFonts w:ascii="Arial" w:cs="Arial" w:eastAsia="Arial" w:hAnsi="Arial"/>
          <w:sz w:val="22"/>
          <w:szCs w:val="22"/>
        </w:rPr>
        <w:t xml:space="preserve">Integration: KLARA routes appropriate cases to VirtualCareNS via the Maple platform API, pre-populating the session context with the structured FHIR intake bundle. This enables clinicians to see symptom history, risk classification, and routing rationale before the virtual appointment begins, reducing redundant history-taking. KLARA also queries Maple's scheduling API for real-time slot availability, enabling capacity-aware routing to VirtualCareNS only when appointments are genuinely available.</w:t>
      </w:r>
    </w:p>
    <w:p>
      <w:pPr>
        <w:pStyle w:val="Heading2"/>
        <w:pBdr>
          <w:bottom w:val="single" w:color="C49A1E" w:sz="4" w:space="2"/>
        </w:pBdr>
        <w:spacing w:before="360" w:after="120"/>
      </w:pPr>
      <w:r>
        <w:rPr>
          <w:rFonts w:ascii="Arial" w:cs="Arial" w:eastAsia="Arial" w:hAnsi="Arial"/>
          <w:b/>
          <w:bCs/>
          <w:color w:val="0E1E3A"/>
          <w:sz w:val="28"/>
          <w:szCs w:val="28"/>
        </w:rPr>
        <w:t xml:space="preserve">10.4 EMR Systems — Med Access &amp; Accuro</w:t>
      </w:r>
    </w:p>
    <w:p>
      <w:pPr>
        <w:spacing w:before="60" w:after="140"/>
      </w:pPr>
      <w:r>
        <w:rPr>
          <w:rFonts w:ascii="Arial" w:cs="Arial" w:eastAsia="Arial" w:hAnsi="Arial"/>
          <w:sz w:val="22"/>
          <w:szCs w:val="22"/>
        </w:rPr>
        <w:t xml:space="preserve">Integration via Ocean eReferral platform, which is certified with both provincial EMRs and already supports FHIR-based eConsult and eReferral workflows. KLARA generates Ocean-compatible structured intake forms for patients routed to primary care, reducing manual intake at the clinic and populating the chart before the patient arrives.</w:t>
      </w:r>
    </w:p>
    <w:p>
      <w:pPr>
        <w:pStyle w:val="Heading2"/>
        <w:pBdr>
          <w:bottom w:val="single" w:color="C49A1E" w:sz="4" w:space="2"/>
        </w:pBdr>
        <w:spacing w:before="360" w:after="120"/>
      </w:pPr>
      <w:r>
        <w:rPr>
          <w:rFonts w:ascii="Arial" w:cs="Arial" w:eastAsia="Arial" w:hAnsi="Arial"/>
          <w:b/>
          <w:bCs/>
          <w:color w:val="0E1E3A"/>
          <w:sz w:val="28"/>
          <w:szCs w:val="28"/>
        </w:rPr>
        <w:t xml:space="preserve">10.5 DIS / SHARE — Provincial Medication System</w:t>
      </w:r>
    </w:p>
    <w:p>
      <w:pPr>
        <w:spacing w:before="60" w:after="140"/>
      </w:pPr>
      <w:r>
        <w:rPr>
          <w:rFonts w:ascii="Arial" w:cs="Arial" w:eastAsia="Arial" w:hAnsi="Arial"/>
          <w:sz w:val="22"/>
          <w:szCs w:val="22"/>
        </w:rPr>
        <w:t xml:space="preserve">KLARA queries DIS/SHARE via existing FHIR or HL7 APIs with patient consent at session initiation. Query scope is strictly limited to: active medications list, known allergies, and recent encounter summaries (last 30 days). This data enriches the context layer for comorbidity flagging and pharmacy eligibility assessment. KLARA does not write to DIS/SHARE.</w:t>
      </w:r>
    </w:p>
    <w:p>
      <w:pPr>
        <w:pStyle w:val="Heading2"/>
        <w:pBdr>
          <w:bottom w:val="single" w:color="C49A1E" w:sz="4" w:space="2"/>
        </w:pBdr>
        <w:spacing w:before="360" w:after="120"/>
      </w:pPr>
      <w:r>
        <w:rPr>
          <w:rFonts w:ascii="Arial" w:cs="Arial" w:eastAsia="Arial" w:hAnsi="Arial"/>
          <w:b/>
          <w:bCs/>
          <w:color w:val="0E1E3A"/>
          <w:sz w:val="28"/>
          <w:szCs w:val="28"/>
        </w:rPr>
        <w:t xml:space="preserve">10.6 Novari — MIRM &amp; eRequest</w:t>
      </w:r>
    </w:p>
    <w:p>
      <w:pPr>
        <w:spacing w:before="60" w:after="140"/>
      </w:pPr>
      <w:r>
        <w:rPr>
          <w:rFonts w:ascii="Arial" w:cs="Arial" w:eastAsia="Arial" w:hAnsi="Arial"/>
          <w:sz w:val="22"/>
          <w:szCs w:val="22"/>
        </w:rPr>
        <w:t xml:space="preserve">For patients routed to specialist referral pathways, KLARA generates pre-structured referral data compatible with Novari eRequest, reducing incomplete or misrouted referrals. For mental health pathways, KLARA's symptom parsing can generate Novari MHA (Mental Health and Addictions) intake data aligned with the MHA module, reducing the intake burden on mental health coordinators.</w:t>
      </w:r>
    </w:p>
    <w:p>
      <w:pPr>
        <w:pStyle w:val="Heading2"/>
        <w:pBdr>
          <w:bottom w:val="single" w:color="C49A1E" w:sz="4" w:space="2"/>
        </w:pBdr>
        <w:spacing w:before="360" w:after="120"/>
      </w:pPr>
      <w:r>
        <w:rPr>
          <w:rFonts w:ascii="Arial" w:cs="Arial" w:eastAsia="Arial" w:hAnsi="Arial"/>
          <w:b/>
          <w:bCs/>
          <w:color w:val="0E1E3A"/>
          <w:sz w:val="28"/>
          <w:szCs w:val="28"/>
        </w:rPr>
        <w:t xml:space="preserve">10.7 811 TeleHealth</w:t>
      </w:r>
    </w:p>
    <w:p>
      <w:pPr>
        <w:spacing w:before="60" w:after="140"/>
      </w:pPr>
      <w:r>
        <w:rPr>
          <w:rFonts w:ascii="Arial" w:cs="Arial" w:eastAsia="Arial" w:hAnsi="Arial"/>
          <w:sz w:val="22"/>
          <w:szCs w:val="22"/>
        </w:rPr>
        <w:t xml:space="preserve">KLARA serves as a digital front-end for 811, handling Green-classified cases entirely (self-care + pharmacy routing) before they enter the 811 queue. Amber-classified cases routed to 811 arrive with a structured symptom summary that reduces the nurse assessment time from the current baseline. This is the highest-value Phase 1 integration given the 2026-27 budget allocation of $3.2M for 811 improvement.</w:t>
      </w:r>
    </w:p>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11. Clinician Output Model</w:t>
      </w:r>
    </w:p>
    <w:p>
      <w:pPr>
        <w:pStyle w:val="Heading2"/>
        <w:pBdr>
          <w:bottom w:val="single" w:color="C49A1E" w:sz="4" w:space="2"/>
        </w:pBdr>
        <w:spacing w:before="360" w:after="120"/>
      </w:pPr>
      <w:r>
        <w:rPr>
          <w:rFonts w:ascii="Arial" w:cs="Arial" w:eastAsia="Arial" w:hAnsi="Arial"/>
          <w:b/>
          <w:bCs/>
          <w:color w:val="0E1E3A"/>
          <w:sz w:val="28"/>
          <w:szCs w:val="28"/>
        </w:rPr>
        <w:t xml:space="preserve">11.1 Structured Intake Summary</w:t>
      </w:r>
    </w:p>
    <w:p>
      <w:pPr>
        <w:spacing w:before="60" w:after="140"/>
      </w:pPr>
      <w:r>
        <w:rPr>
          <w:rFonts w:ascii="Arial" w:cs="Arial" w:eastAsia="Arial" w:hAnsi="Arial"/>
          <w:sz w:val="22"/>
          <w:szCs w:val="22"/>
        </w:rPr>
        <w:t xml:space="preserve">The Klara Intake Summary is a FHIR R4 Composition resource that travels with the patient to their care destination. It is designed to be immediately useful to a clinician at point of care, eliminating redundant history-taking and providing structured context for the first assessment. The summary is formatted for both machine consumption (FHIR XML/JSON) and human review (rendered HTML view within OPOR/EMR).</w:t>
      </w:r>
    </w:p>
    <w:p>
      <w:pPr>
        <w:pStyle w:val="Heading2"/>
        <w:pBdr>
          <w:bottom w:val="single" w:color="C49A1E" w:sz="4" w:space="2"/>
        </w:pBdr>
        <w:spacing w:before="360" w:after="120"/>
      </w:pPr>
      <w:r>
        <w:rPr>
          <w:rFonts w:ascii="Arial" w:cs="Arial" w:eastAsia="Arial" w:hAnsi="Arial"/>
          <w:b/>
          <w:bCs/>
          <w:color w:val="0E1E3A"/>
          <w:sz w:val="28"/>
          <w:szCs w:val="28"/>
        </w:rPr>
        <w:t xml:space="preserve">11.2 Intake Summary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Field</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Content &amp; Format</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Patient Context</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Age group, region, language, intake channel, session timestamp. No direct identifiers in the KLARA-generated portion.</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Presenting Complaints</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SNOMED-CT coded symptom list with natural language descriptions. Duration, severity, and anatomical location for each complaint.</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Risk Classification</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Green/Amber/Red badge with numeric score (0-100), confidence score, and primary signal factors driving the classification.</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Recommended Pathway</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Primary recommended care setting with rationale. Alternative pathways with ranking explanations.</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Emergency Indicators</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Explicit boolean field: "Emergency indicators detected: YES/NO." If YES, specific indicators listed.</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Medication Context</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If DIS query consented and completed: active medications count, allergy flags, complex medication flag (&gt;5 active meds).</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Clinical Notes Scaffold</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AI-generated draft presenting complaint in clinical SOAP note format for clinician review and editing. Clearly labelled as AI-generated draft.</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Routing Rationale</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Plain-language explanation of why this pathway was recommended. Includes capacity and geographic context.</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Audit Reference</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Session ID (pseudonymized) and timestamp linking to full audit log for this routing decision.</w:t>
            </w:r>
          </w:p>
        </w:tc>
      </w:tr>
    </w:tbl>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11.3 Clinical Notes Scaffold</w:t>
      </w:r>
    </w:p>
    <w:p>
      <w:pPr>
        <w:spacing w:before="60" w:after="140"/>
      </w:pPr>
      <w:r>
        <w:rPr>
          <w:rFonts w:ascii="Arial" w:cs="Arial" w:eastAsia="Arial" w:hAnsi="Arial"/>
          <w:sz w:val="22"/>
          <w:szCs w:val="22"/>
        </w:rPr>
        <w:t xml:space="preserve">The clinical notes scaffold is generated by the RAG Recommendation Engine using the structured symptom data as input. It produces a draft presenting complaint in SOAP note style (Subjective/Objective/Assessment/Plan — limited to Subjective and limited Assessment framing). All scaffold text is explicitly labelled as AI-generated and requires clinician review before chart inclusion. The scaffold is intended to save 3-5 minutes of documentation time at point of care, not to replace clinical judgement. Sample scaffold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Sample Output:</w:t>
            </w:r>
            <w:r>
              <w:rPr>
                <w:rFonts w:ascii="Arial" w:cs="Arial" w:eastAsia="Arial" w:hAnsi="Arial"/>
                <w:sz w:val="20"/>
                <w:szCs w:val="20"/>
              </w:rPr>
              <w:t xml:space="preserve">   S: Patient presents via KLARA navigation (Amber — Score 54/100). 48h history of mild febrile illness with pharyngeal symptoms and atypical chest discomfort on deep inspiration. No reported hemodynamic instability, LOC, or emergency indicators. Self-reported history: no known allergies documented. A: Symptom pattern consistent with viral URTI vs. pharyngeal aetiology with possible reactive airway component. Recommend assessment for streptococcal pharyngitis. Monitor O2 saturation. [KLARA AI-generated draft — clinician review required]</w:t>
            </w:r>
          </w:p>
        </w:tc>
      </w:tr>
    </w:tbl>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12. Deployment Roadmap</w:t>
      </w:r>
    </w:p>
    <w:p>
      <w:pPr>
        <w:pStyle w:val="Heading2"/>
        <w:pBdr>
          <w:bottom w:val="single" w:color="C49A1E" w:sz="4" w:space="2"/>
        </w:pBdr>
        <w:spacing w:before="360" w:after="120"/>
      </w:pPr>
      <w:r>
        <w:rPr>
          <w:rFonts w:ascii="Arial" w:cs="Arial" w:eastAsia="Arial" w:hAnsi="Arial"/>
          <w:b/>
          <w:bCs/>
          <w:color w:val="0E1E3A"/>
          <w:sz w:val="28"/>
          <w:szCs w:val="28"/>
        </w:rPr>
        <w:t xml:space="preserve">12.1 Phased Deployment Philosophy</w:t>
      </w:r>
    </w:p>
    <w:p>
      <w:pPr>
        <w:spacing w:before="60" w:after="140"/>
      </w:pPr>
      <w:r>
        <w:rPr>
          <w:rFonts w:ascii="Arial" w:cs="Arial" w:eastAsia="Arial" w:hAnsi="Arial"/>
          <w:sz w:val="22"/>
          <w:szCs w:val="22"/>
        </w:rPr>
        <w:t xml:space="preserve">KLARA is deployed in four phases, each building on the previous. No phase requires the subsequent phase to function. Each phase delivers standalone clinical value. This de-risks the implementation and builds evidence for continued investment at each stage. The phasing is designed to align with NS Health's existing digital health roadmap — OPOR Wave 2 stabilization, 811 budget allocation, and VirtualCareNS growth.</w:t>
      </w:r>
    </w:p>
    <w:p>
      <w:pPr>
        <w:pStyle w:val="Heading2"/>
        <w:pBdr>
          <w:bottom w:val="single" w:color="C49A1E" w:sz="4" w:space="2"/>
        </w:pBdr>
        <w:spacing w:before="360" w:after="120"/>
      </w:pPr>
      <w:r>
        <w:rPr>
          <w:rFonts w:ascii="Arial" w:cs="Arial" w:eastAsia="Arial" w:hAnsi="Arial"/>
          <w:b/>
          <w:bCs/>
          <w:color w:val="0E1E3A"/>
          <w:sz w:val="28"/>
          <w:szCs w:val="28"/>
        </w:rPr>
        <w:t xml:space="preserve">12.2 Phase 1 — Navigation Engine Prototype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9A1E" w:sz="12"/>
              <w:bottom w:val="none" w:color="FFFFFF" w:sz="0"/>
              <w:right w:val="none" w:color="FFFFFF" w:sz="0"/>
            </w:tcBorders>
            <w:shd w:fill="F2F4F7" w:val="clear"/>
            <w:tcMar>
              <w:top w:type="dxa" w:w="120"/>
              <w:left w:type="dxa" w:w="240"/>
              <w:bottom w:type="dxa" w:w="120"/>
              <w:right w:type="dxa" w:w="240"/>
            </w:tcMar>
          </w:tcPr>
          <w:p>
            <w:pPr>
              <w:spacing w:after="0"/>
            </w:pPr>
            <w:r>
              <w:rPr>
                <w:rFonts w:ascii="Arial" w:cs="Arial" w:eastAsia="Arial" w:hAnsi="Arial"/>
                <w:b/>
                <w:bCs/>
                <w:color w:val="0E1E3A"/>
                <w:sz w:val="20"/>
                <w:szCs w:val="20"/>
              </w:rPr>
              <w:t xml:space="preserve">Investment Entry Point:</w:t>
            </w:r>
            <w:r>
              <w:rPr>
                <w:rFonts w:ascii="Arial" w:cs="Arial" w:eastAsia="Arial" w:hAnsi="Arial"/>
                <w:sz w:val="20"/>
                <w:szCs w:val="20"/>
              </w:rPr>
              <w:t xml:space="preserve">   Align with $3.2M 811 TeleHealth improvement budget (2026–27). No OPOR integration required in Phase 1.</w:t>
            </w:r>
          </w:p>
        </w:tc>
      </w:tr>
    </w:tbl>
    <w:p>
      <w:pPr>
        <w:spacing w:before="60" w:after="60"/>
      </w:pPr>
    </w:p>
    <w:p>
      <w:pPr>
        <w:pStyle w:val="ListParagraph"/>
        <w:numPr>
          <w:ilvl w:val="0"/>
          <w:numId w:val="2"/>
        </w:numPr>
        <w:spacing w:after="100"/>
      </w:pPr>
      <w:r>
        <w:rPr>
          <w:rFonts w:ascii="Arial" w:cs="Arial" w:eastAsia="Arial" w:hAnsi="Arial"/>
          <w:sz w:val="22"/>
          <w:szCs w:val="22"/>
        </w:rPr>
        <w:t xml:space="preserve">Build structured symptom intake questionnaire (structured fields + free-text) with Green/Amber/Red classification.</w:t>
      </w:r>
    </w:p>
    <w:p>
      <w:pPr>
        <w:pStyle w:val="ListParagraph"/>
        <w:numPr>
          <w:ilvl w:val="0"/>
          <w:numId w:val="2"/>
        </w:numPr>
        <w:spacing w:after="100"/>
      </w:pPr>
      <w:r>
        <w:rPr>
          <w:rFonts w:ascii="Arial" w:cs="Arial" w:eastAsia="Arial" w:hAnsi="Arial"/>
          <w:sz w:val="22"/>
          <w:szCs w:val="22"/>
        </w:rPr>
        <w:t xml:space="preserve">Deploy via YourHealthNS app and web portal. Integrate with 811 digital front-end so Amber cases arrive at nurses with pre-structured intake data.</w:t>
      </w:r>
    </w:p>
    <w:p>
      <w:pPr>
        <w:pStyle w:val="ListParagraph"/>
        <w:numPr>
          <w:ilvl w:val="0"/>
          <w:numId w:val="2"/>
        </w:numPr>
        <w:spacing w:after="100"/>
      </w:pPr>
      <w:r>
        <w:rPr>
          <w:rFonts w:ascii="Arial" w:cs="Arial" w:eastAsia="Arial" w:hAnsi="Arial"/>
          <w:sz w:val="22"/>
          <w:szCs w:val="22"/>
        </w:rPr>
        <w:t xml:space="preserve">Route Green cases to self-care resources, pharmacy, or VirtualCareNS (static slot availability).</w:t>
      </w:r>
    </w:p>
    <w:p>
      <w:pPr>
        <w:pStyle w:val="ListParagraph"/>
        <w:numPr>
          <w:ilvl w:val="0"/>
          <w:numId w:val="2"/>
        </w:numPr>
        <w:spacing w:after="100"/>
      </w:pPr>
      <w:r>
        <w:rPr>
          <w:rFonts w:ascii="Arial" w:cs="Arial" w:eastAsia="Arial" w:hAnsi="Arial"/>
          <w:sz w:val="22"/>
          <w:szCs w:val="22"/>
        </w:rPr>
        <w:t xml:space="preserve">Implement full audit logging and Governance Layer safety rules.</w:t>
      </w:r>
    </w:p>
    <w:p>
      <w:pPr>
        <w:pStyle w:val="ListParagraph"/>
        <w:numPr>
          <w:ilvl w:val="0"/>
          <w:numId w:val="2"/>
        </w:numPr>
        <w:spacing w:after="100"/>
      </w:pPr>
      <w:r>
        <w:rPr>
          <w:rFonts w:ascii="Arial" w:cs="Arial" w:eastAsia="Arial" w:hAnsi="Arial"/>
          <w:sz w:val="22"/>
          <w:szCs w:val="22"/>
        </w:rPr>
        <w:t xml:space="preserve">Deploy on Canadian-hosted infrastructure. Complete Privacy Impact Assessment. Engage NS PHIA Review Officer.</w:t>
      </w:r>
    </w:p>
    <w:p>
      <w:pPr>
        <w:pStyle w:val="ListParagraph"/>
        <w:numPr>
          <w:ilvl w:val="0"/>
          <w:numId w:val="2"/>
        </w:numPr>
        <w:spacing w:after="100"/>
      </w:pPr>
      <w:r>
        <w:rPr>
          <w:rFonts w:ascii="Arial" w:cs="Arial" w:eastAsia="Arial" w:hAnsi="Arial"/>
          <w:sz w:val="22"/>
          <w:szCs w:val="22"/>
        </w:rPr>
        <w:t xml:space="preserve">Measure: pathway completion rate, patient satisfaction, 811 nurse assessment time with vs. without KLARA data, 30-day ED presentation rate of KLARA-navigated patients.</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12.3 Phase 2 — Healthcare Integration Pilots (Months 6–12)</w:t>
      </w:r>
    </w:p>
    <w:p>
      <w:pPr>
        <w:pStyle w:val="ListParagraph"/>
        <w:numPr>
          <w:ilvl w:val="0"/>
          <w:numId w:val="2"/>
        </w:numPr>
        <w:spacing w:after="100"/>
      </w:pPr>
      <w:r>
        <w:rPr>
          <w:rFonts w:ascii="Arial" w:cs="Arial" w:eastAsia="Arial" w:hAnsi="Arial"/>
          <w:sz w:val="22"/>
          <w:szCs w:val="22"/>
        </w:rPr>
        <w:t xml:space="preserve">Develop FHIR R4 structured intake packets for VirtualCareNS handoff via Maple API.</w:t>
      </w:r>
    </w:p>
    <w:p>
      <w:pPr>
        <w:pStyle w:val="ListParagraph"/>
        <w:numPr>
          <w:ilvl w:val="0"/>
          <w:numId w:val="2"/>
        </w:numPr>
        <w:spacing w:after="100"/>
      </w:pPr>
      <w:r>
        <w:rPr>
          <w:rFonts w:ascii="Arial" w:cs="Arial" w:eastAsia="Arial" w:hAnsi="Arial"/>
          <w:sz w:val="22"/>
          <w:szCs w:val="22"/>
        </w:rPr>
        <w:t xml:space="preserve">Activate DIS/SHARE consent-gated context queries.</w:t>
      </w:r>
    </w:p>
    <w:p>
      <w:pPr>
        <w:pStyle w:val="ListParagraph"/>
        <w:numPr>
          <w:ilvl w:val="0"/>
          <w:numId w:val="2"/>
        </w:numPr>
        <w:spacing w:after="100"/>
      </w:pPr>
      <w:r>
        <w:rPr>
          <w:rFonts w:ascii="Arial" w:cs="Arial" w:eastAsia="Arial" w:hAnsi="Arial"/>
          <w:sz w:val="22"/>
          <w:szCs w:val="22"/>
        </w:rPr>
        <w:t xml:space="preserve">Begin Oracle Health Developer Program registration and SMART on FHIR sandbox development.</w:t>
      </w:r>
    </w:p>
    <w:p>
      <w:pPr>
        <w:pStyle w:val="ListParagraph"/>
        <w:numPr>
          <w:ilvl w:val="0"/>
          <w:numId w:val="2"/>
        </w:numPr>
        <w:spacing w:after="100"/>
      </w:pPr>
      <w:r>
        <w:rPr>
          <w:rFonts w:ascii="Arial" w:cs="Arial" w:eastAsia="Arial" w:hAnsi="Arial"/>
          <w:sz w:val="22"/>
          <w:szCs w:val="22"/>
        </w:rPr>
        <w:t xml:space="preserve">Deploy Ocean-compatible EMR integration for primary care routing.</w:t>
      </w:r>
    </w:p>
    <w:p>
      <w:pPr>
        <w:pStyle w:val="ListParagraph"/>
        <w:numPr>
          <w:ilvl w:val="0"/>
          <w:numId w:val="2"/>
        </w:numPr>
        <w:spacing w:after="100"/>
      </w:pPr>
      <w:r>
        <w:rPr>
          <w:rFonts w:ascii="Arial" w:cs="Arial" w:eastAsia="Arial" w:hAnsi="Arial"/>
          <w:sz w:val="22"/>
          <w:szCs w:val="22"/>
        </w:rPr>
        <w:t xml:space="preserve">Launch rural routing pilot in one zone with frequent ED closures (Shelburne/Yarmouth or Guysborough/Canso).</w:t>
      </w:r>
    </w:p>
    <w:p>
      <w:pPr>
        <w:pStyle w:val="ListParagraph"/>
        <w:numPr>
          <w:ilvl w:val="0"/>
          <w:numId w:val="2"/>
        </w:numPr>
        <w:spacing w:after="100"/>
      </w:pPr>
      <w:r>
        <w:rPr>
          <w:rFonts w:ascii="Arial" w:cs="Arial" w:eastAsia="Arial" w:hAnsi="Arial"/>
          <w:sz w:val="22"/>
          <w:szCs w:val="22"/>
        </w:rPr>
        <w:t xml:space="preserve">Activate Novari eRequest integration for referral pathway cases.</w:t>
      </w:r>
    </w:p>
    <w:p>
      <w:pPr>
        <w:pStyle w:val="ListParagraph"/>
        <w:numPr>
          <w:ilvl w:val="0"/>
          <w:numId w:val="2"/>
        </w:numPr>
        <w:spacing w:after="100"/>
      </w:pPr>
      <w:r>
        <w:rPr>
          <w:rFonts w:ascii="Arial" w:cs="Arial" w:eastAsia="Arial" w:hAnsi="Arial"/>
          <w:sz w:val="22"/>
          <w:szCs w:val="22"/>
        </w:rPr>
        <w:t xml:space="preserve">Measure: VirtualCareNS appointment efficiency, clinician intake documentation time savings, rural access pathway utilization.</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12.4 Phase 3 — Provincial Deployment (Months 12–18)</w:t>
      </w:r>
    </w:p>
    <w:p>
      <w:pPr>
        <w:pStyle w:val="ListParagraph"/>
        <w:numPr>
          <w:ilvl w:val="0"/>
          <w:numId w:val="2"/>
        </w:numPr>
        <w:spacing w:after="100"/>
      </w:pPr>
      <w:r>
        <w:rPr>
          <w:rFonts w:ascii="Arial" w:cs="Arial" w:eastAsia="Arial" w:hAnsi="Arial"/>
          <w:sz w:val="22"/>
          <w:szCs w:val="22"/>
        </w:rPr>
        <w:t xml:space="preserve">Deploy SMART on FHIR app within OPOR — contingent on Wave 2 Central Zone stabilization (planned May 2026 but allow 3-month stabilization buffer).</w:t>
      </w:r>
    </w:p>
    <w:p>
      <w:pPr>
        <w:pStyle w:val="ListParagraph"/>
        <w:numPr>
          <w:ilvl w:val="0"/>
          <w:numId w:val="2"/>
        </w:numPr>
        <w:spacing w:after="100"/>
      </w:pPr>
      <w:r>
        <w:rPr>
          <w:rFonts w:ascii="Arial" w:cs="Arial" w:eastAsia="Arial" w:hAnsi="Arial"/>
          <w:sz w:val="22"/>
          <w:szCs w:val="22"/>
        </w:rPr>
        <w:t xml:space="preserve">Build initial Provincial Service Directory API (PSDA) — real-time VirtualCareNS slots, community ED closure status ingestion.</w:t>
      </w:r>
    </w:p>
    <w:p>
      <w:pPr>
        <w:pStyle w:val="ListParagraph"/>
        <w:numPr>
          <w:ilvl w:val="0"/>
          <w:numId w:val="2"/>
        </w:numPr>
        <w:spacing w:after="100"/>
      </w:pPr>
      <w:r>
        <w:rPr>
          <w:rFonts w:ascii="Arial" w:cs="Arial" w:eastAsia="Arial" w:hAnsi="Arial"/>
          <w:sz w:val="22"/>
          <w:szCs w:val="22"/>
        </w:rPr>
        <w:t xml:space="preserve">Expand rural routing to all zones. Implement partner clinician load-balancing agreements.</w:t>
      </w:r>
    </w:p>
    <w:p>
      <w:pPr>
        <w:pStyle w:val="ListParagraph"/>
        <w:numPr>
          <w:ilvl w:val="0"/>
          <w:numId w:val="2"/>
        </w:numPr>
        <w:spacing w:after="100"/>
      </w:pPr>
      <w:r>
        <w:rPr>
          <w:rFonts w:ascii="Arial" w:cs="Arial" w:eastAsia="Arial" w:hAnsi="Arial"/>
          <w:sz w:val="22"/>
          <w:szCs w:val="22"/>
        </w:rPr>
        <w:t xml:space="preserve">Activate full RAG recommendation engine with NS-specific knowledge base.</w:t>
      </w:r>
    </w:p>
    <w:p>
      <w:pPr>
        <w:pStyle w:val="ListParagraph"/>
        <w:numPr>
          <w:ilvl w:val="0"/>
          <w:numId w:val="2"/>
        </w:numPr>
        <w:spacing w:after="100"/>
      </w:pPr>
      <w:r>
        <w:rPr>
          <w:rFonts w:ascii="Arial" w:cs="Arial" w:eastAsia="Arial" w:hAnsi="Arial"/>
          <w:sz w:val="22"/>
          <w:szCs w:val="22"/>
        </w:rPr>
        <w:t xml:space="preserve">Deploy equity monitoring dashboard. Conduct demographic bias audit.</w:t>
      </w:r>
    </w:p>
    <w:p>
      <w:pPr>
        <w:pStyle w:val="ListParagraph"/>
        <w:numPr>
          <w:ilvl w:val="0"/>
          <w:numId w:val="2"/>
        </w:numPr>
        <w:spacing w:after="100"/>
      </w:pPr>
      <w:r>
        <w:rPr>
          <w:rFonts w:ascii="Arial" w:cs="Arial" w:eastAsia="Arial" w:hAnsi="Arial"/>
          <w:sz w:val="22"/>
          <w:szCs w:val="22"/>
        </w:rPr>
        <w:t xml:space="preserve">Activate AI Scribe integration (pre-encounter KLARA intake + in-encounter Mikata/Mika AI Scribe).</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12.5 Phase 4 — Full Navigation Operating System (Months 18–24)</w:t>
      </w:r>
    </w:p>
    <w:p>
      <w:pPr>
        <w:pStyle w:val="ListParagraph"/>
        <w:numPr>
          <w:ilvl w:val="0"/>
          <w:numId w:val="2"/>
        </w:numPr>
        <w:spacing w:after="100"/>
      </w:pPr>
      <w:r>
        <w:rPr>
          <w:rFonts w:ascii="Arial" w:cs="Arial" w:eastAsia="Arial" w:hAnsi="Arial"/>
          <w:sz w:val="22"/>
          <w:szCs w:val="22"/>
        </w:rPr>
        <w:t xml:space="preserve">Scale to all Nova Scotia zones. Full VirtualCareNS, OPOR, 811, EMR, DIS/SHARE, and Novari integrations active.</w:t>
      </w:r>
    </w:p>
    <w:p>
      <w:pPr>
        <w:pStyle w:val="ListParagraph"/>
        <w:numPr>
          <w:ilvl w:val="0"/>
          <w:numId w:val="2"/>
        </w:numPr>
        <w:spacing w:after="100"/>
      </w:pPr>
      <w:r>
        <w:rPr>
          <w:rFonts w:ascii="Arial" w:cs="Arial" w:eastAsia="Arial" w:hAnsi="Arial"/>
          <w:sz w:val="22"/>
          <w:szCs w:val="22"/>
        </w:rPr>
        <w:t xml:space="preserve">Deploy Executive Control Panel (Power BI) with all six dashboard views: ED Volume Monitor, LWBS Tracker, Routing Outcomes, Rural Access Map, Capacity Monitor, Policy KPIs.</w:t>
      </w:r>
    </w:p>
    <w:p>
      <w:pPr>
        <w:pStyle w:val="ListParagraph"/>
        <w:numPr>
          <w:ilvl w:val="0"/>
          <w:numId w:val="2"/>
        </w:numPr>
        <w:spacing w:after="100"/>
      </w:pPr>
      <w:r>
        <w:rPr>
          <w:rFonts w:ascii="Arial" w:cs="Arial" w:eastAsia="Arial" w:hAnsi="Arial"/>
          <w:sz w:val="22"/>
          <w:szCs w:val="22"/>
        </w:rPr>
        <w:t xml:space="preserve">Begin outcome tracking against baseline metrics. Publish results for national replication.</w:t>
      </w:r>
    </w:p>
    <w:p>
      <w:pPr>
        <w:pStyle w:val="ListParagraph"/>
        <w:numPr>
          <w:ilvl w:val="0"/>
          <w:numId w:val="2"/>
        </w:numPr>
        <w:spacing w:after="100"/>
      </w:pPr>
      <w:r>
        <w:rPr>
          <w:rFonts w:ascii="Arial" w:cs="Arial" w:eastAsia="Arial" w:hAnsi="Arial"/>
          <w:sz w:val="22"/>
          <w:szCs w:val="22"/>
        </w:rPr>
        <w:t xml:space="preserve">Initiate generalization documentation for other Canadian provinces with Oracle Health infrastructure.</w:t>
      </w:r>
    </w:p>
    <w:p>
      <w:pPr>
        <w:pStyle w:val="ListParagraph"/>
        <w:numPr>
          <w:ilvl w:val="0"/>
          <w:numId w:val="2"/>
        </w:numPr>
        <w:spacing w:after="100"/>
      </w:pPr>
      <w:r>
        <w:rPr>
          <w:rFonts w:ascii="Arial" w:cs="Arial" w:eastAsia="Arial" w:hAnsi="Arial"/>
          <w:sz w:val="22"/>
          <w:szCs w:val="22"/>
        </w:rPr>
        <w:t xml:space="preserve">Prepare for Health Canada SaMD review if any features approach diagnostic territory. Maintain strict non-diagnostic architectural constraints.</w:t>
      </w:r>
    </w:p>
    <w:p>
      <w:pPr>
        <w:spacing w:before="80" w:after="80"/>
      </w:pPr>
    </w:p>
    <w:p>
      <w:pPr>
        <w:pStyle w:val="Heading2"/>
        <w:pBdr>
          <w:bottom w:val="single" w:color="C49A1E" w:sz="4" w:space="2"/>
        </w:pBdr>
        <w:spacing w:before="360" w:after="120"/>
      </w:pPr>
      <w:r>
        <w:rPr>
          <w:rFonts w:ascii="Arial" w:cs="Arial" w:eastAsia="Arial" w:hAnsi="Arial"/>
          <w:b/>
          <w:bCs/>
          <w:color w:val="0E1E3A"/>
          <w:sz w:val="28"/>
          <w:szCs w:val="28"/>
        </w:rPr>
        <w:t xml:space="preserve">12.6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KPI</w:t>
            </w:r>
          </w:p>
        </w:tc>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 1 Target</w:t>
            </w:r>
          </w:p>
        </w:tc>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 3 Target</w:t>
            </w:r>
          </w:p>
        </w:tc>
        <w:tc>
          <w:tcPr>
            <w:tcW w:type="dxa" w:w="2340"/>
            <w:tcBorders>
              <w:top w:val="single" w:color="D9DDE6" w:sz="1"/>
              <w:left w:val="single" w:color="D9DDE6" w:sz="1"/>
              <w:bottom w:val="single" w:color="D9DDE6" w:sz="1"/>
              <w:right w:val="single" w:color="D9DDE6" w:sz="1"/>
            </w:tcBorders>
            <w:shd w:fill="1A223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Source</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20"/>
                <w:szCs w:val="20"/>
              </w:rPr>
              <w:t xml:space="preserve">811 assessment time (KLARA vs. baseline)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−25%</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811 call records</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20"/>
                <w:szCs w:val="20"/>
              </w:rPr>
              <w:t xml:space="preserve">VirtualCareNS appointment efficiency</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+20% first-contact resolution</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Maple API</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20"/>
                <w:szCs w:val="20"/>
              </w:rPr>
              <w:t xml:space="preserve">Time-to-appropriate-care (novel KPI)</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Baseline established</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&lt;30 min median</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KLARA logs</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20"/>
                <w:szCs w:val="20"/>
              </w:rPr>
              <w:t xml:space="preserve">LWBS reduction (proxy: pre-routing)</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−5% Phase 3</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OPOR/EDIS</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20"/>
                <w:szCs w:val="20"/>
              </w:rPr>
              <w:t xml:space="preserve">Routing pathway accuracy (clinician accepted)</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&gt;85%</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&gt;92%</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Clinician feedback</w:t>
            </w:r>
          </w:p>
        </w:tc>
      </w:tr>
      <w:tr>
        <w:tc>
          <w:tcPr>
            <w:tcW w:type="dxa" w:w="2340"/>
            <w:tcBorders>
              <w:top w:val="single" w:color="D9DDE6" w:sz="1"/>
              <w:left w:val="single" w:color="D9DDE6" w:sz="1"/>
              <w:bottom w:val="single" w:color="D9DDE6" w:sz="1"/>
              <w:right w:val="single" w:color="D9DDE6" w:sz="1"/>
            </w:tcBorders>
            <w:shd w:fill="F2F4F7" w:val="clear"/>
            <w:tcMar>
              <w:top w:type="dxa" w:w="80"/>
              <w:left w:type="dxa" w:w="120"/>
              <w:bottom w:type="dxa" w:w="80"/>
              <w:right w:type="dxa" w:w="120"/>
            </w:tcMar>
          </w:tcPr>
          <w:p>
            <w:pPr>
              <w:spacing w:after="0"/>
            </w:pPr>
            <w:r>
              <w:rPr>
                <w:rFonts w:ascii="Arial" w:cs="Arial" w:eastAsia="Arial" w:hAnsi="Arial"/>
                <w:sz w:val="20"/>
                <w:szCs w:val="20"/>
              </w:rPr>
              <w:t xml:space="preserve">Patient satisfaction</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&gt;4.0/5.0</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&gt;4.3/5.0</w:t>
            </w:r>
          </w:p>
        </w:tc>
        <w:tc>
          <w:tcPr>
            <w:tcW w:type="dxa" w:w="2340"/>
            <w:tcBorders>
              <w:top w:val="single" w:color="D9DDE6" w:sz="1"/>
              <w:left w:val="single" w:color="D9DDE6" w:sz="1"/>
              <w:bottom w:val="single" w:color="D9DDE6" w:sz="1"/>
              <w:right w:val="single" w:color="D9DDE6"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App survey</w:t>
            </w:r>
          </w:p>
        </w:tc>
      </w:tr>
    </w:tbl>
    <w:p>
      <w:pPr>
        <w:pStyle w:val="Heading1"/>
        <w:pBdr>
          <w:bottom w:val="single" w:color="C49A1E" w:sz="6" w:space="4"/>
        </w:pBdr>
        <w:shd w:fill="0E1E3A" w:val="clear"/>
        <w:spacing w:before="480" w:after="200"/>
        <w:ind w:left="200" w:right="200"/>
      </w:pPr>
      <w:r>
        <w:rPr>
          <w:rFonts w:ascii="Arial" w:cs="Arial" w:eastAsia="Arial" w:hAnsi="Arial"/>
          <w:b/>
          <w:bCs/>
          <w:color w:val="FFFFFF"/>
          <w:sz w:val="36"/>
          <w:szCs w:val="36"/>
        </w:rPr>
        <w:t xml:space="preserve">Appendix: Evidence Summary</w:t>
      </w:r>
    </w:p>
    <w:p>
      <w:pPr>
        <w:pStyle w:val="Heading2"/>
        <w:pBdr>
          <w:bottom w:val="single" w:color="C49A1E" w:sz="4" w:space="2"/>
        </w:pBdr>
        <w:spacing w:before="360" w:after="120"/>
      </w:pPr>
      <w:r>
        <w:rPr>
          <w:rFonts w:ascii="Arial" w:cs="Arial" w:eastAsia="Arial" w:hAnsi="Arial"/>
          <w:b/>
          <w:bCs/>
          <w:color w:val="0E1E3A"/>
          <w:sz w:val="28"/>
          <w:szCs w:val="28"/>
        </w:rPr>
        <w:t xml:space="preserve">Nova Scotia Healthcare Access Crisis — Baseline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Metric</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Value</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Total ED Visits (2023-24)</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561,139 (NSH: 519,310 + IWK: 41,829)</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CTAS 4-5 Visits (NSH)</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~181,547 (35% of total) — potential navigation targets</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Left Without Being Seen (NSH)</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10.02% (52,521 patients) — 3x national benchmark</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Average Triage-to-Provider Wait</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2.96 hours (up 5.7% YoY; 90th pct: 7-8 hrs at QEII)</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ED Visits per 1,000 Population</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625 — 26% above national average of 495</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Unattached Patients (Jan 2026)</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66,768 (6.3% of population)</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Rural ED Closure Hours</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51,552 hours in 2023-24 (28,171 unplanned)</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Mental Health Wait (non-urgent)</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0-195 days depending on region</w:t>
            </w:r>
          </w:p>
        </w:tc>
      </w:tr>
      <w:tr>
        <w:tc>
          <w:tcPr>
            <w:tcW w:type="dxa" w:w="260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ED Deflection Scenarios (Moderate)</w:t>
            </w:r>
          </w:p>
        </w:tc>
        <w:tc>
          <w:tcPr>
            <w:tcW w:type="dxa" w:w="6760"/>
            <w:tcBorders>
              <w:top w:val="single" w:color="D9DDE6" w:sz="1"/>
              <w:left w:val="single" w:color="D9DDE6" w:sz="1"/>
              <w:bottom w:val="single" w:color="D9DDE6" w:sz="1"/>
              <w:right w:val="single" w:color="D9DDE6" w:sz="1"/>
            </w:tcBorders>
            <w:shd w:fill="FFFFFF" w:val="clear"/>
            <w:tcMar>
              <w:top w:type="dxa" w:w="80"/>
              <w:left w:type="dxa" w:w="160"/>
              <w:bottom w:type="dxa" w:w="80"/>
              <w:right w:type="dxa" w:w="120"/>
            </w:tcMar>
          </w:tcPr>
          <w:p>
            <w:pPr>
              <w:spacing w:after="0"/>
            </w:pPr>
            <w:r>
              <w:rPr>
                <w:rFonts w:ascii="Arial" w:cs="Arial" w:eastAsia="Arial" w:hAnsi="Arial"/>
                <w:sz w:val="20"/>
                <w:szCs w:val="20"/>
              </w:rPr>
              <w:t xml:space="preserve">$1.5M annual direct savings (3% CTAS 4-5 deflection)</w:t>
            </w:r>
          </w:p>
        </w:tc>
      </w:tr>
      <w:tr>
        <w:tc>
          <w:tcPr>
            <w:tcW w:type="dxa" w:w="260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b/>
                <w:bCs/>
                <w:color w:val="0E1E3A"/>
                <w:sz w:val="20"/>
                <w:szCs w:val="20"/>
              </w:rPr>
              <w:t xml:space="preserve">Total Annual Value (Moderate Scenario)</w:t>
            </w:r>
          </w:p>
        </w:tc>
        <w:tc>
          <w:tcPr>
            <w:tcW w:type="dxa" w:w="6760"/>
            <w:tcBorders>
              <w:top w:val="single" w:color="D9DDE6" w:sz="1"/>
              <w:left w:val="single" w:color="D9DDE6" w:sz="1"/>
              <w:bottom w:val="single" w:color="D9DDE6" w:sz="1"/>
              <w:right w:val="single" w:color="D9DDE6" w:sz="1"/>
            </w:tcBorders>
            <w:shd w:fill="F2F4F7" w:val="clear"/>
            <w:tcMar>
              <w:top w:type="dxa" w:w="80"/>
              <w:left w:type="dxa" w:w="160"/>
              <w:bottom w:type="dxa" w:w="80"/>
              <w:right w:type="dxa" w:w="120"/>
            </w:tcMar>
          </w:tcPr>
          <w:p>
            <w:pPr>
              <w:spacing w:after="0"/>
            </w:pPr>
            <w:r>
              <w:rPr>
                <w:rFonts w:ascii="Arial" w:cs="Arial" w:eastAsia="Arial" w:hAnsi="Arial"/>
                <w:sz w:val="20"/>
                <w:szCs w:val="20"/>
              </w:rPr>
              <w:t xml:space="preserve">$8.7M including clinician time recovery + admin reduction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6" w:sz="2" w:space="1"/>
      </w:pBdr>
      <w:spacing w:before="120"/>
    </w:pPr>
    <w:r>
      <w:rPr>
        <w:rFonts w:ascii="Arial" w:cs="Arial" w:eastAsia="Arial" w:hAnsi="Arial"/>
        <w:color w:val="4F6080"/>
        <w:sz w:val="16"/>
        <w:szCs w:val="16"/>
      </w:rPr>
      <w:t xml:space="preserve">Nova Scotia Digital Health Initiative  ·  KLARA OS v2.4.x  ·  </w:t>
    </w:r>
    <w:r>
      <w:rPr>
        <w:rFonts w:ascii="Arial" w:cs="Arial" w:eastAsia="Arial" w:hAnsi="Arial"/>
        <w:color w:val="4F6080"/>
        <w:sz w:val="16"/>
        <w:szCs w:val="16"/>
      </w:rPr>
      <w:t xml:space="preserve">Page </w:t>
    </w:r>
    <w:r>
      <w:rPr>
        <w:rFonts w:ascii="Arial" w:cs="Arial" w:eastAsia="Arial" w:hAnsi="Arial"/>
        <w:color w:val="4F6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DE6" w:sz="2" w:space="1"/>
      </w:pBdr>
      <w:tabs>
        <w:tab w:val="right" w:pos="9360"/>
      </w:tabs>
      <w:spacing w:after="120"/>
    </w:pPr>
    <w:r>
      <w:rPr>
        <w:rFonts w:ascii="Arial" w:cs="Arial" w:eastAsia="Arial" w:hAnsi="Arial"/>
        <w:color w:val="4F6080"/>
        <w:sz w:val="18"/>
        <w:szCs w:val="18"/>
      </w:rPr>
      <w:t xml:space="preserve">KLARA OS — System Architecture Specification</w:t>
    </w:r>
    <w:r>
      <w:rPr>
        <w:rFonts w:ascii="Arial" w:cs="Arial" w:eastAsia="Arial" w:hAnsi="Arial"/>
        <w:sz w:val="18"/>
        <w:szCs w:val="18"/>
      </w:rPr>
      <w:t xml:space="preserve">	</w:t>
    </w:r>
    <w:r>
      <w:rPr>
        <w:rFonts w:ascii="Arial" w:cs="Arial" w:eastAsia="Arial" w:hAnsi="Arial"/>
        <w:b/>
        <w:bCs/>
        <w:color w:val="C49A1E"/>
        <w:sz w:val="18"/>
        <w:szCs w:val="18"/>
      </w:rPr>
      <w:t xml:space="preserve">CONFIDENTIAL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E1E3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A22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2026-03-05T06:35:32.380Z</dcterms:created>
  <dcterms:modified xsi:type="dcterms:W3CDTF">2026-03-05T06:35:32.380Z</dcterms:modified>
</cp:coreProperties>
</file>

<file path=docProps/custom.xml><?xml version="1.0" encoding="utf-8"?>
<Properties xmlns="http://schemas.openxmlformats.org/officeDocument/2006/custom-properties" xmlns:vt="http://schemas.openxmlformats.org/officeDocument/2006/docPropsVTypes"/>
</file>