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center"/>
      </w:pPr>
      <w:r>
        <w:rPr>
          <w:rFonts w:ascii="Arial Unicode MS" w:hAnsi="Arial Unicode MS" w:eastAsia="Arial Unicode MS"/>
          <w:b/>
          <w:sz w:val="28"/>
        </w:rPr>
        <w:t>Term Project II:</w:t>
      </w:r>
    </w:p>
    <w:p>
      <w:pPr>
        <w:spacing w:after="160" w:line="276" w:lineRule="auto"/>
        <w:jc w:val="center"/>
      </w:pPr>
      <w:r>
        <w:rPr>
          <w:rFonts w:ascii="Arial Unicode MS" w:hAnsi="Arial Unicode MS" w:eastAsia="Arial Unicode MS"/>
          <w:b/>
          <w:sz w:val="28"/>
        </w:rPr>
        <w:t>量化交易策略設計與 GA 參數搜尋</w:t>
      </w:r>
    </w:p>
    <w:p>
      <w:pPr>
        <w:spacing w:after="160" w:line="276" w:lineRule="auto"/>
        <w:jc w:val="center"/>
      </w:pPr>
      <w:r>
        <w:rPr>
          <w:rFonts w:ascii="Arial Unicode MS" w:hAnsi="Arial Unicode MS" w:eastAsia="Arial Unicode MS"/>
          <w:b w:val="0"/>
          <w:sz w:val="22"/>
        </w:rPr>
        <w:t>Problem 1：個股規則型策略</w:t>
        <w:br/>
        <w:t>Problem 2：Classic V-MA Z-score Pairs Trading</w:t>
      </w:r>
    </w:p>
    <w:p/>
    <w:p>
      <w:pPr>
        <w:spacing w:before="200" w:after="160"/>
      </w:pPr>
      <w:r>
        <w:rPr>
          <w:rFonts w:ascii="Arial Unicode MS" w:hAnsi="Arial Unicode MS" w:eastAsia="Arial Unicode MS"/>
          <w:b/>
          <w:color w:val="000000"/>
          <w:sz w:val="26"/>
        </w:rPr>
        <w:t>一、背景與目的</w:t>
      </w:r>
    </w:p>
    <w:p>
      <w:pPr>
        <w:spacing w:after="160" w:line="276" w:lineRule="auto"/>
      </w:pPr>
      <w:r>
        <w:rPr>
          <w:rFonts w:ascii="Arial Unicode MS" w:hAnsi="Arial Unicode MS" w:eastAsia="Arial Unicode MS"/>
          <w:b w:val="0"/>
          <w:sz w:val="22"/>
        </w:rPr>
        <w:t>本專題針對 AAPL、MSFT、V、MA、JPM 五檔股票設計可解釋的規則型交易策略，並使用 2016 至 2026 年的樣本外測試期比較策略表現。研究重點不是預測明天漲跌，而是讓每一個交易決策都能由明確規則、參數與歷史資料驗證來說明。</w:t>
      </w:r>
    </w:p>
    <w:p>
      <w:pPr>
        <w:spacing w:after="160" w:line="276" w:lineRule="auto"/>
      </w:pPr>
      <w:r>
        <w:rPr>
          <w:rFonts w:ascii="Arial Unicode MS" w:hAnsi="Arial Unicode MS" w:eastAsia="Arial Unicode MS"/>
          <w:b w:val="0"/>
          <w:sz w:val="22"/>
        </w:rPr>
        <w:t>Problem 1 著重在每一檔股票各自的進出場規則；Problem 2 則固定使用 Visa 與 Mastercard 這組同產業支付網路 pair，測試 Classic V-MA Z-score Pairs Trading 與 GA 參數搜尋的差異。</w:t>
      </w:r>
    </w:p>
    <w:p>
      <w:pPr>
        <w:spacing w:before="200" w:after="160"/>
      </w:pPr>
      <w:r>
        <w:rPr>
          <w:rFonts w:ascii="Arial Unicode MS" w:hAnsi="Arial Unicode MS" w:eastAsia="Arial Unicode MS"/>
          <w:b/>
          <w:color w:val="000000"/>
          <w:sz w:val="26"/>
        </w:rPr>
        <w:t>二、資料與驗證方式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資料來源為 Yahoo Finance 調整後收盤價，主要測試期間為 2016-2026。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所有 GA 參數只使用測試期以前的資料訓練，不使用測試期結果回頭調參。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比較基準包含 Buy-and-Hold 與 DCA，避免只看策略本身而無法判斷相對表現。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績效指標包含累積報酬、最大回撤、波動率與期末資產。</w:t>
      </w:r>
    </w:p>
    <w:p>
      <w:pPr>
        <w:spacing w:before="200" w:after="160"/>
      </w:pPr>
      <w:r>
        <w:rPr>
          <w:rFonts w:ascii="Arial Unicode MS" w:hAnsi="Arial Unicode MS" w:eastAsia="Arial Unicode MS"/>
          <w:b/>
          <w:color w:val="000000"/>
          <w:sz w:val="26"/>
        </w:rPr>
        <w:t>三、Problem 1：個股策略設計</w:t>
      </w:r>
    </w:p>
    <w:p>
      <w:pPr>
        <w:spacing w:after="160" w:line="276" w:lineRule="auto"/>
      </w:pPr>
      <w:r>
        <w:rPr>
          <w:rFonts w:ascii="Arial Unicode MS" w:hAnsi="Arial Unicode MS" w:eastAsia="Arial Unicode MS"/>
          <w:b w:val="0"/>
          <w:sz w:val="22"/>
        </w:rPr>
        <w:t>Problem 1 不把五檔股票合成一條線，而是每檔股票各自套用同一套規則。GA 只負責替每檔股票挑選停損、均線視窗與動能視窗，實際交易仍由固定規則決定。</w:t>
      </w:r>
    </w:p>
    <w:p>
      <w:pPr>
        <w:spacing w:after="160" w:line="276" w:lineRule="auto"/>
      </w:pPr>
      <w:r>
        <w:rPr>
          <w:rFonts w:ascii="Arial Unicode MS" w:hAnsi="Arial Unicode MS" w:eastAsia="Arial Unicode MS"/>
          <w:b w:val="0"/>
          <w:sz w:val="20"/>
        </w:rPr>
        <w:t>Problem 1 公式如下。項目名稱與說明使用 Word 原生文字排版，公式本身各自以單張 PNG 插入。</w:t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每檔參數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AAPL 範例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移動平均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4816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81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動能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持有高點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回撤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出場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進場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其他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資產更新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120"/>
      </w:pPr>
      <w:r>
        <w:rPr>
          <w:rFonts w:ascii="Arial Unicode MS" w:hAnsi="Arial Unicode MS" w:eastAsia="Arial Unicode MS"/>
          <w:b/>
          <w:color w:val="000000"/>
          <w:sz w:val="22"/>
        </w:rPr>
        <w:t>3.1 個股參數與績效摘要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792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Stock</w:t>
            </w:r>
          </w:p>
        </w:tc>
        <w:tc>
          <w:tcPr>
            <w:tcW w:type="dxa" w:w="2376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GA Parameters</w:t>
            </w:r>
          </w:p>
        </w:tc>
        <w:tc>
          <w:tcPr>
            <w:tcW w:type="dxa" w:w="936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GA</w:t>
            </w:r>
          </w:p>
        </w:tc>
        <w:tc>
          <w:tcPr>
            <w:tcW w:type="dxa" w:w="936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Fixed</w:t>
            </w:r>
          </w:p>
        </w:tc>
        <w:tc>
          <w:tcPr>
            <w:tcW w:type="dxa" w:w="936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DCA</w:t>
            </w:r>
          </w:p>
        </w:tc>
        <w:tc>
          <w:tcPr>
            <w:tcW w:type="dxa" w:w="1224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Buy-and-Hold</w:t>
            </w:r>
          </w:p>
        </w:tc>
        <w:tc>
          <w:tcPr>
            <w:tcW w:type="dxa" w:w="2088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Interpretation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AAPL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停損 20.0%, 均線 75, 動能 99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605.36%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524.02%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356.30%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1166.31%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GA 對進出場有改善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MSFT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停損 20.5%, 均線 121, 動能 72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473.12%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600.51%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215.21%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781.31%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優於 DCA，但未必贏 Fixed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V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停損 18.0%, 均線 96, 動能 67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113.40%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178.33%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109.37%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363.46%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優於 DCA，但未必贏 Fixed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MA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停損 29.0%, 均線 133, 動能 86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351.88%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134.35%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118.73%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455.33%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GA 對進出場有改善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JPM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停損 33.0%, 均線 55, 動能 87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448.19%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380.85%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189.32%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515.30%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GA 對進出場有改善</w:t>
            </w:r>
          </w:p>
        </w:tc>
      </w:tr>
    </w:tbl>
    <w:p/>
    <w:p>
      <w:pPr>
        <w:spacing w:before="120" w:after="120"/>
      </w:pPr>
      <w:r>
        <w:rPr>
          <w:rFonts w:ascii="Arial Unicode MS" w:hAnsi="Arial Unicode MS" w:eastAsia="Arial Unicode MS"/>
          <w:b/>
          <w:color w:val="000000"/>
          <w:sz w:val="22"/>
        </w:rPr>
        <w:t>3.2 AAPL 個股結果與關鍵訊號</w:t>
      </w:r>
    </w:p>
    <w:p>
      <w:pPr>
        <w:spacing w:after="160" w:line="276" w:lineRule="auto"/>
      </w:pPr>
      <w:r>
        <w:rPr>
          <w:rFonts w:ascii="Arial Unicode MS" w:hAnsi="Arial Unicode MS" w:eastAsia="Arial Unicode MS"/>
          <w:b w:val="0"/>
          <w:sz w:val="22"/>
        </w:rPr>
        <w:t>AAPL 的 GA 參數為停損 20.0%、均線 75 日、動能 99 日。2016-2026 測試期中，GA 累積報酬 605.36%，Fixed 524.02%，DCA 356.30%，Buy-and-Hold 1166.31%。該股測試期最大價格回撤約 -38.52%，策略最大回撤約 -46.44%。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561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_problem1_AAPL_vs_benchmar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i/>
          <w:sz w:val="18"/>
        </w:rPr>
        <w:t>圖：AAPL 個股策略與基準比較。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關鍵進出場點：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2020-03-12 出場：回撤 -24.14%、63 日波動率 47.07%。當時回撤已達停損條件，且價格低於 GA 選出的均線，因此策略先降為空手。到下一次訊號前，股價變化約 15.91%。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2020-04-29 重新進場：回撤 -12.06%、63 日波動率 70.24%。當時價格重新站上 GA 選出的均線且動能轉正，因此策略恢復持有。到下一次訊號前，股價變化約 101.20%。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2025-08-06 重新進場：回撤 -17.47%、63 日波動率 23.92%。當時價格重新站上 GA 選出的均線且動能轉正，因此策略恢復持有。到下一次訊號前，股價變化約 41.35%。</w:t>
      </w:r>
    </w:p>
    <w:p>
      <w:pPr>
        <w:spacing w:before="120" w:after="120"/>
      </w:pPr>
      <w:r>
        <w:rPr>
          <w:rFonts w:ascii="Arial Unicode MS" w:hAnsi="Arial Unicode MS" w:eastAsia="Arial Unicode MS"/>
          <w:b/>
          <w:color w:val="000000"/>
          <w:sz w:val="22"/>
        </w:rPr>
        <w:t>3.3 MSFT 個股結果與關鍵訊號</w:t>
      </w:r>
    </w:p>
    <w:p>
      <w:pPr>
        <w:spacing w:after="160" w:line="276" w:lineRule="auto"/>
      </w:pPr>
      <w:r>
        <w:rPr>
          <w:rFonts w:ascii="Arial Unicode MS" w:hAnsi="Arial Unicode MS" w:eastAsia="Arial Unicode MS"/>
          <w:b w:val="0"/>
          <w:sz w:val="22"/>
        </w:rPr>
        <w:t>MSFT 的 GA 參數為停損 20.5%、均線 121 日、動能 72 日。2016-2026 測試期中，GA 累積報酬 473.12%，Fixed 600.51%，DCA 215.21%，Buy-and-Hold 781.31%。該股測試期最大價格回撤約 -37.15%，策略最大回撤約 -37.13%。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561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_problem1_MSFT_vs_benchmark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i/>
          <w:sz w:val="18"/>
        </w:rPr>
        <w:t>圖：MSFT 個股策略與基準比較。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關鍵進出場點：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2020-03-12 出場：回撤 -26.10%、63 日波動率 43.56%。當時回撤已達停損條件，且價格低於 GA 選出的均線，因此策略先降為空手。到下一次訊號前，股價變化約 14.22%。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2020-03-13 重新進場：回撤 -15.60%、63 日波動率 52.12%。當時價格重新站上 GA 選出的均線且動能轉正，因此策略恢復持有。到下一次訊號前，股價變化約 73.26%。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2026-02-02 出場：回撤 -21.75%、63 日波動率 28.54%。當時回撤已達停損條件，且價格低於 GA 選出的均線，因此策略先降為空手。到下一次訊號前，股價變化約 -0.12%。</w:t>
      </w:r>
    </w:p>
    <w:p>
      <w:pPr>
        <w:spacing w:before="120" w:after="120"/>
      </w:pPr>
      <w:r>
        <w:rPr>
          <w:rFonts w:ascii="Arial Unicode MS" w:hAnsi="Arial Unicode MS" w:eastAsia="Arial Unicode MS"/>
          <w:b/>
          <w:color w:val="000000"/>
          <w:sz w:val="22"/>
        </w:rPr>
        <w:t>3.4 V 個股結果與關鍵訊號</w:t>
      </w:r>
    </w:p>
    <w:p>
      <w:pPr>
        <w:spacing w:after="160" w:line="276" w:lineRule="auto"/>
      </w:pPr>
      <w:r>
        <w:rPr>
          <w:rFonts w:ascii="Arial Unicode MS" w:hAnsi="Arial Unicode MS" w:eastAsia="Arial Unicode MS"/>
          <w:b w:val="0"/>
          <w:sz w:val="22"/>
        </w:rPr>
        <w:t>V 的 GA 參數為停損 18.0%、均線 96 日、動能 67 日。2016-2026 測試期中，GA 累積報酬 113.40%，Fixed 178.33%，DCA 109.37%，Buy-and-Hold 363.46%。該股測試期最大價格回撤約 -36.36%，策略最大回撤約 -43.94%。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561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_problem1_V_vs_benchmark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i/>
          <w:sz w:val="18"/>
        </w:rPr>
        <w:t>圖：V 個股策略與基準比較。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關鍵進出場點：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2020-03-09 出場：回撤 -19.77%、63 日波動率 32.88%。當時回撤已達停損條件，且價格低於 GA 選出的均線，因此策略先降為空手。到下一次訊號前，股價變化約 13.76%。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2022-11-25 重新進場：回撤 -5.73%、63 日波動率 28.38%。當時價格重新站上 GA 選出的均線且動能轉正，因此策略恢復持有。到下一次訊號前，股價變化約 43.36%。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2026-04-29 重新進場：回撤 -9.78%、63 日波動率 27.87%。當時價格重新站上 GA 選出的均線且動能轉正，因此策略恢復持有。到下一次訊號前，股價變化約 -2.52%。</w:t>
      </w:r>
    </w:p>
    <w:p>
      <w:pPr>
        <w:spacing w:before="120" w:after="120"/>
      </w:pPr>
      <w:r>
        <w:rPr>
          <w:rFonts w:ascii="Arial Unicode MS" w:hAnsi="Arial Unicode MS" w:eastAsia="Arial Unicode MS"/>
          <w:b/>
          <w:color w:val="000000"/>
          <w:sz w:val="22"/>
        </w:rPr>
        <w:t>3.5 MA 個股結果與關鍵訊號</w:t>
      </w:r>
    </w:p>
    <w:p>
      <w:pPr>
        <w:spacing w:after="160" w:line="276" w:lineRule="auto"/>
      </w:pPr>
      <w:r>
        <w:rPr>
          <w:rFonts w:ascii="Arial Unicode MS" w:hAnsi="Arial Unicode MS" w:eastAsia="Arial Unicode MS"/>
          <w:b w:val="0"/>
          <w:sz w:val="22"/>
        </w:rPr>
        <w:t>MA 的 GA 參數為停損 29.0%、均線 133 日、動能 86 日。2016-2026 測試期中，GA 累積報酬 351.88%，Fixed 134.35%，DCA 118.73%，Buy-and-Hold 455.33%。該股測試期最大價格回撤約 -41.00%，策略最大回撤約 -32.08%。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561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_problem1_MA_vs_benchmark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i/>
          <w:sz w:val="18"/>
        </w:rPr>
        <w:t>圖：MA 個股策略與基準比較。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關鍵進出場點：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2020-03-12 出場：回撤 -29.91%、63 日波動率 44.06%。當時回撤已達停損條件，且價格低於 GA 選出的均線，因此策略先降為空手。到下一次訊號前，股價變化約 22.63%。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2020-06-30 重新進場：回撤 -14.05%、63 日波動率 49.66%。當時價格重新站上 GA 選出的均線且動能轉正，因此策略恢復持有。到下一次訊號前，股價變化約 72.91%。</w:t>
      </w:r>
    </w:p>
    <w:p>
      <w:pPr>
        <w:spacing w:before="120" w:after="120"/>
      </w:pPr>
      <w:r>
        <w:rPr>
          <w:rFonts w:ascii="Arial Unicode MS" w:hAnsi="Arial Unicode MS" w:eastAsia="Arial Unicode MS"/>
          <w:b/>
          <w:color w:val="000000"/>
          <w:sz w:val="22"/>
        </w:rPr>
        <w:t>3.6 JPM 個股結果與關鍵訊號</w:t>
      </w:r>
    </w:p>
    <w:p>
      <w:pPr>
        <w:spacing w:after="160" w:line="276" w:lineRule="auto"/>
      </w:pPr>
      <w:r>
        <w:rPr>
          <w:rFonts w:ascii="Arial Unicode MS" w:hAnsi="Arial Unicode MS" w:eastAsia="Arial Unicode MS"/>
          <w:b w:val="0"/>
          <w:sz w:val="22"/>
        </w:rPr>
        <w:t>JPM 的 GA 參數為停損 33.0%、均線 55 日、動能 87 日。2016-2026 測試期中，GA 累積報酬 448.19%，Fixed 380.85%，DCA 189.32%，Buy-and-Hold 515.30%。該股測試期最大價格回撤約 -43.63%，策略最大回撤約 -41.71%。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561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_problem1_JPM_vs_benchmark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i/>
          <w:sz w:val="18"/>
        </w:rPr>
        <w:t>圖：JPM 個股策略與基準比較。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關鍵進出場點：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2020-03-09 出場：回撤 -33.35%、63 日波動率 39.29%。當時回撤已達停損條件，且價格低於 GA 選出的均線，因此策略先降為空手。到下一次訊號前，股價變化約 6.62%。</w:t>
      </w:r>
    </w:p>
    <w:p>
      <w:pPr>
        <w:pStyle w:val="ListBullet2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2022-09-15 重新進場：回撤 -29.85%、63 日波動率 26.11%。當時價格重新站上 GA 選出的均線且動能轉正，因此策略恢復持有。到下一次訊號前，股價變化約 177.13%。</w:t>
      </w:r>
    </w:p>
    <w:p>
      <w:r>
        <w:br w:type="page"/>
      </w:r>
    </w:p>
    <w:p>
      <w:pPr>
        <w:spacing w:before="200" w:after="160"/>
      </w:pPr>
      <w:r>
        <w:rPr>
          <w:rFonts w:ascii="Arial Unicode MS" w:hAnsi="Arial Unicode MS" w:eastAsia="Arial Unicode MS"/>
          <w:b/>
          <w:color w:val="000000"/>
          <w:sz w:val="26"/>
        </w:rPr>
        <w:t>四、Problem 2：Classic V-MA Z-score Pairs Trading</w:t>
      </w:r>
    </w:p>
    <w:p>
      <w:pPr>
        <w:spacing w:after="160" w:line="276" w:lineRule="auto"/>
      </w:pPr>
      <w:r>
        <w:rPr>
          <w:rFonts w:ascii="Arial Unicode MS" w:hAnsi="Arial Unicode MS" w:eastAsia="Arial Unicode MS"/>
          <w:b w:val="0"/>
          <w:sz w:val="22"/>
        </w:rPr>
        <w:t>Problem 2 固定使用 Visa 與 Mastercard，不在測試期之後回頭更換 pair。Classic 版本使用固定參數；GA 版本只調整交易參數，不改變 pair 本身。</w:t>
      </w:r>
    </w:p>
    <w:p>
      <w:pPr>
        <w:spacing w:after="160" w:line="276" w:lineRule="auto"/>
      </w:pPr>
      <w:r>
        <w:rPr>
          <w:rFonts w:ascii="Arial Unicode MS" w:hAnsi="Arial Unicode MS" w:eastAsia="Arial Unicode MS"/>
          <w:b w:val="0"/>
          <w:sz w:val="20"/>
        </w:rPr>
        <w:t>Problem 2 公式如下。文字說明維持 Word 原生排版，公式本身各自以單張 PNG 插入。</w:t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價格轉換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配對迴歸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價差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標準化分數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Fixed 參數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0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Long spread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0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Short spread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0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均值回歸出場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0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風控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0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 w:after="40"/>
      </w:pPr>
      <w:r>
        <w:rPr>
          <w:rFonts w:ascii="Arial Unicode MS" w:hAnsi="Arial Unicode MS" w:eastAsia="Arial Unicode MS"/>
          <w:b/>
          <w:sz w:val="20"/>
        </w:rPr>
        <w:t>GA 搜尋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94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1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rFonts w:ascii="Arial Unicode MS" w:hAnsi="Arial Unicode MS" w:eastAsia="Arial Unicode MS"/>
          <w:b/>
          <w:color w:val="000000"/>
          <w:sz w:val="22"/>
        </w:rPr>
        <w:t>4.1 2016-2026 主要結果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088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Strategy</w:t>
            </w:r>
          </w:p>
        </w:tc>
        <w:tc>
          <w:tcPr>
            <w:tcW w:type="dxa" w:w="1224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Cumulative</w:t>
            </w:r>
          </w:p>
        </w:tc>
        <w:tc>
          <w:tcPr>
            <w:tcW w:type="dxa" w:w="1224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Max Drawdown</w:t>
            </w:r>
          </w:p>
        </w:tc>
        <w:tc>
          <w:tcPr>
            <w:tcW w:type="dxa" w:w="1224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Volatility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End Equity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Buy-and-Hold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409.40%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-38.97%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25.12%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50,940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DCA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114.05%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-23.23%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16.07%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21,405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Classic V-MA Z-score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-2.87%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-18.84%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5.06%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9,713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GA V-MA Z-score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-1.12%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-7.90%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2.61%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9,888</w:t>
            </w:r>
          </w:p>
        </w:tc>
      </w:tr>
    </w:tbl>
    <w:p/>
    <w:p>
      <w:pPr>
        <w:spacing w:after="160" w:line="276" w:lineRule="auto"/>
      </w:pPr>
      <w:r>
        <w:rPr>
          <w:rFonts w:ascii="Arial Unicode MS" w:hAnsi="Arial Unicode MS" w:eastAsia="Arial Unicode MS"/>
          <w:b w:val="0"/>
          <w:sz w:val="22"/>
        </w:rPr>
        <w:t>2016-2026 長期結果顯示，Buy-and-Hold 與 DCA 因為長期持有 V-MA 支付網路龍頭，報酬明顯高於配對交易。配對交易的目的不是追求單邊多頭報酬，而是測試價差偏離後是否能透過均值回歸取得較低波動的策略表現。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8745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_problem2_ga_vs_fix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7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i/>
          <w:sz w:val="18"/>
        </w:rPr>
        <w:t>圖：Problem 2 四種方法比較，包含 Buy-and-Hold、DCA、Classic 與 GA。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2176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_problem2_2016-2026_v_ma_price_posi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17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i/>
          <w:sz w:val="18"/>
        </w:rPr>
        <w:t>圖：V-MA 價格、資產曲線、z-score 與持倉變化。</w:t>
      </w:r>
    </w:p>
    <w:p>
      <w:pPr>
        <w:spacing w:before="120" w:after="120"/>
      </w:pPr>
      <w:r>
        <w:rPr>
          <w:rFonts w:ascii="Arial Unicode MS" w:hAnsi="Arial Unicode MS" w:eastAsia="Arial Unicode MS"/>
          <w:b/>
          <w:color w:val="000000"/>
          <w:sz w:val="22"/>
        </w:rPr>
        <w:t>4.2 GA Parameters 與關鍵交易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656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Strategy</w:t>
            </w:r>
          </w:p>
        </w:tc>
        <w:tc>
          <w:tcPr>
            <w:tcW w:type="dxa" w:w="1296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Window</w:t>
            </w:r>
          </w:p>
        </w:tc>
        <w:tc>
          <w:tcPr>
            <w:tcW w:type="dxa" w:w="1080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Pair</w:t>
            </w:r>
          </w:p>
        </w:tc>
        <w:tc>
          <w:tcPr>
            <w:tcW w:type="dxa" w:w="936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lookback</w:t>
            </w:r>
          </w:p>
        </w:tc>
        <w:tc>
          <w:tcPr>
            <w:tcW w:type="dxa" w:w="936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entry_z</w:t>
            </w:r>
          </w:p>
        </w:tc>
        <w:tc>
          <w:tcPr>
            <w:tcW w:type="dxa" w:w="936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exit_z</w:t>
            </w:r>
          </w:p>
        </w:tc>
        <w:tc>
          <w:tcPr>
            <w:tcW w:type="dxa" w:w="936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stop_z</w:t>
            </w:r>
          </w:p>
        </w:tc>
        <w:tc>
          <w:tcPr>
            <w:tcW w:type="dxa" w:w="1080"/>
            <w:vAlign w:val="center"/>
            <w:shd w:fill="F2F2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max hold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Classic Fixed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2016-2026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V-MA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40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1.50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0.00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3.50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60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GA</w:t>
            </w:r>
          </w:p>
        </w:tc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2016-2026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V-MA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81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2.22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0.44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4.20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23</w:t>
            </w:r>
          </w:p>
        </w:tc>
      </w:tr>
    </w:tbl>
    <w:p/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2016-2026 正式測試窗中，GA 累積報酬 -1.12%，Classic Fixed -2.87%，Buy-and-Hold 409.40%，DCA 114.05%。GA 比 Classic Fixed 少虧，但兩者仍明顯輸給長期持有型基準。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Interpretation：V 與 MA 在 2016-2026 同向長期上漲，Pair Trading 的 market-neutral 結構會抵消大部分單邊趨勢，所以不適合拿來追求 Buy-and-Hold 型報酬。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GA Interpretation：GA 只用 2015 年底以前資料挑參數，因此它能降低虧損與回撤，但無法保證測試期一定轉正。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關鍵交易：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2024-12-06 至 2025-03-07，Classic V-MA Z-score，做多價差，z-score -1.65 -&gt; -1.48，單筆報酬 4.23%。z-score 有往 0 靠近，出場原因為 達到最大持有天數。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2021-09-21 至 2021-11-29，Classic V-MA Z-score，做空價差，z-score 1.86 -&gt; -0.14，單筆報酬 4.15%。z-score 有往 0 靠近，出場原因為 均值回歸。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2025-07-16 至 2025-08-18，GA V-MA Z-score，做多價差，z-score -2.23 -&gt; -1.43，單筆報酬 -3.74%。z-score 有往 0 靠近，出場原因為 達到最大持有天數。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2026-04-10 至 2026-05-13，GA V-MA Z-score，做多價差，z-score -2.26 -&gt; -0.78，單筆報酬 3.62%。z-score 有往 0 靠近，出場原因為 達到最大持有天數。</w:t>
      </w:r>
    </w:p>
    <w:p>
      <w:pPr>
        <w:spacing w:before="200" w:after="160"/>
      </w:pPr>
      <w:r>
        <w:rPr>
          <w:rFonts w:ascii="Arial Unicode MS" w:hAnsi="Arial Unicode MS" w:eastAsia="Arial Unicode MS"/>
          <w:b/>
          <w:color w:val="000000"/>
          <w:sz w:val="26"/>
        </w:rPr>
        <w:t>五、結論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Problem 1 的重點是個股差異：同一套規則放到不同股票，會因趨勢強弱、回撤速度與波動型態而有不同效果。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GA 可以提供一組事前選出的參數，但不代表一定打敗 Buy-and-Hold；強多頭股票常會讓長抱策略勝出。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Problem 2 的 V-MA pair trading 已具備進場、出場、停損、最大持有天數與持倉變化，不是沒有交易的水平線。</w:t>
      </w:r>
    </w:p>
    <w:p>
      <w:pPr>
        <w:pStyle w:val="ListBullet"/>
        <w:spacing w:after="60" w:line="269" w:lineRule="auto"/>
      </w:pPr>
      <w:r>
        <w:rPr>
          <w:rFonts w:ascii="Arial Unicode MS" w:hAnsi="Arial Unicode MS" w:eastAsia="Arial Unicode MS"/>
          <w:sz w:val="20"/>
        </w:rPr>
        <w:t>本報告保守解釋 GA：GA 是參數搜尋工具，不是保證獲利模型；結果必須用時間序列驗證檢查。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