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23596" w14:textId="77777777" w:rsidR="0003309E" w:rsidRDefault="0003309E" w:rsidP="0003309E"/>
    <w:p w14:paraId="04BE8BD2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6ACBA8B" wp14:editId="3B7D3852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34C1556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18DB2656" w14:textId="77777777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2A5A7D86" w14:textId="77777777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ACBA8B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034C1556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18DB2656" w14:textId="77777777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2A5A7D86" w14:textId="77777777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1D069FF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340580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C3C48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156943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1816F94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DA25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1860DF26" w14:textId="77777777" w:rsidR="009B028E" w:rsidRDefault="00935D8F">
      <w:pPr>
        <w:spacing w:after="100" w:line="240" w:lineRule="auto"/>
      </w:pPr>
      <w:r>
        <w:rPr>
          <w:rFonts w:ascii="Calibri" w:hAnsi="Calibri"/>
          <w:color w:val="000000"/>
        </w:rPr>
        <w:t xml:space="preserve">Proyecto: Plataforma web </w:t>
      </w:r>
      <w:proofErr w:type="spellStart"/>
      <w:r>
        <w:rPr>
          <w:rFonts w:ascii="Calibri" w:hAnsi="Calibri"/>
          <w:color w:val="000000"/>
        </w:rPr>
        <w:t>multisede</w:t>
      </w:r>
      <w:proofErr w:type="spellEnd"/>
      <w:r>
        <w:rPr>
          <w:rFonts w:ascii="Calibri" w:hAnsi="Calibri"/>
          <w:color w:val="000000"/>
        </w:rPr>
        <w:t xml:space="preserve"> de gestión académica y agendamiento dinámico para la Escuela de Conductores Futuro.</w:t>
      </w:r>
    </w:p>
    <w:p w14:paraId="575D668E" w14:textId="77777777" w:rsidR="009B028E" w:rsidRDefault="00935D8F">
      <w:pPr>
        <w:spacing w:after="100" w:line="240" w:lineRule="auto"/>
      </w:pPr>
      <w:r>
        <w:rPr>
          <w:rFonts w:ascii="Calibri" w:hAnsi="Calibri"/>
          <w:color w:val="000000"/>
        </w:rPr>
        <w:t>Integrantes: Gabriel Ignacio Godoy León; Máximo Ignacio Ortega Bobadilla; Maximiliano Alberto Valdebenito Vasquez.</w:t>
      </w:r>
    </w:p>
    <w:p w14:paraId="353446CE" w14:textId="77777777" w:rsidR="009B028E" w:rsidRDefault="00935D8F">
      <w:pPr>
        <w:spacing w:after="100" w:line="240" w:lineRule="auto"/>
      </w:pPr>
      <w:r>
        <w:rPr>
          <w:rFonts w:ascii="Calibri" w:hAnsi="Calibri"/>
          <w:color w:val="000000"/>
        </w:rPr>
        <w:t xml:space="preserve">Asignatura: </w:t>
      </w:r>
      <w:proofErr w:type="spellStart"/>
      <w:r>
        <w:rPr>
          <w:rFonts w:ascii="Calibri" w:hAnsi="Calibri"/>
          <w:color w:val="000000"/>
        </w:rPr>
        <w:t>Capstone</w:t>
      </w:r>
      <w:proofErr w:type="spellEnd"/>
      <w:r>
        <w:rPr>
          <w:rFonts w:ascii="Calibri" w:hAnsi="Calibri"/>
          <w:color w:val="000000"/>
        </w:rPr>
        <w:t xml:space="preserve"> PTY4614 | Sección: 001D | Docente: Diego Alberto Garcés Miranda.</w:t>
      </w:r>
    </w:p>
    <w:p w14:paraId="318D11EC" w14:textId="77777777" w:rsidR="009B028E" w:rsidRDefault="00935D8F">
      <w:pPr>
        <w:spacing w:after="100" w:line="240" w:lineRule="auto"/>
      </w:pPr>
      <w:r>
        <w:rPr>
          <w:rFonts w:ascii="Calibri" w:hAnsi="Calibri"/>
          <w:color w:val="000000"/>
        </w:rPr>
        <w:t>Entrega: 19 de octubre de 2026 | Corte del avance: 18 de octubre de 2026.</w:t>
      </w: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5D180FFE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0BF55059" w14:textId="77777777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73773BA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7F2A5CCF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455F6A3B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87B3418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205704FC" w14:textId="77777777" w:rsidTr="000A1331">
        <w:tc>
          <w:tcPr>
            <w:tcW w:w="2528" w:type="dxa"/>
            <w:vAlign w:val="center"/>
          </w:tcPr>
          <w:p w14:paraId="298A74AE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3FAB09B5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La plataforma busca centralizar fichas académicas y coordinar clases, instructores y vehículos entre Macul y Peñalolén. El avance al 18 de octubre comprende un portal público en </w:t>
            </w:r>
            <w:proofErr w:type="spellStart"/>
            <w:r>
              <w:rPr>
                <w:rFonts w:ascii="Calibri" w:hAnsi="Calibri"/>
                <w:color w:val="000000"/>
              </w:rPr>
              <w:t>React</w:t>
            </w:r>
            <w:proofErr w:type="spellEnd"/>
            <w:r>
              <w:rPr>
                <w:rFonts w:ascii="Calibri" w:hAnsi="Calibri"/>
                <w:color w:val="000000"/>
              </w:rPr>
              <w:t xml:space="preserve">, una pantalla de inicio de sesión visual, seis rutas de navegación y una API Express con 59 rutas de negocio vinculadas a nueve </w:t>
            </w:r>
            <w:proofErr w:type="spellStart"/>
            <w:r>
              <w:rPr>
                <w:rFonts w:ascii="Calibri" w:hAnsi="Calibri"/>
                <w:color w:val="000000"/>
              </w:rPr>
              <w:t>controllers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y nueve </w:t>
            </w:r>
            <w:proofErr w:type="spellStart"/>
            <w:r>
              <w:rPr>
                <w:rFonts w:ascii="Calibri" w:hAnsi="Calibri"/>
                <w:color w:val="000000"/>
              </w:rPr>
              <w:t>services</w:t>
            </w:r>
            <w:proofErr w:type="spellEnd"/>
            <w:r>
              <w:rPr>
                <w:rFonts w:ascii="Calibri" w:hAnsi="Calibri"/>
                <w:color w:val="000000"/>
              </w:rPr>
              <w:t xml:space="preserve">. Express también entrega la compilación del </w:t>
            </w:r>
            <w:proofErr w:type="spellStart"/>
            <w:r>
              <w:rPr>
                <w:rFonts w:ascii="Calibri" w:hAnsi="Calibri"/>
                <w:color w:val="000000"/>
              </w:rPr>
              <w:t>frontend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desde el mismo servidor. [2, 6]</w:t>
            </w:r>
          </w:p>
          <w:p w14:paraId="1FA03E12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Se documentó el almacenamiento mediante SQL MySQL, modelo </w:t>
            </w:r>
            <w:proofErr w:type="spellStart"/>
            <w:r>
              <w:rPr>
                <w:rFonts w:ascii="Calibri" w:hAnsi="Calibri"/>
                <w:color w:val="000000"/>
              </w:rPr>
              <w:t>Workbench</w:t>
            </w:r>
            <w:proofErr w:type="spellEnd"/>
            <w:r>
              <w:rPr>
                <w:rFonts w:ascii="Calibri" w:hAnsi="Calibri"/>
                <w:color w:val="000000"/>
              </w:rPr>
              <w:t xml:space="preserve">, diccionario de datos y diagrama de entidades: nueve tablas, 65 campos y 14 relaciones. Existen backlog priorizado, tablero y seis casos de prueba del Sprint 1. El </w:t>
            </w:r>
            <w:proofErr w:type="spellStart"/>
            <w:r>
              <w:rPr>
                <w:rFonts w:ascii="Calibri" w:hAnsi="Calibri"/>
                <w:color w:val="000000"/>
              </w:rPr>
              <w:t>commit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local f90f82f coincide con HEAD remoto de GitHub al corte. [3, 5, 7–9]</w:t>
            </w:r>
          </w:p>
          <w:p w14:paraId="6179FFCB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Se alcanzó la base de construcción modular, diseño de datos y entrega técnica del </w:t>
            </w:r>
            <w:proofErr w:type="spellStart"/>
            <w:r>
              <w:rPr>
                <w:rFonts w:ascii="Calibri" w:hAnsi="Calibri"/>
                <w:color w:val="000000"/>
              </w:rPr>
              <w:t>frontend</w:t>
            </w:r>
            <w:proofErr w:type="spellEnd"/>
            <w:r>
              <w:rPr>
                <w:rFonts w:ascii="Calibri" w:hAnsi="Calibri"/>
                <w:color w:val="000000"/>
              </w:rPr>
              <w:t>. La operación completa aún está en curso: cuatro pantallas muestran Próximamente, el login no consume la API y falta comprobar persistencia, autorización y concurrencia. Estos objetivos no se consideran terminados. [6, 10]</w:t>
            </w:r>
          </w:p>
        </w:tc>
      </w:tr>
      <w:tr w:rsidR="0003309E" w14:paraId="06F5D92E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45670326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Objetivos</w:t>
            </w:r>
          </w:p>
        </w:tc>
        <w:tc>
          <w:tcPr>
            <w:tcW w:w="7111" w:type="dxa"/>
            <w:vAlign w:val="center"/>
          </w:tcPr>
          <w:p w14:paraId="1BF0AD36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Se mantiene el objetivo general de desarrollar una plataforma </w:t>
            </w:r>
            <w:proofErr w:type="spellStart"/>
            <w:r>
              <w:rPr>
                <w:rFonts w:ascii="Calibri" w:hAnsi="Calibri"/>
                <w:color w:val="000000"/>
              </w:rPr>
              <w:t>multisede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para gestión académica y agendamiento dinámico. Se ajusta su verificación mediante objetivos de incremento concretos:</w:t>
            </w:r>
          </w:p>
          <w:p w14:paraId="7B31B360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1. Completar acceso autenticado y consulta de la ficha del alumno desde </w:t>
            </w:r>
            <w:proofErr w:type="spellStart"/>
            <w:r>
              <w:rPr>
                <w:rFonts w:ascii="Calibri" w:hAnsi="Calibri"/>
                <w:color w:val="000000"/>
              </w:rPr>
              <w:t>React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hasta MySQL, con restricciones por rol y evidencias reproducibles.</w:t>
            </w:r>
          </w:p>
          <w:p w14:paraId="3CBB6402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>2. Alinear el entorno de datos y validar reservas y bloqueos, incluida una prueba de solicitudes simultáneas sobre un recurso.</w:t>
            </w:r>
          </w:p>
          <w:p w14:paraId="7BF87D8F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3. Relacionar cada historia con responsable, </w:t>
            </w:r>
            <w:proofErr w:type="spellStart"/>
            <w:r>
              <w:rPr>
                <w:rFonts w:ascii="Calibri" w:hAnsi="Calibri"/>
                <w:color w:val="000000"/>
              </w:rPr>
              <w:t>commit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y resultado de aceptación. Evaluar pagos, comprobantes y reportes como ampliaciones del backlog, con estimación y aprobación previa; no se declaran implementados. [2–4, 11]</w:t>
            </w:r>
          </w:p>
        </w:tc>
      </w:tr>
      <w:tr w:rsidR="0003309E" w14:paraId="1288FDE9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20996180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373E3049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>Se mantiene Scrum y se refuerza su aplicación con entregables verificables. El backlog de Fase 1 contiene 15 historias y una estimación de 136 horas; son valores de planificación, no horas efectivamente ejecutadas. Las capturas de Semana 8 evidencian seguimiento, pero no sustituyen la actualización del estado al corte. [2, 3, 8]</w:t>
            </w:r>
          </w:p>
          <w:p w14:paraId="67CF309E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Ajuste propuesto a la </w:t>
            </w:r>
            <w:proofErr w:type="spellStart"/>
            <w:r>
              <w:rPr>
                <w:rFonts w:ascii="Calibri" w:hAnsi="Calibri"/>
                <w:color w:val="000000"/>
              </w:rPr>
              <w:t>Definition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</w:rPr>
              <w:t>of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Done: criterio de aceptación cumplido, interfaz conectada cuando corresponda, persistencia y permisos comprobados, casos positivo y negativo documentados, revisión de un compañero y evidencia con autor, fecha y </w:t>
            </w:r>
            <w:proofErr w:type="spellStart"/>
            <w:r>
              <w:rPr>
                <w:rFonts w:ascii="Calibri" w:hAnsi="Calibri"/>
                <w:color w:val="000000"/>
              </w:rPr>
              <w:t>commit</w:t>
            </w:r>
            <w:proofErr w:type="spellEnd"/>
            <w:r>
              <w:rPr>
                <w:rFonts w:ascii="Calibri" w:hAnsi="Calibri"/>
                <w:color w:val="000000"/>
              </w:rPr>
              <w:t>. Se debe completar el registro de revisión y retrospectiva antes de cerrar el incremento. [2, 11]</w:t>
            </w:r>
          </w:p>
        </w:tc>
      </w:tr>
      <w:tr w:rsidR="0003309E" w14:paraId="0037C55F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2C818553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7FE48509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E1 Documentación y seguimiento. Guía de Fase 1, </w:t>
            </w:r>
            <w:proofErr w:type="spellStart"/>
            <w:r>
              <w:rPr>
                <w:rFonts w:ascii="Calibri" w:hAnsi="Calibri"/>
                <w:color w:val="000000"/>
              </w:rPr>
              <w:t>Product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Backlog, </w:t>
            </w:r>
            <w:proofErr w:type="spellStart"/>
            <w:r>
              <w:rPr>
                <w:rFonts w:ascii="Calibri" w:hAnsi="Calibri"/>
                <w:color w:val="000000"/>
              </w:rPr>
              <w:t>User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Story </w:t>
            </w:r>
            <w:proofErr w:type="spellStart"/>
            <w:r>
              <w:rPr>
                <w:rFonts w:ascii="Calibri" w:hAnsi="Calibri"/>
                <w:color w:val="000000"/>
              </w:rPr>
              <w:t>Mapping</w:t>
            </w:r>
            <w:proofErr w:type="spellEnd"/>
            <w:r>
              <w:rPr>
                <w:rFonts w:ascii="Calibri" w:hAnsi="Calibri"/>
                <w:color w:val="000000"/>
              </w:rPr>
              <w:t xml:space="preserve">, plan del Sprint 1 y capturas del backlog y </w:t>
            </w:r>
            <w:proofErr w:type="spellStart"/>
            <w:r>
              <w:rPr>
                <w:rFonts w:ascii="Calibri" w:hAnsi="Calibri"/>
                <w:color w:val="000000"/>
              </w:rPr>
              <w:t>Scrumboard</w:t>
            </w:r>
            <w:proofErr w:type="spellEnd"/>
            <w:r>
              <w:rPr>
                <w:rFonts w:ascii="Calibri" w:hAnsi="Calibri"/>
                <w:color w:val="000000"/>
              </w:rPr>
              <w:t>. Relacionan objetivos, prioridades, responsables y criterios. Las capturas adjuntas en el anexo C son históricas. [2–5, 8]</w:t>
            </w:r>
          </w:p>
          <w:p w14:paraId="7CD099D6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E2 Programación. </w:t>
            </w:r>
            <w:proofErr w:type="spellStart"/>
            <w:r>
              <w:rPr>
                <w:rFonts w:ascii="Calibri" w:hAnsi="Calibri"/>
                <w:color w:val="000000"/>
              </w:rPr>
              <w:t>Commit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</w:rPr>
              <w:t>cabedeb</w:t>
            </w:r>
            <w:proofErr w:type="spellEnd"/>
            <w:r>
              <w:rPr>
                <w:rFonts w:ascii="Calibri" w:hAnsi="Calibri"/>
                <w:color w:val="000000"/>
              </w:rPr>
              <w:t xml:space="preserve">: </w:t>
            </w:r>
            <w:proofErr w:type="spellStart"/>
            <w:r>
              <w:rPr>
                <w:rFonts w:ascii="Calibri" w:hAnsi="Calibri"/>
                <w:color w:val="000000"/>
              </w:rPr>
              <w:t>services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y </w:t>
            </w:r>
            <w:proofErr w:type="spellStart"/>
            <w:r>
              <w:rPr>
                <w:rFonts w:ascii="Calibri" w:hAnsi="Calibri"/>
                <w:color w:val="000000"/>
              </w:rPr>
              <w:t>controllers</w:t>
            </w:r>
            <w:proofErr w:type="spellEnd"/>
            <w:r>
              <w:rPr>
                <w:rFonts w:ascii="Calibri" w:hAnsi="Calibri"/>
                <w:color w:val="000000"/>
              </w:rPr>
              <w:t xml:space="preserve">; cfe98b7: 59 rutas e integración de </w:t>
            </w:r>
            <w:proofErr w:type="spellStart"/>
            <w:r>
              <w:rPr>
                <w:rFonts w:ascii="Calibri" w:hAnsi="Calibri"/>
                <w:color w:val="000000"/>
              </w:rPr>
              <w:t>React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con Express; 14d21f3, 7b5c4d0 y 0435131: desarrollo de presentación. Se verifica separación </w:t>
            </w:r>
            <w:proofErr w:type="spellStart"/>
            <w:r>
              <w:rPr>
                <w:rFonts w:ascii="Calibri" w:hAnsi="Calibri"/>
                <w:color w:val="000000"/>
              </w:rPr>
              <w:t>routes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→ </w:t>
            </w:r>
            <w:proofErr w:type="spellStart"/>
            <w:r>
              <w:rPr>
                <w:rFonts w:ascii="Calibri" w:hAnsi="Calibri"/>
                <w:color w:val="000000"/>
              </w:rPr>
              <w:t>controllers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→ </w:t>
            </w:r>
            <w:proofErr w:type="spellStart"/>
            <w:r>
              <w:rPr>
                <w:rFonts w:ascii="Calibri" w:hAnsi="Calibri"/>
                <w:color w:val="000000"/>
              </w:rPr>
              <w:t>services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→ pool MySQL y consultas parametrizadas. Las pantallas privadas siguen pendientes. [6, 9]</w:t>
            </w:r>
          </w:p>
          <w:p w14:paraId="69AA9269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E3 Almacenamiento. </w:t>
            </w:r>
            <w:proofErr w:type="spellStart"/>
            <w:r>
              <w:rPr>
                <w:rFonts w:ascii="Calibri" w:hAnsi="Calibri"/>
                <w:color w:val="000000"/>
              </w:rPr>
              <w:t>Commit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f90f82f: </w:t>
            </w:r>
            <w:proofErr w:type="spellStart"/>
            <w:r>
              <w:rPr>
                <w:rFonts w:ascii="Calibri" w:hAnsi="Calibri"/>
                <w:color w:val="000000"/>
              </w:rPr>
              <w:t>script_base_datos.sql</w:t>
            </w:r>
            <w:proofErr w:type="spellEnd"/>
            <w:r>
              <w:rPr>
                <w:rFonts w:ascii="Calibri" w:hAnsi="Calibri"/>
                <w:color w:val="000000"/>
              </w:rPr>
              <w:t>, diccionario, modelo relacional y diagrama. Claves primarias, 14 relaciones, restricciones de unicidad e índices respaldan el diseño. La importación y persistencia en un motor real deben documentarse. [7]</w:t>
            </w:r>
          </w:p>
          <w:p w14:paraId="4FBFC718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E4 Calidad al corte. El </w:t>
            </w:r>
            <w:proofErr w:type="spellStart"/>
            <w:r>
              <w:rPr>
                <w:rFonts w:ascii="Calibri" w:hAnsi="Calibri"/>
                <w:color w:val="000000"/>
              </w:rPr>
              <w:t>frontend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compila con Vite y procesa 49 módulos; 32 archivos del </w:t>
            </w:r>
            <w:proofErr w:type="spellStart"/>
            <w:r>
              <w:rPr>
                <w:rFonts w:ascii="Calibri" w:hAnsi="Calibri"/>
                <w:color w:val="000000"/>
              </w:rPr>
              <w:t>backend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superan revisión de sintaxis; 59 de 59 rutas despachan al método y parámetros correctos con </w:t>
            </w:r>
            <w:proofErr w:type="spellStart"/>
            <w:r>
              <w:rPr>
                <w:rFonts w:ascii="Calibri" w:hAnsi="Calibri"/>
                <w:color w:val="000000"/>
              </w:rPr>
              <w:t>controllers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simulados; una ruta desconocida devuelve 404; 13 validaciones de </w:t>
            </w:r>
            <w:proofErr w:type="spellStart"/>
            <w:r>
              <w:rPr>
                <w:rFonts w:ascii="Calibri" w:hAnsi="Calibri"/>
                <w:color w:val="000000"/>
              </w:rPr>
              <w:t>controllers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reales devuelven 400 ante entradas incompletas. Estas pruebas no ejecutan SQL ni certifican autorización, rendimiento o flujos completos. [10]</w:t>
            </w:r>
          </w:p>
          <w:p w14:paraId="0B45D4B7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E5 Aporte individual. Gabriel: </w:t>
            </w:r>
            <w:proofErr w:type="spellStart"/>
            <w:r>
              <w:rPr>
                <w:rFonts w:ascii="Calibri" w:hAnsi="Calibri"/>
                <w:color w:val="000000"/>
              </w:rPr>
              <w:t>backend</w:t>
            </w:r>
            <w:proofErr w:type="spellEnd"/>
            <w:r>
              <w:rPr>
                <w:rFonts w:ascii="Calibri" w:hAnsi="Calibri"/>
                <w:color w:val="000000"/>
              </w:rPr>
              <w:t xml:space="preserve">, rutas e integración; Maximiliano: portal público e inicio visual; Máximo: diseño de seis casos de prueba, </w:t>
            </w:r>
            <w:proofErr w:type="spellStart"/>
            <w:r>
              <w:rPr>
                <w:rFonts w:ascii="Calibri" w:hAnsi="Calibri"/>
                <w:color w:val="000000"/>
              </w:rPr>
              <w:t>commit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3dcce51 bajo </w:t>
            </w:r>
            <w:proofErr w:type="spellStart"/>
            <w:r>
              <w:rPr>
                <w:rFonts w:ascii="Calibri" w:hAnsi="Calibri"/>
                <w:color w:val="000000"/>
              </w:rPr>
              <w:t>smhnaxho</w:t>
            </w:r>
            <w:proofErr w:type="spellEnd"/>
            <w:r>
              <w:rPr>
                <w:rFonts w:ascii="Calibri" w:hAnsi="Calibri"/>
                <w:color w:val="000000"/>
              </w:rPr>
              <w:t xml:space="preserve">, identidad confirmada por Gabriel. El número de </w:t>
            </w:r>
            <w:proofErr w:type="spellStart"/>
            <w:r>
              <w:rPr>
                <w:rFonts w:ascii="Calibri" w:hAnsi="Calibri"/>
                <w:color w:val="000000"/>
              </w:rPr>
              <w:t>commits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no acredita equidad por sí solo: se requieren historias, productos y revisiones por integrante. [5, 9, 11]</w:t>
            </w:r>
          </w:p>
          <w:p w14:paraId="10FE20AA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lastRenderedPageBreak/>
              <w:t xml:space="preserve">Las evidencias están localizadas en Fase 1/Evidencias Grupales y Fase 2/Evidencias Grupales y </w:t>
            </w:r>
            <w:proofErr w:type="spellStart"/>
            <w:r>
              <w:rPr>
                <w:rFonts w:ascii="Calibri" w:hAnsi="Calibri"/>
                <w:color w:val="000000"/>
              </w:rPr>
              <w:t>Codigo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del repositorio. Este formulario y las nuevas comprobaciones deben incorporarse a Git para cerrar la evidencia de entrega. Los anexos incluyen el resumen bilingüe, conclusiones y reflexiones individuales, capturas y referencias. [1]</w:t>
            </w:r>
          </w:p>
        </w:tc>
      </w:tr>
      <w:tr w:rsidR="00586C9C" w14:paraId="450C8E77" w14:textId="77777777" w:rsidTr="000A1331">
        <w:trPr>
          <w:trHeight w:val="440"/>
        </w:trPr>
        <w:tc>
          <w:tcPr>
            <w:tcW w:w="9640" w:type="dxa"/>
            <w:gridSpan w:val="2"/>
            <w:vAlign w:val="center"/>
          </w:tcPr>
          <w:p w14:paraId="769B760C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7125921B" w14:textId="77777777" w:rsidTr="000A1331">
        <w:trPr>
          <w:trHeight w:val="800"/>
        </w:trPr>
        <w:tc>
          <w:tcPr>
            <w:tcW w:w="9640" w:type="dxa"/>
            <w:gridSpan w:val="2"/>
            <w:shd w:val="clear" w:color="auto" w:fill="D9E2F3" w:themeFill="accent1" w:themeFillTint="33"/>
            <w:vAlign w:val="center"/>
          </w:tcPr>
          <w:p w14:paraId="0DC246DF" w14:textId="77777777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4962FF62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00100120" w14:textId="77777777" w:rsidTr="00EA0C09">
        <w:trPr>
          <w:trHeight w:val="415"/>
          <w:tblHeader/>
        </w:trPr>
        <w:tc>
          <w:tcPr>
            <w:tcW w:w="9776" w:type="dxa"/>
            <w:gridSpan w:val="8"/>
            <w:vAlign w:val="center"/>
          </w:tcPr>
          <w:p w14:paraId="75EC29E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664534B6" w14:textId="77777777" w:rsidTr="009552E5">
        <w:trPr>
          <w:trHeight w:val="711"/>
          <w:tblHeader/>
        </w:trPr>
        <w:tc>
          <w:tcPr>
            <w:tcW w:w="1328" w:type="dxa"/>
            <w:vAlign w:val="center"/>
          </w:tcPr>
          <w:p w14:paraId="0107CE51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2382BAEB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949810F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43E907BF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DDB086C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6DEEF8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2196DA4B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33412C17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3DDB70DA" w14:textId="77777777" w:rsidTr="00EA0C09">
        <w:trPr>
          <w:cantSplit/>
        </w:trPr>
        <w:tc>
          <w:tcPr>
            <w:tcW w:w="1328" w:type="dxa"/>
          </w:tcPr>
          <w:p w14:paraId="08041977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Gestionar proyectos informáticos.</w:t>
            </w:r>
          </w:p>
        </w:tc>
        <w:tc>
          <w:tcPr>
            <w:tcW w:w="1077" w:type="dxa"/>
          </w:tcPr>
          <w:p w14:paraId="20519A90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Definición del proyecto y backlog.</w:t>
            </w:r>
          </w:p>
        </w:tc>
        <w:tc>
          <w:tcPr>
            <w:tcW w:w="1276" w:type="dxa"/>
          </w:tcPr>
          <w:p w14:paraId="75A33FDB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Guía, visión, backlog y Git.</w:t>
            </w:r>
          </w:p>
        </w:tc>
        <w:tc>
          <w:tcPr>
            <w:tcW w:w="1276" w:type="dxa"/>
          </w:tcPr>
          <w:p w14:paraId="12D5A195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Original: semanas 1–4.</w:t>
            </w:r>
          </w:p>
        </w:tc>
        <w:tc>
          <w:tcPr>
            <w:tcW w:w="1275" w:type="dxa"/>
          </w:tcPr>
          <w:p w14:paraId="28A48FB2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Maximiliano Valdebenito; equipo.</w:t>
            </w:r>
          </w:p>
        </w:tc>
        <w:tc>
          <w:tcPr>
            <w:tcW w:w="1276" w:type="dxa"/>
          </w:tcPr>
          <w:p w14:paraId="4C296CD7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Documentos iniciales facilitan priorizar.</w:t>
            </w:r>
          </w:p>
        </w:tc>
        <w:tc>
          <w:tcPr>
            <w:tcW w:w="1418" w:type="dxa"/>
          </w:tcPr>
          <w:p w14:paraId="6C415164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Completado: definición inicial.</w:t>
            </w:r>
          </w:p>
        </w:tc>
        <w:tc>
          <w:tcPr>
            <w:tcW w:w="850" w:type="dxa"/>
          </w:tcPr>
          <w:p w14:paraId="20DC48A4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Pulir texto.</w:t>
            </w:r>
          </w:p>
        </w:tc>
      </w:tr>
      <w:tr w:rsidR="00FD5149" w:rsidRPr="006E3B0D" w14:paraId="3D89E14B" w14:textId="77777777" w:rsidTr="00EA0C09">
        <w:trPr>
          <w:cantSplit/>
        </w:trPr>
        <w:tc>
          <w:tcPr>
            <w:tcW w:w="1328" w:type="dxa"/>
          </w:tcPr>
          <w:p w14:paraId="26853AA8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Construir modelos de datos y arquitectura.</w:t>
            </w:r>
          </w:p>
        </w:tc>
        <w:tc>
          <w:tcPr>
            <w:tcW w:w="1077" w:type="dxa"/>
          </w:tcPr>
          <w:p w14:paraId="6028023E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Modelo relacional y diseño.</w:t>
            </w:r>
          </w:p>
        </w:tc>
        <w:tc>
          <w:tcPr>
            <w:tcW w:w="1276" w:type="dxa"/>
          </w:tcPr>
          <w:p w14:paraId="79EADBBD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 xml:space="preserve">MySQL,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Workbench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y diccionario.</w:t>
            </w:r>
          </w:p>
        </w:tc>
        <w:tc>
          <w:tcPr>
            <w:tcW w:w="1276" w:type="dxa"/>
          </w:tcPr>
          <w:p w14:paraId="41FCCBFC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Original: semanas 5–7.</w:t>
            </w:r>
          </w:p>
        </w:tc>
        <w:tc>
          <w:tcPr>
            <w:tcW w:w="1275" w:type="dxa"/>
          </w:tcPr>
          <w:p w14:paraId="1A2A52CC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Gabriel Godoy y Máximo Ortega.</w:t>
            </w:r>
          </w:p>
        </w:tc>
        <w:tc>
          <w:tcPr>
            <w:tcW w:w="1276" w:type="dxa"/>
          </w:tcPr>
          <w:p w14:paraId="64B72430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DDL disponible; entorno incompatible.</w:t>
            </w:r>
          </w:p>
        </w:tc>
        <w:tc>
          <w:tcPr>
            <w:tcW w:w="1418" w:type="dxa"/>
          </w:tcPr>
          <w:p w14:paraId="60F43B99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En curso: modelo y DDL; ejecución pendiente.</w:t>
            </w:r>
          </w:p>
        </w:tc>
        <w:tc>
          <w:tcPr>
            <w:tcW w:w="850" w:type="dxa"/>
          </w:tcPr>
          <w:p w14:paraId="149F4795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Usar MySQL.</w:t>
            </w:r>
          </w:p>
        </w:tc>
      </w:tr>
      <w:tr w:rsidR="00FD5149" w:rsidRPr="006E3B0D" w14:paraId="4B22C29A" w14:textId="77777777" w:rsidTr="00EA0C09">
        <w:trPr>
          <w:cantSplit/>
        </w:trPr>
        <w:tc>
          <w:tcPr>
            <w:tcW w:w="1328" w:type="dxa"/>
          </w:tcPr>
          <w:p w14:paraId="6D94BCA1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Desarrollar software y configurar ambientes.</w:t>
            </w:r>
          </w:p>
        </w:tc>
        <w:tc>
          <w:tcPr>
            <w:tcW w:w="1077" w:type="dxa"/>
          </w:tcPr>
          <w:p w14:paraId="7E156A24" w14:textId="77777777" w:rsidR="009B028E" w:rsidRDefault="00935D8F">
            <w:pPr>
              <w:spacing w:after="100" w:line="240" w:lineRule="auto"/>
            </w:pPr>
            <w:proofErr w:type="spellStart"/>
            <w:r>
              <w:rPr>
                <w:rFonts w:ascii="Calibri" w:hAnsi="Calibri"/>
                <w:color w:val="000000"/>
                <w:sz w:val="18"/>
              </w:rPr>
              <w:t>Frontend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y API.</w:t>
            </w:r>
          </w:p>
        </w:tc>
        <w:tc>
          <w:tcPr>
            <w:tcW w:w="1276" w:type="dxa"/>
          </w:tcPr>
          <w:p w14:paraId="1695D873" w14:textId="77777777" w:rsidR="009B028E" w:rsidRPr="00B015B0" w:rsidRDefault="00935D8F">
            <w:pPr>
              <w:spacing w:after="100" w:line="240" w:lineRule="auto"/>
              <w:rPr>
                <w:lang w:val="en-US"/>
              </w:rPr>
            </w:pPr>
            <w:r w:rsidRPr="00B015B0">
              <w:rPr>
                <w:rFonts w:ascii="Calibri" w:hAnsi="Calibri"/>
                <w:color w:val="000000"/>
                <w:sz w:val="18"/>
                <w:lang w:val="en-US"/>
              </w:rPr>
              <w:t>React, Express, mysql2 y Git.</w:t>
            </w:r>
          </w:p>
        </w:tc>
        <w:tc>
          <w:tcPr>
            <w:tcW w:w="1276" w:type="dxa"/>
          </w:tcPr>
          <w:p w14:paraId="0D9D6083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Original: semanas 8–12.</w:t>
            </w:r>
          </w:p>
        </w:tc>
        <w:tc>
          <w:tcPr>
            <w:tcW w:w="1275" w:type="dxa"/>
          </w:tcPr>
          <w:p w14:paraId="698C45EC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 xml:space="preserve">Gabriel Godoy y Máximo Ortega; apoyo de Maximiliano Valdebenito en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frontend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.</w:t>
            </w:r>
          </w:p>
        </w:tc>
        <w:tc>
          <w:tcPr>
            <w:tcW w:w="1276" w:type="dxa"/>
          </w:tcPr>
          <w:p w14:paraId="456361C0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59 rutas; cuatro vistas pendientes.</w:t>
            </w:r>
          </w:p>
        </w:tc>
        <w:tc>
          <w:tcPr>
            <w:tcW w:w="1418" w:type="dxa"/>
          </w:tcPr>
          <w:p w14:paraId="10A9D5A0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En curso: entrega estática integrada.</w:t>
            </w:r>
          </w:p>
        </w:tc>
        <w:tc>
          <w:tcPr>
            <w:tcW w:w="850" w:type="dxa"/>
          </w:tcPr>
          <w:p w14:paraId="5E750A8E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Flujo real.</w:t>
            </w:r>
          </w:p>
        </w:tc>
      </w:tr>
      <w:tr w:rsidR="00FD5149" w:rsidRPr="006E3B0D" w14:paraId="373C91D9" w14:textId="77777777" w:rsidTr="00EA0C09">
        <w:trPr>
          <w:cantSplit/>
        </w:trPr>
        <w:tc>
          <w:tcPr>
            <w:tcW w:w="1328" w:type="dxa"/>
          </w:tcPr>
          <w:p w14:paraId="0F905FB2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Validar productos y resolver vulnerabilidades.</w:t>
            </w:r>
          </w:p>
        </w:tc>
        <w:tc>
          <w:tcPr>
            <w:tcW w:w="1077" w:type="dxa"/>
          </w:tcPr>
          <w:p w14:paraId="30B3E9A9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Pruebas y seguridad continuas.</w:t>
            </w:r>
          </w:p>
        </w:tc>
        <w:tc>
          <w:tcPr>
            <w:tcW w:w="1276" w:type="dxa"/>
          </w:tcPr>
          <w:p w14:paraId="0117C281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Plan Sprint 1 y entorno de pruebas.</w:t>
            </w:r>
          </w:p>
        </w:tc>
        <w:tc>
          <w:tcPr>
            <w:tcW w:w="1276" w:type="dxa"/>
          </w:tcPr>
          <w:p w14:paraId="078D74A2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Original: semanas 8–15.</w:t>
            </w:r>
          </w:p>
        </w:tc>
        <w:tc>
          <w:tcPr>
            <w:tcW w:w="1275" w:type="dxa"/>
          </w:tcPr>
          <w:p w14:paraId="58C00CF2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Máximo Ortega y Gabriel Godoy.</w:t>
            </w:r>
          </w:p>
        </w:tc>
        <w:tc>
          <w:tcPr>
            <w:tcW w:w="1276" w:type="dxa"/>
          </w:tcPr>
          <w:p w14:paraId="5ABD77B1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Seis casos diseñados; ejecución de negocio pendiente.</w:t>
            </w:r>
          </w:p>
        </w:tc>
        <w:tc>
          <w:tcPr>
            <w:tcW w:w="1418" w:type="dxa"/>
          </w:tcPr>
          <w:p w14:paraId="31A5A64E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En curso: verificaciones técnicas parciales.</w:t>
            </w:r>
          </w:p>
        </w:tc>
        <w:tc>
          <w:tcPr>
            <w:tcW w:w="850" w:type="dxa"/>
          </w:tcPr>
          <w:p w14:paraId="3AE9D27B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 xml:space="preserve">Roles y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tests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.</w:t>
            </w:r>
          </w:p>
        </w:tc>
      </w:tr>
      <w:tr w:rsidR="00FD5149" w:rsidRPr="006E3B0D" w14:paraId="30382324" w14:textId="77777777" w:rsidTr="00EA0C09">
        <w:trPr>
          <w:cantSplit/>
        </w:trPr>
        <w:tc>
          <w:tcPr>
            <w:tcW w:w="1328" w:type="dxa"/>
          </w:tcPr>
          <w:p w14:paraId="29B41184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Construir programas y rutinas.</w:t>
            </w:r>
          </w:p>
        </w:tc>
        <w:tc>
          <w:tcPr>
            <w:tcW w:w="1077" w:type="dxa"/>
          </w:tcPr>
          <w:p w14:paraId="7C10CD11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Agenda, bloqueos y citas.</w:t>
            </w:r>
          </w:p>
        </w:tc>
        <w:tc>
          <w:tcPr>
            <w:tcW w:w="1276" w:type="dxa"/>
          </w:tcPr>
          <w:p w14:paraId="2B97F665" w14:textId="77777777" w:rsidR="009B028E" w:rsidRDefault="00935D8F">
            <w:pPr>
              <w:spacing w:after="100" w:line="240" w:lineRule="auto"/>
            </w:pPr>
            <w:proofErr w:type="spellStart"/>
            <w:r>
              <w:rPr>
                <w:rFonts w:ascii="Calibri" w:hAnsi="Calibri"/>
                <w:color w:val="000000"/>
                <w:sz w:val="18"/>
              </w:rPr>
              <w:t>Services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, API y datos de prueba.</w:t>
            </w:r>
          </w:p>
        </w:tc>
        <w:tc>
          <w:tcPr>
            <w:tcW w:w="1276" w:type="dxa"/>
          </w:tcPr>
          <w:p w14:paraId="7FD445D9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Original: semanas 13–15.</w:t>
            </w:r>
          </w:p>
        </w:tc>
        <w:tc>
          <w:tcPr>
            <w:tcW w:w="1275" w:type="dxa"/>
          </w:tcPr>
          <w:p w14:paraId="0D8888C7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Maximiliano Valdebenito; apoyo de Gabriel y Máximo.</w:t>
            </w:r>
          </w:p>
        </w:tc>
        <w:tc>
          <w:tcPr>
            <w:tcW w:w="1276" w:type="dxa"/>
          </w:tcPr>
          <w:p w14:paraId="49F3DFFB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 xml:space="preserve">Validaciones en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backend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; falta integración.</w:t>
            </w:r>
          </w:p>
        </w:tc>
        <w:tc>
          <w:tcPr>
            <w:tcW w:w="1418" w:type="dxa"/>
          </w:tcPr>
          <w:p w14:paraId="2BE48809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En curso: soporte parcial adelantado.</w:t>
            </w:r>
          </w:p>
        </w:tc>
        <w:tc>
          <w:tcPr>
            <w:tcW w:w="850" w:type="dxa"/>
          </w:tcPr>
          <w:p w14:paraId="794391AA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Evitar cruces.</w:t>
            </w:r>
          </w:p>
        </w:tc>
      </w:tr>
      <w:tr w:rsidR="00FD5149" w:rsidRPr="006E3B0D" w14:paraId="0D1D2EDC" w14:textId="77777777" w:rsidTr="00EA0C09">
        <w:trPr>
          <w:cantSplit/>
        </w:trPr>
        <w:tc>
          <w:tcPr>
            <w:tcW w:w="1328" w:type="dxa"/>
          </w:tcPr>
          <w:p w14:paraId="74A8E3A2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lastRenderedPageBreak/>
              <w:t>Mantener y documentar software.</w:t>
            </w:r>
          </w:p>
        </w:tc>
        <w:tc>
          <w:tcPr>
            <w:tcW w:w="1077" w:type="dxa"/>
          </w:tcPr>
          <w:p w14:paraId="0E31A99A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Manual, evidencias y cierre.</w:t>
            </w:r>
          </w:p>
        </w:tc>
        <w:tc>
          <w:tcPr>
            <w:tcW w:w="1276" w:type="dxa"/>
          </w:tcPr>
          <w:p w14:paraId="22443437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Git, guía y plan de trabajo.</w:t>
            </w:r>
          </w:p>
        </w:tc>
        <w:tc>
          <w:tcPr>
            <w:tcW w:w="1276" w:type="dxa"/>
          </w:tcPr>
          <w:p w14:paraId="2D93EF75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Propuesta: actualizar en cada incremento.</w:t>
            </w:r>
          </w:p>
        </w:tc>
        <w:tc>
          <w:tcPr>
            <w:tcW w:w="1275" w:type="dxa"/>
          </w:tcPr>
          <w:p w14:paraId="1F562E4D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Equipo completo.</w:t>
            </w:r>
          </w:p>
        </w:tc>
        <w:tc>
          <w:tcPr>
            <w:tcW w:w="1276" w:type="dxa"/>
          </w:tcPr>
          <w:p w14:paraId="483B0ECC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README mínimo; faltan evidencias de despliegue.</w:t>
            </w:r>
          </w:p>
        </w:tc>
        <w:tc>
          <w:tcPr>
            <w:tcW w:w="1418" w:type="dxa"/>
          </w:tcPr>
          <w:p w14:paraId="1CB3853F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En curso: documentación de avance.</w:t>
            </w:r>
          </w:p>
        </w:tc>
        <w:tc>
          <w:tcPr>
            <w:tcW w:w="850" w:type="dxa"/>
          </w:tcPr>
          <w:p w14:paraId="2E0B9343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Subir a Git.</w:t>
            </w:r>
          </w:p>
        </w:tc>
      </w:tr>
      <w:tr w:rsidR="00FD5149" w:rsidRPr="006E3B0D" w14:paraId="73C9F43E" w14:textId="77777777" w:rsidTr="00EA0C09">
        <w:trPr>
          <w:cantSplit/>
        </w:trPr>
        <w:tc>
          <w:tcPr>
            <w:tcW w:w="1328" w:type="dxa"/>
          </w:tcPr>
          <w:p w14:paraId="339B6645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Comunicarse en inglés y trabajar en equipo.</w:t>
            </w:r>
          </w:p>
        </w:tc>
        <w:tc>
          <w:tcPr>
            <w:tcW w:w="1077" w:type="dxa"/>
          </w:tcPr>
          <w:p w14:paraId="6BAF2F51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Informe y defensa final.</w:t>
            </w:r>
          </w:p>
        </w:tc>
        <w:tc>
          <w:tcPr>
            <w:tcW w:w="1276" w:type="dxa"/>
          </w:tcPr>
          <w:p w14:paraId="3AB736DB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Resumen, conclusiones y presentación.</w:t>
            </w:r>
          </w:p>
        </w:tc>
        <w:tc>
          <w:tcPr>
            <w:tcW w:w="1276" w:type="dxa"/>
          </w:tcPr>
          <w:p w14:paraId="21C02FED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Original: semanas 16–18.</w:t>
            </w:r>
          </w:p>
        </w:tc>
        <w:tc>
          <w:tcPr>
            <w:tcW w:w="1275" w:type="dxa"/>
          </w:tcPr>
          <w:p w14:paraId="64FB4BB2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Equipo completo.</w:t>
            </w:r>
          </w:p>
        </w:tc>
        <w:tc>
          <w:tcPr>
            <w:tcW w:w="1276" w:type="dxa"/>
          </w:tcPr>
          <w:p w14:paraId="1793D923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Se preparan apartados bilingües.</w:t>
            </w:r>
          </w:p>
        </w:tc>
        <w:tc>
          <w:tcPr>
            <w:tcW w:w="1418" w:type="dxa"/>
          </w:tcPr>
          <w:p w14:paraId="1DFDD5A7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No iniciado: defensa final.</w:t>
            </w:r>
          </w:p>
        </w:tc>
        <w:tc>
          <w:tcPr>
            <w:tcW w:w="850" w:type="dxa"/>
          </w:tcPr>
          <w:p w14:paraId="2DFA3B84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  <w:sz w:val="18"/>
              </w:rPr>
              <w:t>Ensayo.</w:t>
            </w:r>
          </w:p>
        </w:tc>
      </w:tr>
    </w:tbl>
    <w:p w14:paraId="25ABDEB1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68FEAA2E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4D8B02FE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2BD751CA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0CD393BC" w14:textId="77777777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7E697896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1470615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2F441A43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>Factores que han facilitado y/o dificultado el desarrollo de mi plan de trabajo</w:t>
            </w:r>
          </w:p>
          <w:p w14:paraId="62B05B46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Facilitadores. El modelo de datos, el backlog y los roles definidos reducen la ambigüedad; Git permite revisar cambios y aportes. </w:t>
            </w:r>
            <w:proofErr w:type="spellStart"/>
            <w:r>
              <w:rPr>
                <w:rFonts w:ascii="Calibri" w:hAnsi="Calibri"/>
                <w:color w:val="000000"/>
              </w:rPr>
              <w:t>React</w:t>
            </w:r>
            <w:proofErr w:type="spellEnd"/>
            <w:r>
              <w:rPr>
                <w:rFonts w:ascii="Calibri" w:hAnsi="Calibri"/>
                <w:color w:val="000000"/>
              </w:rPr>
              <w:t xml:space="preserve">/Vite y Express facilitan construir e integrar por módulos. La incorporación de las rutas y del contenido estático al </w:t>
            </w:r>
            <w:proofErr w:type="spellStart"/>
            <w:r>
              <w:rPr>
                <w:rFonts w:ascii="Calibri" w:hAnsi="Calibri"/>
                <w:color w:val="000000"/>
              </w:rPr>
              <w:t>backend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simplifica la demostración del avance. [2, 3, 6, 9]</w:t>
            </w:r>
          </w:p>
          <w:p w14:paraId="22AA6B97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Dificultades técnicas. El </w:t>
            </w:r>
            <w:proofErr w:type="spellStart"/>
            <w:r>
              <w:rPr>
                <w:rFonts w:ascii="Calibri" w:hAnsi="Calibri"/>
                <w:color w:val="000000"/>
              </w:rPr>
              <w:t>backend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utiliza MySQL y el DDL crea </w:t>
            </w:r>
            <w:proofErr w:type="spellStart"/>
            <w:r>
              <w:rPr>
                <w:rFonts w:ascii="Calibri" w:hAnsi="Calibri"/>
                <w:color w:val="000000"/>
              </w:rPr>
              <w:t>escuela_conductores</w:t>
            </w:r>
            <w:proofErr w:type="spellEnd"/>
            <w:r>
              <w:rPr>
                <w:rFonts w:ascii="Calibri" w:hAnsi="Calibri"/>
                <w:color w:val="000000"/>
              </w:rPr>
              <w:t xml:space="preserve">, mientras Docker configura PostgreSQL y db.js usa </w:t>
            </w:r>
            <w:proofErr w:type="spellStart"/>
            <w:r>
              <w:rPr>
                <w:rFonts w:ascii="Calibri" w:hAnsi="Calibri"/>
                <w:color w:val="000000"/>
              </w:rPr>
              <w:t>escuela_futuro_db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por defecto. Hay además diferencias de mayúsculas entre el DDL y los </w:t>
            </w:r>
            <w:proofErr w:type="spellStart"/>
            <w:r>
              <w:rPr>
                <w:rFonts w:ascii="Calibri" w:hAnsi="Calibri"/>
                <w:color w:val="000000"/>
              </w:rPr>
              <w:t>services</w:t>
            </w:r>
            <w:proofErr w:type="spellEnd"/>
            <w:r>
              <w:rPr>
                <w:rFonts w:ascii="Calibri" w:hAnsi="Calibri"/>
                <w:color w:val="000000"/>
              </w:rPr>
              <w:t>. Acción propuesta: acordar MySQL como entorno coherente con el código, unificar nombres y comprobar instalación e importación con datos de prueba. [6, 7]</w:t>
            </w:r>
          </w:p>
          <w:p w14:paraId="7EEE4D8D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>Dificultades de integración y calidad. Cuatro vistas privadas son marcadores y el formulario de acceso no envía datos. Existen reglas de disponibilidad, pero no una comprobación atómica de reserva frente a concurrencia. Acción propuesta: cerrar acceso y ficha primero; luego agenda, bloqueos, permisos y pruebas simultáneas. El 75 % de asistencia es un valor predeterminado del código que debe validarse con la escuela. [6]</w:t>
            </w:r>
          </w:p>
          <w:p w14:paraId="1722284A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>Dificultades documentales. El docente remarcó ortografía, evidencias, alcance y plan de trabajo. Se revisó la redacción y se separó lo diseñado, programado y probado; se incorporaron estado, responsables y ajustes. Faltan actas y resultados reproducibles de aceptación para cerrar las historias. [11]</w:t>
            </w:r>
          </w:p>
        </w:tc>
      </w:tr>
    </w:tbl>
    <w:p w14:paraId="36534B3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3ED06B93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3479DD3E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lastRenderedPageBreak/>
              <w:t>Actividades ajustadas o eliminadas</w:t>
            </w:r>
          </w:p>
          <w:p w14:paraId="42295FF3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Ajuste realizado. Se unificó la entrega del </w:t>
            </w:r>
            <w:proofErr w:type="spellStart"/>
            <w:r>
              <w:rPr>
                <w:rFonts w:ascii="Calibri" w:hAnsi="Calibri"/>
                <w:color w:val="000000"/>
              </w:rPr>
              <w:t>frontend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y </w:t>
            </w:r>
            <w:proofErr w:type="spellStart"/>
            <w:r>
              <w:rPr>
                <w:rFonts w:ascii="Calibri" w:hAnsi="Calibri"/>
                <w:color w:val="000000"/>
              </w:rPr>
              <w:t>backend</w:t>
            </w:r>
            <w:proofErr w:type="spellEnd"/>
            <w:r>
              <w:rPr>
                <w:rFonts w:ascii="Calibri" w:hAnsi="Calibri"/>
                <w:color w:val="000000"/>
              </w:rPr>
              <w:t xml:space="preserve">: </w:t>
            </w:r>
            <w:proofErr w:type="spellStart"/>
            <w:r>
              <w:rPr>
                <w:rFonts w:ascii="Calibri" w:hAnsi="Calibri"/>
                <w:color w:val="000000"/>
              </w:rPr>
              <w:t>prestart</w:t>
            </w:r>
            <w:proofErr w:type="spellEnd"/>
            <w:r>
              <w:rPr>
                <w:rFonts w:ascii="Calibri" w:hAnsi="Calibri"/>
                <w:color w:val="000000"/>
              </w:rPr>
              <w:t>/</w:t>
            </w:r>
            <w:proofErr w:type="spellStart"/>
            <w:r>
              <w:rPr>
                <w:rFonts w:ascii="Calibri" w:hAnsi="Calibri"/>
                <w:color w:val="000000"/>
              </w:rPr>
              <w:t>predev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preparan </w:t>
            </w:r>
            <w:proofErr w:type="spellStart"/>
            <w:r>
              <w:rPr>
                <w:rFonts w:ascii="Calibri" w:hAnsi="Calibri"/>
                <w:color w:val="000000"/>
              </w:rPr>
              <w:t>React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y Express sirve </w:t>
            </w:r>
            <w:proofErr w:type="spellStart"/>
            <w:r>
              <w:rPr>
                <w:rFonts w:ascii="Calibri" w:hAnsi="Calibri"/>
                <w:color w:val="000000"/>
              </w:rPr>
              <w:t>dist</w:t>
            </w:r>
            <w:proofErr w:type="spellEnd"/>
            <w:r>
              <w:rPr>
                <w:rFonts w:ascii="Calibri" w:hAnsi="Calibri"/>
                <w:color w:val="000000"/>
              </w:rPr>
              <w:t xml:space="preserve">, conservando las rutas /api y la recarga de navegación de </w:t>
            </w:r>
            <w:proofErr w:type="spellStart"/>
            <w:r>
              <w:rPr>
                <w:rFonts w:ascii="Calibri" w:hAnsi="Calibri"/>
                <w:color w:val="000000"/>
              </w:rPr>
              <w:t>React</w:t>
            </w:r>
            <w:proofErr w:type="spellEnd"/>
            <w:r>
              <w:rPr>
                <w:rFonts w:ascii="Calibri" w:hAnsi="Calibri"/>
                <w:color w:val="000000"/>
              </w:rPr>
              <w:t>. El cambio está versionado en cfe98b7. [6, 9]</w:t>
            </w:r>
          </w:p>
          <w:p w14:paraId="4852D19B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>Ajustes de planificación propuestos. Sustituir actividades amplias por entregables completos. Del 20 al 26 de octubre: alinear datos y completar acceso/ficha; Gabriel en entorno, Maximiliano en interfaz y Máximo en pruebas. Del 27 de octubre al 2 de noviembre: agenda, bloqueos y concurrencia con trabajo conjunto. Del 3 al 9 de noviembre: progreso y autogestión. Del 10 al 16 de noviembre: regresión, manual, evidencias y ensayo. Son ventanas propuestas para acordar con el equipo y el docente, no cambios aprob</w:t>
            </w:r>
            <w:r>
              <w:rPr>
                <w:rFonts w:ascii="Calibri" w:hAnsi="Calibri"/>
                <w:color w:val="000000"/>
              </w:rPr>
              <w:t>ados al calendario académico.</w:t>
            </w:r>
          </w:p>
          <w:p w14:paraId="2C400977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Ajuste de alcance. Se evaluarán pagos, comprobantes y reportes, ya presentes en </w:t>
            </w:r>
            <w:proofErr w:type="spellStart"/>
            <w:r>
              <w:rPr>
                <w:rFonts w:ascii="Calibri" w:hAnsi="Calibri"/>
                <w:color w:val="000000"/>
              </w:rPr>
              <w:t>User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Story Mapping.xlsx, mediante requisitos, esfuerzo y criterios propios. Se mantiene la simplificación de notificaciones por enlace web descrita en Fase 1. Ninguna ampliación se presenta como implementada ni se elimina una actividad comprometida sin acuerdo. [2, 4, 11]</w:t>
            </w:r>
          </w:p>
          <w:p w14:paraId="2FB7F21F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Ajuste metodológico. Cada historia deberá vincular responsable, </w:t>
            </w:r>
            <w:proofErr w:type="spellStart"/>
            <w:r>
              <w:rPr>
                <w:rFonts w:ascii="Calibri" w:hAnsi="Calibri"/>
                <w:color w:val="000000"/>
              </w:rPr>
              <w:t>commit</w:t>
            </w:r>
            <w:proofErr w:type="spellEnd"/>
            <w:r>
              <w:rPr>
                <w:rFonts w:ascii="Calibri" w:hAnsi="Calibri"/>
                <w:color w:val="000000"/>
              </w:rPr>
              <w:t>, criterio de aceptación y resultado. El cierre exige revisión cruzada y evidencias guardadas en Git, además de actualizar tablero y retrospectiva. [1, 2]</w:t>
            </w:r>
          </w:p>
        </w:tc>
      </w:tr>
    </w:tbl>
    <w:p w14:paraId="5CBBB7D9" w14:textId="77777777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2888EAAE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05892E1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279FEFCD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>Actividades que no has iniciado o están retrasadas</w:t>
            </w:r>
          </w:p>
          <w:p w14:paraId="3DBF561A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>No se asigna la categoría Con retraso sin contrastar los hitos con el calendario académico. El plan original sitúa parte de la construcción y pruebas en semanas posteriores al avance; por ello se distingue trabajo en curso, no iniciado y brechas que condicionan su cierre. [2]</w:t>
            </w:r>
          </w:p>
          <w:p w14:paraId="7056F9FC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>Entorno reproducible y datos. La prueba de importación, persistencia y arranque con Docker no se considera completada debido a la incompatibilidad observada. Estrategia: Gabriel unificará motor y configuración; Máximo registrará la instalación, integridad y resultados, con revisión conjunta.</w:t>
            </w:r>
          </w:p>
          <w:p w14:paraId="53C130E1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>Flujos privados y autorización. La conexión de login, tarjeta, panel, agendamiento y autogestión está pendiente. La API contiene operaciones, pero no acredita permisos por rol. Estrategia: priorizar una historia completa; incluir un caso autorizado y otro rechazado antes de ampliar pantallas. [6]</w:t>
            </w:r>
          </w:p>
          <w:p w14:paraId="357D1D27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>Pruebas de negocio, concurrencia y rendimiento. CP-01 a CP-06 están diseñados, pero requieren resultados reales y pantallas funcionales. Las comprobaciones técnicas del corte tienen un alcance menor. Estrategia: Máximo coordinará datos controlados y casos reproducibles; el equipo corregirá defectos y repetirá los casos afectados. [5, 10]</w:t>
            </w:r>
          </w:p>
          <w:p w14:paraId="1BD42CD9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>Notificaciones, QR protegido y despliegue. Siguen como compromisos por implementar y validar del alcance definido; no se atribuyen a este avance. Estrategia: mantener dependencias y prioridades en el backlog y no ampliar pagos o reportes sin estimar el esfuerzo. La defensa final no ha comenzado y debe prepararse en su fase prevista. [2–4]</w:t>
            </w:r>
          </w:p>
          <w:p w14:paraId="35C945D8" w14:textId="77777777" w:rsidR="009B028E" w:rsidRDefault="00935D8F">
            <w:pPr>
              <w:spacing w:after="100" w:line="240" w:lineRule="auto"/>
            </w:pPr>
            <w:r>
              <w:rPr>
                <w:rFonts w:ascii="Calibri" w:hAnsi="Calibri"/>
                <w:color w:val="000000"/>
              </w:rPr>
              <w:t xml:space="preserve">Evidencia individual. Se confirmó la cuenta </w:t>
            </w:r>
            <w:proofErr w:type="spellStart"/>
            <w:r>
              <w:rPr>
                <w:rFonts w:ascii="Calibri" w:hAnsi="Calibri"/>
                <w:color w:val="000000"/>
              </w:rPr>
              <w:t>smhnaxho</w:t>
            </w:r>
            <w:proofErr w:type="spellEnd"/>
            <w:r>
              <w:rPr>
                <w:rFonts w:ascii="Calibri" w:hAnsi="Calibri"/>
                <w:color w:val="000000"/>
              </w:rPr>
              <w:t xml:space="preserve"> de Máximo para el plan del Sprint 1. Cada integrante debe completar sus evidencias de Fase 2 y revisar las de un compañero. La meta es demostrar participación y conocimiento compartido, no igualar artificialmente el número de </w:t>
            </w:r>
            <w:proofErr w:type="spellStart"/>
            <w:r>
              <w:rPr>
                <w:rFonts w:ascii="Calibri" w:hAnsi="Calibri"/>
                <w:color w:val="000000"/>
              </w:rPr>
              <w:t>commits</w:t>
            </w:r>
            <w:proofErr w:type="spellEnd"/>
            <w:r>
              <w:rPr>
                <w:rFonts w:ascii="Calibri" w:hAnsi="Calibri"/>
                <w:color w:val="000000"/>
              </w:rPr>
              <w:t>. [1, 9, 11]</w:t>
            </w:r>
          </w:p>
        </w:tc>
      </w:tr>
    </w:tbl>
    <w:p w14:paraId="7ABABC50" w14:textId="77777777" w:rsidR="0003309E" w:rsidRPr="0003309E" w:rsidRDefault="0003309E">
      <w:pPr>
        <w:rPr>
          <w:lang w:val="es-ES"/>
        </w:rPr>
      </w:pPr>
    </w:p>
    <w:p w14:paraId="1A5F9335" w14:textId="7AE626B4" w:rsidR="009B028E" w:rsidRDefault="00935D8F">
      <w:pPr>
        <w:keepNext/>
        <w:pageBreakBefore/>
        <w:spacing w:after="100" w:line="240" w:lineRule="auto"/>
      </w:pPr>
      <w:r>
        <w:rPr>
          <w:rFonts w:ascii="Calibri" w:hAnsi="Calibri"/>
          <w:b/>
          <w:color w:val="000000"/>
          <w:sz w:val="24"/>
        </w:rPr>
        <w:lastRenderedPageBreak/>
        <w:t xml:space="preserve">Anexo </w:t>
      </w:r>
      <w:r w:rsidR="00B015B0">
        <w:rPr>
          <w:rFonts w:ascii="Calibri" w:hAnsi="Calibri"/>
          <w:b/>
          <w:color w:val="000000"/>
          <w:sz w:val="24"/>
        </w:rPr>
        <w:t>A</w:t>
      </w:r>
      <w:r>
        <w:rPr>
          <w:rFonts w:ascii="Calibri" w:hAnsi="Calibri"/>
          <w:b/>
          <w:color w:val="000000"/>
          <w:sz w:val="24"/>
        </w:rPr>
        <w:t xml:space="preserve"> Evidencias seleccionadas</w:t>
      </w:r>
    </w:p>
    <w:p w14:paraId="5F9F18FE" w14:textId="77777777" w:rsidR="009B028E" w:rsidRPr="00B015B0" w:rsidRDefault="00935D8F">
      <w:pPr>
        <w:spacing w:after="100" w:line="240" w:lineRule="auto"/>
        <w:rPr>
          <w:lang w:val="en-US"/>
        </w:rPr>
      </w:pPr>
      <w:r w:rsidRPr="00B015B0">
        <w:rPr>
          <w:rFonts w:ascii="Calibri" w:hAnsi="Calibri"/>
          <w:b/>
          <w:color w:val="000000"/>
          <w:lang w:val="en-US"/>
        </w:rPr>
        <w:t>C1 Sprint Backlog de Semana 8</w:t>
      </w:r>
    </w:p>
    <w:p w14:paraId="758E9FB6" w14:textId="77777777" w:rsidR="009B028E" w:rsidRDefault="00935D8F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4DE662C0" wp14:editId="1A674C19">
            <wp:extent cx="5400000" cy="3037500"/>
            <wp:effectExtent l="0" t="0" r="0" b="0"/>
            <wp:docPr id="50" name="Picture 50" descr="Sprint Backlog Seman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rint_Backlog_Semana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0858" w14:textId="77777777" w:rsidR="009B028E" w:rsidRDefault="00935D8F">
      <w:pPr>
        <w:spacing w:after="100" w:line="240" w:lineRule="auto"/>
      </w:pPr>
      <w:r>
        <w:rPr>
          <w:rFonts w:ascii="Calibri" w:hAnsi="Calibri"/>
          <w:color w:val="000000"/>
        </w:rPr>
        <w:t>Captura histórica de nueve actividades técnicas con responsables y estados. No representa automáticamente el estado del 18 de octubre. Fuente: equipo del proyecto. [8]</w:t>
      </w:r>
    </w:p>
    <w:p w14:paraId="2C57024B" w14:textId="77777777" w:rsidR="009B028E" w:rsidRDefault="00935D8F">
      <w:pPr>
        <w:spacing w:after="100" w:line="240" w:lineRule="auto"/>
      </w:pPr>
      <w:r>
        <w:rPr>
          <w:rFonts w:ascii="Calibri" w:hAnsi="Calibri"/>
          <w:b/>
          <w:color w:val="000000"/>
        </w:rPr>
        <w:t xml:space="preserve">C2 </w:t>
      </w:r>
      <w:proofErr w:type="spellStart"/>
      <w:r>
        <w:rPr>
          <w:rFonts w:ascii="Calibri" w:hAnsi="Calibri"/>
          <w:b/>
          <w:color w:val="000000"/>
        </w:rPr>
        <w:t>Scrumboard</w:t>
      </w:r>
      <w:proofErr w:type="spellEnd"/>
      <w:r>
        <w:rPr>
          <w:rFonts w:ascii="Calibri" w:hAnsi="Calibri"/>
          <w:b/>
          <w:color w:val="000000"/>
        </w:rPr>
        <w:t xml:space="preserve"> de Semana 8</w:t>
      </w:r>
    </w:p>
    <w:p w14:paraId="20FFC77F" w14:textId="77777777" w:rsidR="009B028E" w:rsidRDefault="00935D8F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07DF2796" wp14:editId="16FE6A6E">
            <wp:extent cx="5400000" cy="3037500"/>
            <wp:effectExtent l="0" t="0" r="0" b="0"/>
            <wp:docPr id="51" name="Picture 51" descr="Evidencia Scrumboard Seman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_Scrumboard_Semana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51B39" w14:textId="77777777" w:rsidR="009B028E" w:rsidRDefault="00935D8F">
      <w:pPr>
        <w:spacing w:after="100" w:line="240" w:lineRule="auto"/>
      </w:pPr>
      <w:r>
        <w:rPr>
          <w:rFonts w:ascii="Calibri" w:hAnsi="Calibri"/>
          <w:color w:val="000000"/>
        </w:rPr>
        <w:t>Tablero de seguimiento con actividades por estado. Los estados deben actualizarse para la entrega. Fuente: equipo del proyecto. [8]</w:t>
      </w:r>
    </w:p>
    <w:p w14:paraId="66420324" w14:textId="294170E6" w:rsidR="009B028E" w:rsidRDefault="00935D8F">
      <w:pPr>
        <w:keepNext/>
        <w:pageBreakBefore/>
        <w:spacing w:after="100" w:line="240" w:lineRule="auto"/>
      </w:pPr>
      <w:r>
        <w:rPr>
          <w:rFonts w:ascii="Calibri" w:hAnsi="Calibri"/>
          <w:b/>
          <w:color w:val="000000"/>
          <w:sz w:val="24"/>
        </w:rPr>
        <w:lastRenderedPageBreak/>
        <w:t xml:space="preserve">Anexo </w:t>
      </w:r>
      <w:r w:rsidR="00B015B0">
        <w:rPr>
          <w:rFonts w:ascii="Calibri" w:hAnsi="Calibri"/>
          <w:b/>
          <w:color w:val="000000"/>
          <w:sz w:val="24"/>
        </w:rPr>
        <w:t>B</w:t>
      </w:r>
      <w:r>
        <w:rPr>
          <w:rFonts w:ascii="Calibri" w:hAnsi="Calibri"/>
          <w:b/>
          <w:color w:val="000000"/>
          <w:sz w:val="24"/>
        </w:rPr>
        <w:t xml:space="preserve"> Modelo del dominio y trazabilidad</w:t>
      </w:r>
    </w:p>
    <w:p w14:paraId="0D7F6714" w14:textId="77777777" w:rsidR="009B028E" w:rsidRDefault="00935D8F">
      <w:pPr>
        <w:spacing w:after="100" w:line="240" w:lineRule="auto"/>
        <w:jc w:val="center"/>
      </w:pPr>
      <w:r>
        <w:rPr>
          <w:noProof/>
        </w:rPr>
        <w:drawing>
          <wp:inline distT="0" distB="0" distL="0" distR="0" wp14:anchorId="3945B5A2" wp14:editId="4255E01E">
            <wp:extent cx="5400000" cy="4343478"/>
            <wp:effectExtent l="0" t="0" r="0" b="0"/>
            <wp:docPr id="52" name="Picture 52" descr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de_cla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43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22C6D" w14:textId="77777777" w:rsidR="009B028E" w:rsidRDefault="00935D8F">
      <w:pPr>
        <w:spacing w:after="100" w:line="240" w:lineRule="auto"/>
      </w:pPr>
      <w:r>
        <w:rPr>
          <w:rFonts w:ascii="Calibri" w:hAnsi="Calibri"/>
          <w:color w:val="000000"/>
        </w:rPr>
        <w:t xml:space="preserve">Diagrama derivado del SQL con nueve entidades y 14 asociaciones; sin métodos documentados. Fuente: equipo del proyecto, </w:t>
      </w:r>
      <w:proofErr w:type="spellStart"/>
      <w:r>
        <w:rPr>
          <w:rFonts w:ascii="Calibri" w:hAnsi="Calibri"/>
          <w:color w:val="000000"/>
        </w:rPr>
        <w:t>commit</w:t>
      </w:r>
      <w:proofErr w:type="spellEnd"/>
      <w:r>
        <w:rPr>
          <w:rFonts w:ascii="Calibri" w:hAnsi="Calibri"/>
          <w:color w:val="000000"/>
        </w:rPr>
        <w:t xml:space="preserve"> f90f82f. El diccionario y el archivo </w:t>
      </w:r>
      <w:proofErr w:type="spellStart"/>
      <w:r>
        <w:rPr>
          <w:rFonts w:ascii="Calibri" w:hAnsi="Calibri"/>
          <w:color w:val="000000"/>
        </w:rPr>
        <w:t>Workbench</w:t>
      </w:r>
      <w:proofErr w:type="spellEnd"/>
      <w:r>
        <w:rPr>
          <w:rFonts w:ascii="Calibri" w:hAnsi="Calibri"/>
          <w:color w:val="000000"/>
        </w:rPr>
        <w:t xml:space="preserve"> permiten consultar los atributos en detalle. [7]</w:t>
      </w:r>
    </w:p>
    <w:p w14:paraId="478F3A59" w14:textId="77777777" w:rsidR="009B028E" w:rsidRDefault="00935D8F">
      <w:pPr>
        <w:spacing w:after="100" w:line="240" w:lineRule="auto"/>
      </w:pPr>
      <w:r>
        <w:rPr>
          <w:rFonts w:ascii="Calibri" w:hAnsi="Calibri"/>
          <w:color w:val="000000"/>
        </w:rPr>
        <w:t xml:space="preserve">La API reúne 6 rutas de alumnos, 5 de asistencias, 5 de bloqueos, 7 de clases, 7 de evaluaciones, 5 de roles, 7 de sedes, 9 de usuarios y 8 de vehículos. El total es 59, más </w:t>
      </w:r>
      <w:proofErr w:type="spellStart"/>
      <w:r>
        <w:rPr>
          <w:rFonts w:ascii="Calibri" w:hAnsi="Calibri"/>
          <w:color w:val="000000"/>
        </w:rPr>
        <w:t>health</w:t>
      </w:r>
      <w:proofErr w:type="spellEnd"/>
      <w:r>
        <w:rPr>
          <w:rFonts w:ascii="Calibri" w:hAnsi="Calibri"/>
          <w:color w:val="000000"/>
        </w:rPr>
        <w:t xml:space="preserve"> y </w:t>
      </w:r>
      <w:proofErr w:type="spellStart"/>
      <w:r>
        <w:rPr>
          <w:rFonts w:ascii="Calibri" w:hAnsi="Calibri"/>
          <w:color w:val="000000"/>
        </w:rPr>
        <w:t>db</w:t>
      </w:r>
      <w:proofErr w:type="spellEnd"/>
      <w:r>
        <w:rPr>
          <w:rFonts w:ascii="Calibri" w:hAnsi="Calibri"/>
          <w:color w:val="000000"/>
        </w:rPr>
        <w:t>-test. El conteo no implica aceptación funcional. [6, 10]</w:t>
      </w:r>
    </w:p>
    <w:p w14:paraId="5CBE3FC6" w14:textId="77777777" w:rsidR="009B028E" w:rsidRDefault="00935D8F">
      <w:pPr>
        <w:spacing w:after="100" w:line="240" w:lineRule="auto"/>
      </w:pPr>
      <w:r>
        <w:rPr>
          <w:rFonts w:ascii="Calibri" w:hAnsi="Calibri"/>
          <w:color w:val="000000"/>
        </w:rPr>
        <w:t xml:space="preserve">Trazabilidad: </w:t>
      </w:r>
      <w:proofErr w:type="spellStart"/>
      <w:r>
        <w:rPr>
          <w:rFonts w:ascii="Calibri" w:hAnsi="Calibri"/>
          <w:color w:val="000000"/>
        </w:rPr>
        <w:t>cabedeb</w:t>
      </w:r>
      <w:proofErr w:type="spellEnd"/>
      <w:r>
        <w:rPr>
          <w:rFonts w:ascii="Calibri" w:hAnsi="Calibri"/>
          <w:color w:val="000000"/>
        </w:rPr>
        <w:t xml:space="preserve"> → </w:t>
      </w:r>
      <w:proofErr w:type="spellStart"/>
      <w:r>
        <w:rPr>
          <w:rFonts w:ascii="Calibri" w:hAnsi="Calibri"/>
          <w:color w:val="000000"/>
        </w:rPr>
        <w:t>services</w:t>
      </w:r>
      <w:proofErr w:type="spellEnd"/>
      <w:r>
        <w:rPr>
          <w:rFonts w:ascii="Calibri" w:hAnsi="Calibri"/>
          <w:color w:val="000000"/>
        </w:rPr>
        <w:t xml:space="preserve"> y </w:t>
      </w:r>
      <w:proofErr w:type="spellStart"/>
      <w:r>
        <w:rPr>
          <w:rFonts w:ascii="Calibri" w:hAnsi="Calibri"/>
          <w:color w:val="000000"/>
        </w:rPr>
        <w:t>controllers</w:t>
      </w:r>
      <w:proofErr w:type="spellEnd"/>
      <w:r>
        <w:rPr>
          <w:rFonts w:ascii="Calibri" w:hAnsi="Calibri"/>
          <w:color w:val="000000"/>
        </w:rPr>
        <w:t>; cfe98b7 → integración y rutas; f90f82f → SQL y modelo; 0435131 → login visual; 3dcce51 → plan de pruebas. El estado de referencia es f90f82f2a0bbce72ea2c09c35f0bcbf228e41c69. [9]</w:t>
      </w:r>
    </w:p>
    <w:p w14:paraId="35855222" w14:textId="5F482EC7" w:rsidR="009B028E" w:rsidRDefault="009B028E">
      <w:pPr>
        <w:spacing w:after="100" w:line="240" w:lineRule="auto"/>
      </w:pPr>
    </w:p>
    <w:sectPr w:rsidR="009B028E">
      <w:headerReference w:type="default" r:id="rId13"/>
      <w:footerReference w:type="defaul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2F9FB" w14:textId="77777777" w:rsidR="00935D8F" w:rsidRDefault="00935D8F" w:rsidP="0003309E">
      <w:pPr>
        <w:spacing w:after="0" w:line="240" w:lineRule="auto"/>
      </w:pPr>
      <w:r>
        <w:separator/>
      </w:r>
    </w:p>
  </w:endnote>
  <w:endnote w:type="continuationSeparator" w:id="0">
    <w:p w14:paraId="356270CE" w14:textId="77777777" w:rsidR="00935D8F" w:rsidRDefault="00935D8F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BEB44" w14:textId="77777777" w:rsidR="009B028E" w:rsidRDefault="00935D8F">
    <w:pPr>
      <w:spacing w:after="100" w:line="240" w:lineRule="auto"/>
      <w:jc w:val="center"/>
    </w:pPr>
    <w:r>
      <w:fldChar w:fldCharType="begin"/>
    </w:r>
    <w:r>
      <w:instrText>PAGE</w:instrText>
    </w:r>
    <w:r>
      <w:fldChar w:fldCharType="separate"/>
    </w:r>
    <w:r w:rsidR="00B015B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34352" w14:textId="77777777" w:rsidR="00935D8F" w:rsidRDefault="00935D8F" w:rsidP="0003309E">
      <w:pPr>
        <w:spacing w:after="0" w:line="240" w:lineRule="auto"/>
      </w:pPr>
      <w:r>
        <w:separator/>
      </w:r>
    </w:p>
  </w:footnote>
  <w:footnote w:type="continuationSeparator" w:id="0">
    <w:p w14:paraId="70B9FAA5" w14:textId="77777777" w:rsidR="00935D8F" w:rsidRDefault="00935D8F" w:rsidP="0003309E">
      <w:pPr>
        <w:spacing w:after="0" w:line="240" w:lineRule="auto"/>
      </w:pPr>
      <w:r>
        <w:continuationSeparator/>
      </w:r>
    </w:p>
  </w:footnote>
  <w:footnote w:id="1">
    <w:p w14:paraId="0FD84147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2A70E345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6E9A69D2" w14:textId="77777777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34DA9BEC" w14:textId="77777777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419C763D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275533A" wp14:editId="1A06BEF3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7CB9121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196846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24686D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75D7B"/>
    <w:rsid w:val="008F621F"/>
    <w:rsid w:val="00935D8F"/>
    <w:rsid w:val="009378F7"/>
    <w:rsid w:val="009552E5"/>
    <w:rsid w:val="00976ABB"/>
    <w:rsid w:val="009B028E"/>
    <w:rsid w:val="009E52DF"/>
    <w:rsid w:val="00B015B0"/>
    <w:rsid w:val="00B31361"/>
    <w:rsid w:val="00B4258F"/>
    <w:rsid w:val="00B6502A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6606D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4162C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2050</Words>
  <Characters>11275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og TaKen</cp:lastModifiedBy>
  <cp:revision>6</cp:revision>
  <dcterms:created xsi:type="dcterms:W3CDTF">2022-08-24T18:14:00Z</dcterms:created>
  <dcterms:modified xsi:type="dcterms:W3CDTF">2026-10-19T13:41:00Z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