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ing1"/>
        <w:keepNext w:val="0"/>
        <w:spacing w:before="0" w:after="322"/>
        <w:outlineLvl w:val="9"/>
        <w:rPr>
          <w:rFonts w:ascii="宋体" w:eastAsia="宋体" w:hAnsi="宋体" w:cs="宋体"/>
          <w:b/>
          <w:bCs/>
          <w:sz w:val="48"/>
          <w:szCs w:val="48"/>
        </w:rPr>
      </w:pPr>
      <w:r>
        <w:rPr>
          <w:rFonts w:ascii="宋体" w:eastAsia="宋体" w:hAnsi="宋体" w:cs="宋体"/>
          <w:i w:val="0"/>
        </w:rPr>
        <w:t>博士研究选题方向与学术规范指导</w:t>
      </w:r>
    </w:p>
    <w:p>
      <w:pPr>
        <w:numPr>
          <w:ilvl w:val="0"/>
          <w:numId w:val="1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会议主题</w:t>
      </w:r>
      <w:r>
        <w:rPr>
          <w:rFonts w:ascii="宋体" w:eastAsia="宋体" w:hAnsi="宋体" w:cs="宋体"/>
        </w:rPr>
        <w:t>：博士生研究计划（Plan A &amp; B）评审与学术发表策略指导</w:t>
      </w:r>
    </w:p>
    <w:p>
      <w:pPr>
        <w:numPr>
          <w:ilvl w:val="0"/>
          <w:numId w:val="1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参会人员</w:t>
      </w:r>
      <w:r>
        <w:rPr>
          <w:rFonts w:ascii="宋体" w:eastAsia="宋体" w:hAnsi="宋体" w:cs="宋体"/>
        </w:rPr>
        <w:t>：导师（说话人2）、学生（说话人1）</w:t>
      </w:r>
    </w:p>
    <w:p>
      <w:pPr>
        <w:numPr>
          <w:ilvl w:val="0"/>
          <w:numId w:val="1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主要议题</w:t>
      </w:r>
      <w:r>
        <w:rPr>
          <w:rFonts w:ascii="宋体" w:eastAsia="宋体" w:hAnsi="宋体" w:cs="宋体"/>
        </w:rPr>
        <w:t>：区块链/KYC机制的研究价值、文献筛选标准、论文投稿定位（IS vs CS）、研究方法论</w:t>
      </w:r>
    </w:p>
    <w:p>
      <w:pPr>
        <w:spacing w:before="240" w:after="240"/>
        <w:ind w:left="600" w:right="6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摘要</w:t>
      </w:r>
      <w:r>
        <w:rPr>
          <w:rFonts w:ascii="宋体" w:eastAsia="宋体" w:hAnsi="宋体" w:cs="宋体"/>
        </w:rPr>
        <w:t>：指导学生优化博士研究选题，重点探讨区块链背景下KYC机制的“中间地带”研究价值。导师强调需聚焦顶级期刊文献以验证问题重要性，明确信息系统（IS）与计算机科学（CS）两种发表路径的差异，并建议利用AI辅助文献调研，避免局限于狭窄的中国案例，提升研究的普适性与学术严谨性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一、 研究计划评审与优先级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1. Plan A：区块链与KYC机制研究（核心重点）</w:t>
      </w:r>
    </w:p>
    <w:p>
      <w:pPr>
        <w:numPr>
          <w:ilvl w:val="0"/>
          <w:numId w:val="2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阅读优先级</w:t>
      </w:r>
      <w:r>
        <w:rPr>
          <w:rFonts w:ascii="宋体" w:eastAsia="宋体" w:hAnsi="宋体" w:cs="宋体"/>
        </w:rPr>
        <w:t>：导师建议优先深入阅读Plan A相关材料，Plan B及“疫情后中国企业特殊困境”可暂缓或略读 。</w:t>
      </w:r>
    </w:p>
    <w:p>
      <w:pPr>
        <w:numPr>
          <w:ilvl w:val="0"/>
          <w:numId w:val="2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核心研究问题</w:t>
      </w:r>
      <w:r>
        <w:rPr>
          <w:rFonts w:ascii="宋体" w:eastAsia="宋体" w:hAnsi="宋体" w:cs="宋体"/>
        </w:rPr>
        <w:t xml:space="preserve">：探讨在区块链金融场景中，如何在完全匿名（无KYC）与完全透明（传统银行式KYC）之间寻找“中间地带”（Middle Ground） 。 </w:t>
      </w:r>
    </w:p>
    <w:p>
      <w:pPr>
        <w:numPr>
          <w:ilvl w:val="1"/>
          <w:numId w:val="2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背景痛点</w:t>
      </w:r>
      <w:r>
        <w:rPr>
          <w:rFonts w:ascii="宋体" w:eastAsia="宋体" w:hAnsi="宋体" w:cs="宋体"/>
        </w:rPr>
        <w:t>：传统KYC过度收集用户隐私（如住址、税务等），而纯匿名交易缺乏信任基础；业界存在仅做清结算（失去区块链意义）与自建中间商式KYC两派分歧 。</w:t>
      </w:r>
    </w:p>
    <w:p>
      <w:pPr>
        <w:numPr>
          <w:ilvl w:val="1"/>
          <w:numId w:val="2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研究价值</w:t>
      </w:r>
      <w:r>
        <w:rPr>
          <w:rFonts w:ascii="宋体" w:eastAsia="宋体" w:hAnsi="宋体" w:cs="宋体"/>
        </w:rPr>
        <w:t>：识别一种适度的信息披露机制，既满足反洗钱/合规需求，又保护用户隐私，填补现有机制空白 。</w:t>
      </w:r>
    </w:p>
    <w:p>
      <w:pPr>
        <w:numPr>
          <w:ilvl w:val="0"/>
          <w:numId w:val="2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潜在风险</w:t>
      </w:r>
      <w:r>
        <w:rPr>
          <w:rFonts w:ascii="宋体" w:eastAsia="宋体" w:hAnsi="宋体" w:cs="宋体"/>
        </w:rPr>
        <w:t>：需确认合作方能提供的数据范围是否足以支撑研究，目前对学生而言思路已相对清晰，但需警惕数据局限性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2. Plan B：基于公有数据的类似研究</w:t>
      </w:r>
    </w:p>
    <w:p>
      <w:pPr>
        <w:numPr>
          <w:ilvl w:val="0"/>
          <w:numId w:val="3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定位</w:t>
      </w:r>
      <w:r>
        <w:rPr>
          <w:rFonts w:ascii="宋体" w:eastAsia="宋体" w:hAnsi="宋体" w:cs="宋体"/>
        </w:rPr>
        <w:t>：作为Plan A的备选方案，若无法获取私有数据，则利用公有数据进行类似逻辑的研究 。</w:t>
      </w:r>
    </w:p>
    <w:p>
      <w:pPr>
        <w:numPr>
          <w:ilvl w:val="0"/>
          <w:numId w:val="3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状态</w:t>
      </w:r>
      <w:r>
        <w:rPr>
          <w:rFonts w:ascii="宋体" w:eastAsia="宋体" w:hAnsi="宋体" w:cs="宋体"/>
        </w:rPr>
        <w:t>：鉴于Plan A已有明确方向，Plan B暂不作为当前讨论重点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3. 其他议题：疫情后中国企业困境</w:t>
      </w:r>
    </w:p>
    <w:p>
      <w:pPr>
        <w:numPr>
          <w:ilvl w:val="0"/>
          <w:numId w:val="4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评价</w:t>
      </w:r>
      <w:r>
        <w:rPr>
          <w:rFonts w:ascii="宋体" w:eastAsia="宋体" w:hAnsi="宋体" w:cs="宋体"/>
        </w:rPr>
        <w:t>：题目过于狭窄，局限于特定国家与特定时期，受众面小，学术通用性弱 。</w:t>
      </w:r>
    </w:p>
    <w:p>
      <w:pPr>
        <w:numPr>
          <w:ilvl w:val="0"/>
          <w:numId w:val="4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建议</w:t>
      </w:r>
      <w:r>
        <w:rPr>
          <w:rFonts w:ascii="宋体" w:eastAsia="宋体" w:hAnsi="宋体" w:cs="宋体"/>
        </w:rPr>
        <w:t>：学术研究应避免仅因“中国有趣”而设定题目，应将中国作为情境（Context）而非唯一焦点，追求更具普适性的全球性问题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二、 学术规范与文献筛选策略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1. 文献质量标准</w:t>
      </w:r>
    </w:p>
    <w:p>
      <w:pPr>
        <w:numPr>
          <w:ilvl w:val="0"/>
          <w:numId w:val="5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顶级期刊导向</w:t>
      </w:r>
      <w:r>
        <w:rPr>
          <w:rFonts w:ascii="宋体" w:eastAsia="宋体" w:hAnsi="宋体" w:cs="宋体"/>
        </w:rPr>
        <w:t xml:space="preserve">：必须聚焦于UTD 24期刊（如 </w:t>
      </w:r>
      <w:r>
        <w:rPr>
          <w:rFonts w:ascii="宋体" w:eastAsia="宋体" w:hAnsi="宋体" w:cs="宋体"/>
          <w:i/>
          <w:iCs/>
        </w:rPr>
        <w:t>Management Science</w:t>
      </w:r>
      <w:r>
        <w:rPr>
          <w:rFonts w:ascii="宋体" w:eastAsia="宋体" w:hAnsi="宋体" w:cs="宋体"/>
        </w:rPr>
        <w:t xml:space="preserve">, </w:t>
      </w:r>
      <w:r>
        <w:rPr>
          <w:rFonts w:ascii="宋体" w:eastAsia="宋体" w:hAnsi="宋体" w:cs="宋体"/>
          <w:i/>
          <w:iCs/>
        </w:rPr>
        <w:t>Information Systems Research</w:t>
      </w:r>
      <w:r>
        <w:rPr>
          <w:rFonts w:ascii="宋体" w:eastAsia="宋体" w:hAnsi="宋体" w:cs="宋体"/>
        </w:rPr>
        <w:t>）或顶级计算机会议（如 ICML, NeurIPS） 。</w:t>
      </w:r>
    </w:p>
    <w:p>
      <w:pPr>
        <w:numPr>
          <w:ilvl w:val="0"/>
          <w:numId w:val="5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甄别低质内容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5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避免阅读书籍或非peer-reviewed文章，因其观点往往未经严格检验 。</w:t>
      </w:r>
    </w:p>
    <w:p>
      <w:pPr>
        <w:numPr>
          <w:ilvl w:val="1"/>
          <w:numId w:val="5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谨慎对待预印本（Preprint/SSRN/arXiv），因AI生成内容泛滥，需通过作者背景（是否来自顶尖高校）或后续发表记录来验证质量 。</w:t>
      </w:r>
    </w:p>
    <w:p>
      <w:pPr>
        <w:numPr>
          <w:ilvl w:val="0"/>
          <w:numId w:val="5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利用AI辅助</w:t>
      </w:r>
      <w:r>
        <w:rPr>
          <w:rFonts w:ascii="宋体" w:eastAsia="宋体" w:hAnsi="宋体" w:cs="宋体"/>
        </w:rPr>
        <w:t>：使用AI工具检索顶级期刊中的相关文献，但需人工复核，确保问题的重要性与方法的有效性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2. 好文章的标准</w:t>
      </w:r>
    </w:p>
    <w:p>
      <w:pPr>
        <w:numPr>
          <w:ilvl w:val="0"/>
          <w:numId w:val="6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双核心要素</w:t>
      </w:r>
      <w:r>
        <w:rPr>
          <w:rFonts w:ascii="宋体" w:eastAsia="宋体" w:hAnsi="宋体" w:cs="宋体"/>
        </w:rPr>
        <w:t>：一篇高影响力文章必须具备两个特点：(1) 提出的问题极具趣味性且重要；(2) 提供的解决方案（方法/论证）令人信服 。</w:t>
      </w:r>
    </w:p>
    <w:p>
      <w:pPr>
        <w:numPr>
          <w:ilvl w:val="0"/>
          <w:numId w:val="6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自我检视</w:t>
      </w:r>
      <w:r>
        <w:rPr>
          <w:rFonts w:ascii="宋体" w:eastAsia="宋体" w:hAnsi="宋体" w:cs="宋体"/>
        </w:rPr>
        <w:t>：学生在阅读文献时，应重点关注其“研究问题”与“解决方法”，并反思自身研究是否具备同等特质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三、 研究定位与发表路径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1. 学科归属：IS vs. CS</w:t>
      </w:r>
    </w:p>
    <w:p>
      <w:pPr>
        <w:numPr>
          <w:ilvl w:val="0"/>
          <w:numId w:val="7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当前倾向</w:t>
      </w:r>
      <w:r>
        <w:rPr>
          <w:rFonts w:ascii="宋体" w:eastAsia="宋体" w:hAnsi="宋体" w:cs="宋体"/>
        </w:rPr>
        <w:t>：学生的研究涉及算法与平台机制，可能偏向运营管理（OM）或计算机科学（CS），但也具备信息系统（IS）的属性 。</w:t>
      </w:r>
    </w:p>
    <w:p>
      <w:pPr>
        <w:numPr>
          <w:ilvl w:val="0"/>
          <w:numId w:val="7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两条路径对比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7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计算机科学（CS）路径</w:t>
      </w:r>
      <w:r>
        <w:rPr>
          <w:rFonts w:ascii="宋体" w:eastAsia="宋体" w:hAnsi="宋体" w:cs="宋体"/>
        </w:rPr>
        <w:t>：侧重算法创新，篇幅较短（约10页），需通过基准测试（Benchmark）证明算法优于现有方法 。</w:t>
      </w:r>
    </w:p>
    <w:p>
      <w:pPr>
        <w:numPr>
          <w:ilvl w:val="1"/>
          <w:numId w:val="7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信息系统（IS）路径</w:t>
      </w:r>
      <w:r>
        <w:rPr>
          <w:rFonts w:ascii="宋体" w:eastAsia="宋体" w:hAnsi="宋体" w:cs="宋体"/>
        </w:rPr>
        <w:t>：侧重管理启示与场景应用，篇幅较长，周期久（准备需1-2年，发表更久），但影响力深远，适合讲述完整的故事 。</w:t>
      </w:r>
    </w:p>
    <w:p>
      <w:pPr>
        <w:numPr>
          <w:ilvl w:val="0"/>
          <w:numId w:val="7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导师建议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8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 xml:space="preserve">目标应定为顶级IS期刊（如 </w:t>
      </w:r>
      <w:r>
        <w:rPr>
          <w:rFonts w:ascii="宋体" w:eastAsia="宋体" w:hAnsi="宋体" w:cs="宋体"/>
          <w:i/>
          <w:iCs/>
        </w:rPr>
        <w:t>ISR</w:t>
      </w:r>
      <w:r>
        <w:rPr>
          <w:rFonts w:ascii="宋体" w:eastAsia="宋体" w:hAnsi="宋体" w:cs="宋体"/>
        </w:rPr>
        <w:t xml:space="preserve">, </w:t>
      </w:r>
      <w:r>
        <w:rPr>
          <w:rFonts w:ascii="宋体" w:eastAsia="宋体" w:hAnsi="宋体" w:cs="宋体"/>
          <w:i/>
          <w:iCs/>
        </w:rPr>
        <w:t>MISQ</w:t>
      </w:r>
      <w:r>
        <w:rPr>
          <w:rFonts w:ascii="宋体" w:eastAsia="宋体" w:hAnsi="宋体" w:cs="宋体"/>
        </w:rPr>
        <w:t>），而非单纯的技术报告 。</w:t>
      </w:r>
    </w:p>
    <w:p>
      <w:pPr>
        <w:numPr>
          <w:ilvl w:val="1"/>
          <w:numId w:val="8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可采用“混合策略”：先以CS风格发表方法论，再扩展为IS风格的完整研究；或在IS文章中清晰阐述方法优势 。</w:t>
      </w:r>
    </w:p>
    <w:p>
      <w:pPr>
        <w:numPr>
          <w:ilvl w:val="1"/>
          <w:numId w:val="8"/>
        </w:numPr>
        <w:spacing w:after="240"/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需熟悉IS领域的语言体系与管理学意义，避免仅停留在技术层面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2. 研究执行比例</w:t>
      </w:r>
    </w:p>
    <w:p>
      <w:pPr>
        <w:numPr>
          <w:ilvl w:val="0"/>
          <w:numId w:val="9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创意与执行</w:t>
      </w:r>
      <w:r>
        <w:rPr>
          <w:rFonts w:ascii="宋体" w:eastAsia="宋体" w:hAnsi="宋体" w:cs="宋体"/>
        </w:rPr>
        <w:t>：研究成功与否，Ideas（创意）与Execution（执行）各占约50%的比重 。</w:t>
      </w:r>
    </w:p>
    <w:p>
      <w:pPr>
        <w:numPr>
          <w:ilvl w:val="0"/>
          <w:numId w:val="9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避免自嗨</w:t>
      </w:r>
      <w:r>
        <w:rPr>
          <w:rFonts w:ascii="宋体" w:eastAsia="宋体" w:hAnsi="宋体" w:cs="宋体"/>
        </w:rPr>
        <w:t>：即使想法新颖，若执行不力或问题本身不重要，也难以发表；反之，平庸的想法即便执行完美，上限也有限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四、 下一步行动计划</w:t>
      </w:r>
    </w:p>
    <w:p>
      <w:pPr>
        <w:numPr>
          <w:ilvl w:val="0"/>
          <w:numId w:val="10"/>
        </w:numPr>
        <w:spacing w:before="240"/>
        <w:ind w:left="720" w:hanging="329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深化文献调研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10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利用AI工具广泛搜索顶级期刊中关于“Blockchain”、“KYC”、“Privacy”、“Intermediate Disclosure”等主题的文献 。</w:t>
      </w:r>
    </w:p>
    <w:p>
      <w:pPr>
        <w:numPr>
          <w:ilvl w:val="1"/>
          <w:numId w:val="10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重点验证该研究问题是否已被充分解决，或现有解决方案是否存在缺陷（Gap） 。</w:t>
      </w:r>
    </w:p>
    <w:p>
      <w:pPr>
        <w:numPr>
          <w:ilvl w:val="0"/>
          <w:numId w:val="10"/>
        </w:numPr>
        <w:ind w:left="720" w:hanging="329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明确问题重要性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11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确认“中间地带”机制是否为一个普遍且重要的问题，而非仅限特定小众群体 。</w:t>
      </w:r>
    </w:p>
    <w:p>
      <w:pPr>
        <w:numPr>
          <w:ilvl w:val="1"/>
          <w:numId w:val="11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拓展思维，不要局限于当前想到的点，通过阅读文献激发新的延伸思考 。</w:t>
      </w:r>
    </w:p>
    <w:p>
      <w:pPr>
        <w:numPr>
          <w:ilvl w:val="0"/>
          <w:numId w:val="10"/>
        </w:numPr>
        <w:ind w:left="720" w:hanging="329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完善Proposal结构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12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当前Proposal尚早，需先确立问题的显著性，再论证方法的适用性与优越性 。</w:t>
      </w:r>
    </w:p>
    <w:p>
      <w:pPr>
        <w:numPr>
          <w:ilvl w:val="1"/>
          <w:numId w:val="12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参考顶级文章的结构，逐步构建符合学术规范的论述逻辑 。</w:t>
      </w:r>
    </w:p>
    <w:p>
      <w:pPr>
        <w:numPr>
          <w:ilvl w:val="0"/>
          <w:numId w:val="10"/>
        </w:numPr>
        <w:ind w:left="720" w:hanging="329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定期沟通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13"/>
        </w:numPr>
        <w:spacing w:after="240"/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学生继续推进阅读与思考，导师建议下周或近期再次会面讨论进展 。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bottom w:val="single" w:sz="2" w:space="0" w:color="auto"/>
      </w:pBdr>
      <w:jc w:val="center"/>
    </w:pPr>
    <w:r>
      <w:rPr>
        <w:rFonts w:ascii="宋体 (中文正文)" w:eastAsia="宋体 (中文正文)" w:hAnsi="宋体 (中文正文)" w:cs="宋体 (中文正文)"/>
        <w:sz w:val="18"/>
      </w:rPr>
      <w:t>以上内容由AI生成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webSettings.xml" Type="http://schemas.openxmlformats.org/officeDocument/2006/relationships/webSetting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numbering.xml" Type="http://schemas.openxmlformats.org/officeDocument/2006/relationships/numbering"/><Relationship Id="rId6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001191340000711771143J00000","Label":"1","ReservedCode1":"1783684067118","ProduceID":"WebAdp_522021256220798978_1783684067118","ReservedCode2":"1783684067118","PropagateID":"WebAdp_522021256220798978_1783684067118","ContentProducer":"001191340000711771143J00000"}</vt:lpwstr>
  </property>
</Properties>
</file>