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before="240" w:after="120"/>
        <w:jc w:val="left"/>
      </w:pPr>
      <w:r>
        <w:rPr>
          <w:rFonts w:ascii="Microsoft YaHei" w:hAnsi="Microsoft YaHei" w:eastAsia="Microsoft YaHei"/>
          <w:b/>
          <w:color w:val="1B5E20"/>
          <w:sz w:val="44"/>
        </w:rPr>
        <w:t>EnerOS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sz w:val="32"/>
        </w:rPr>
        <w:t>能枢 — 电力/能源原生的 AgentOS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聚能以枢，驱动万物智能</w:t>
      </w:r>
    </w:p>
    <w:p>
      <w:pPr>
        <w:spacing w:after="120"/>
      </w:pPr>
      <w:r>
        <w:rPr>
          <w:rFonts w:ascii="Microsoft YaHei" w:hAnsi="Microsoft YaHei" w:eastAsia="Microsoft YaHei"/>
          <w:color w:val="808080"/>
          <w:sz w:val="20"/>
        </w:rPr>
        <w:t>License: MIT | GitHub: https://github.com/Gawg-AI/EnerOS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Microsoft YaHei" w:hAnsi="Microsoft YaHei" w:eastAsia="Microsoft YaHei"/>
          <w:b/>
          <w:color w:val="1B5E20"/>
          <w:sz w:val="44"/>
        </w:rPr>
        <w:t>为什么需要 EnerOS？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当前 AI Agent 技术蓬勃发展，但通用 Agent 框架在电力能源领域面临根本性困境：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问题</w:t>
            </w:r>
          </w:p>
        </w:tc>
        <w:tc>
          <w:tcPr>
            <w:tcW w:type="dxa" w:w="4703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表现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物理盲区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Agent 不理解潮流、电压、频率等物理量，无法判断决策的物理可行性</w:t>
            </w:r>
          </w:p>
        </w:tc>
      </w:tr>
      <w:tr>
        <w:tc>
          <w:tcPr>
            <w:tcW w:type="dxa" w:w="4703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约束缺失</w:t>
            </w:r>
          </w:p>
        </w:tc>
        <w:tc>
          <w:tcPr>
            <w:tcW w:type="dxa" w:w="4703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安全约束（N-1、热稳定、电压越限）被当作“提示词”而非系统级保障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拓扑无感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Agent 将电网视为扁平数据，无法感知拓扑结构与电气耦合关系</w:t>
            </w:r>
          </w:p>
        </w:tc>
      </w:tr>
      <w:tr>
        <w:tc>
          <w:tcPr>
            <w:tcW w:type="dxa" w:w="4703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时序割裂</w:t>
            </w:r>
          </w:p>
        </w:tc>
        <w:tc>
          <w:tcPr>
            <w:tcW w:type="dxa" w:w="4703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电力系统是强时序耦合系统，通用框架缺乏时间维度的一等公民支持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设备异构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变压器、断路器、逆变器各有独立模型与协议，难以统一调度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EnerOS 的回答：不要在通用框架上“外挂”电力知识，而是从电力原生出发构建操作系统。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Microsoft YaHei" w:hAnsi="Microsoft YaHei" w:eastAsia="Microsoft YaHei"/>
          <w:b/>
          <w:color w:val="1B5E20"/>
          <w:sz w:val="44"/>
        </w:rPr>
        <w:t>EnerOS 是什么？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EnerOS 是面向电力与能源领域的原生智能体操作系统（AgentOS）。它将电力系统的领域知识、物理约束与运行逻辑内建为操作系统内核，使 AI Agent 在能源场景中具备原生理解、安全决策与自主行动能力。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正如传统操作系统为应用程序提供进程、文件、网络的统一抽象，EnerOS 为能源智能体提供拓扑、潮流、约束、设备的统一抽象——让 Agent 天然“懂电”。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Microsoft YaHei" w:hAnsi="Microsoft YaHei" w:eastAsia="Microsoft YaHei"/>
          <w:b/>
          <w:color w:val="1B5E20"/>
          <w:sz w:val="44"/>
        </w:rPr>
        <w:t>设计哲学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sz w:val="32"/>
        </w:rPr>
        <w:t>Power-Native First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电力拓扑、潮流计算、设备模型不是外挂插件，而是操作系统的原生抽象。Agent 从诞生起就运行在电网的物理世界模型之上。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sz w:val="32"/>
        </w:rPr>
        <w:t>Agent-as-Grid-Node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每个 Agent 对应电网中的一个功能节点（厂站、馈线、设备），天然具备拓扑感知与约束遵守能力。Agent 之间的通信即电网节点之间的信息交换。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sz w:val="32"/>
        </w:rPr>
        <w:t>Constraint as Kernel Law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安全约束（N-1 校验、热稳定、电压限值）由内核强制执行，任何 Agent 的决策不可逾越物理可行域。安全不是提示词，而是操作系统级的硬约束。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sz w:val="32"/>
        </w:rPr>
        <w:t>Time-Series Native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电力系统是强时序耦合系统。EnerOS 将时间维度作为一等公民，支持实时数据流、历史回溯与预测推演的原生操作。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sz w:val="32"/>
        </w:rPr>
        <w:t>Real-Time Determinism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电力系统对实时性有刚性需求。EnerOS 采用双执行架构：普通 Linux 软底座承载 Agent 编排与 AI 推理，PREEMPT_RT 硬执行域保障保护逻辑与开关操作的确定性时延。安全域不可被软底座阻塞。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sz w:val="32"/>
        </w:rPr>
        <w:t>Open &amp; Interoperable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标准化的 Agent 通信协议与设备接入规范，支持异构能源设备与多厂商系统的即插即用。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Microsoft YaHei" w:hAnsi="Microsoft YaHei" w:eastAsia="Microsoft YaHei"/>
          <w:b/>
          <w:color w:val="1B5E20"/>
          <w:sz w:val="44"/>
        </w:rPr>
        <w:t>双执行架构：软底座 + PREEMPT_RT 硬执行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电力系统对实时性有刚性需求——继电保护动作必须在毫秒级完成，开关操作指令必须在确定时限内下发。通用 Linux 内核无法提供硬实时保证，而纯实时系统又难以承载 AI 推理、Agent 编排等复杂计算。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EnerOS 采用双执行架构，将系统划分为两个执行域：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执行域</w:t>
            </w:r>
          </w:p>
        </w:tc>
        <w:tc>
          <w:tcPr>
            <w:tcW w:type="dxa" w:w="1881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内核</w:t>
            </w:r>
          </w:p>
        </w:tc>
        <w:tc>
          <w:tcPr>
            <w:tcW w:type="dxa" w:w="1881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调度策略</w:t>
            </w:r>
          </w:p>
        </w:tc>
        <w:tc>
          <w:tcPr>
            <w:tcW w:type="dxa" w:w="1881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典型任务</w:t>
            </w:r>
          </w:p>
        </w:tc>
        <w:tc>
          <w:tcPr>
            <w:tcW w:type="dxa" w:w="1881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响应时延</w:t>
            </w:r>
          </w:p>
        </w:tc>
      </w:tr>
      <w:tr>
        <w:tc>
          <w:tcPr>
            <w:tcW w:type="dxa" w:w="188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普通软底座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Standard Linux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CFS (完全公平调度)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Agent 编排、AI 推理、潮流计算、规划优化</w:t>
            </w:r>
          </w:p>
        </w:tc>
        <w:tc>
          <w:tcPr>
            <w:tcW w:type="dxa" w:w="188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秒级 ~ 分钟级</w:t>
            </w:r>
          </w:p>
        </w:tc>
      </w:tr>
      <w:tr>
        <w:tc>
          <w:tcPr>
            <w:tcW w:type="dxa" w:w="188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PREEMPT_RT 硬执行域</w:t>
            </w:r>
          </w:p>
        </w:tc>
        <w:tc>
          <w:tcPr>
            <w:tcW w:type="dxa" w:w="188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Linux + PREEMPT_RT 补丁</w:t>
            </w:r>
          </w:p>
        </w:tc>
        <w:tc>
          <w:tcPr>
            <w:tcW w:type="dxa" w:w="188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SCHED_FIFO / SCHED_RR</w:t>
            </w:r>
          </w:p>
        </w:tc>
        <w:tc>
          <w:tcPr>
            <w:tcW w:type="dxa" w:w="188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继电保护、开关操作、故障隔离、频率调节</w:t>
            </w:r>
          </w:p>
        </w:tc>
        <w:tc>
          <w:tcPr>
            <w:tcW w:type="dxa" w:w="188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微秒级 ~ 毫秒级</w:t>
            </w:r>
          </w:p>
        </w:tc>
      </w:tr>
    </w:tbl>
    <w:p>
      <w:pPr>
        <w:spacing w:after="80"/>
        <w:ind w:left="283"/>
      </w:pPr>
      <w:r>
        <w:rPr>
          <w:rFonts w:ascii="Microsoft YaHei" w:hAnsi="Microsoft YaHei" w:eastAsia="Microsoft YaHei"/>
          <w:sz w:val="22"/>
        </w:rPr>
        <w:t>1. 安全域不可被软底座阻塞 — PREEMPT_RT 域的实时任务拥有最高优先级，软底座的任何操作不得影响硬执行的确定性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2"/>
        </w:rPr>
        <w:t>2. 单向信任 — 硬执行域可直接读取软底座的决策指令，但软底座不可直接干预硬执行域的调度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2"/>
        </w:rPr>
        <w:t>3. 跨域通信通过实时安全网关 — 所有软底座→硬执行域的指令必须经过网关的约束校验与优先级仲裁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2"/>
        </w:rPr>
        <w:t>4. 故障降级 — 当软底座异常时，硬执行域自动切换到本地保护逻辑，确保电网安全不依赖 AI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Microsoft YaHei" w:hAnsi="Microsoft YaHei" w:eastAsia="Microsoft YaHei"/>
          <w:b/>
          <w:color w:val="1B5E20"/>
          <w:sz w:val="44"/>
        </w:rPr>
        <w:t>分层架构总览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EnerOS 采用五层分层架构，从上到下依次为：应用层、Agent 运行时层、电力原生内核、实时安全网关、基础设施层。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层次</w:t>
            </w:r>
          </w:p>
        </w:tc>
        <w:tc>
          <w:tcPr>
            <w:tcW w:type="dxa" w:w="2351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职责</w:t>
            </w:r>
          </w:p>
        </w:tc>
        <w:tc>
          <w:tcPr>
            <w:tcW w:type="dxa" w:w="2351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关键抽象</w:t>
            </w:r>
          </w:p>
        </w:tc>
        <w:tc>
          <w:tcPr>
            <w:tcW w:type="dxa" w:w="2351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执行域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应用层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面向业务场景的智能体应用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调度 / 运维 / 规划 / 交易 Agent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软底座</w:t>
            </w:r>
          </w:p>
        </w:tc>
      </w:tr>
      <w:tr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Agent 运行时层</w:t>
            </w:r>
          </w:p>
        </w:tc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Agent 生命周期管理与智能调度</w:t>
            </w:r>
          </w:p>
        </w:tc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生命周期 / 记忆 / 工具 / 推理 / 安全守卫</w:t>
            </w:r>
          </w:p>
        </w:tc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软底座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电力原生内核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电力系统物理世界建模与约束执行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拓扑 / 潮流 / 约束 / 设备 / 时序 / 事件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软底座</w:t>
            </w:r>
          </w:p>
        </w:tc>
      </w:tr>
      <w:tr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实时安全网关</w:t>
            </w:r>
          </w:p>
        </w:tc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跨域通信与指令安全校验</w:t>
            </w:r>
          </w:p>
        </w:tc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指令下发 / 状态同步 / 优先级仲裁</w:t>
            </w:r>
          </w:p>
        </w:tc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跨域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基础设施层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异构设备接入与实时控制执行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SCADA / IEC 61850 / IEC 104 / MQTT / Modbus / OPC UA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硬执行 + 软底座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Microsoft YaHei" w:hAnsi="Microsoft YaHei" w:eastAsia="Microsoft YaHei"/>
          <w:b/>
          <w:color w:val="1B5E20"/>
          <w:sz w:val="44"/>
        </w:rPr>
        <w:t>核心能力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sz w:val="32"/>
        </w:rPr>
        <w:t>电网拓扑一等公民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电网拓扑图是 EnerOS 的核心数据结构。Agent 通过拓扑感知上下文自动获取其所在节点的电气关系、上下游设备与运行状态，无需显式查询。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sz w:val="32"/>
        </w:rPr>
        <w:t>物理约束决策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所有 Agent 的决策输出经过电力原生内核的约束校验——潮流是否收敛、电压是否越限、线路是否过载。不满足物理约束的决策在内核层即被拒绝。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sz w:val="32"/>
        </w:rPr>
        <w:t>设备模型库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内置符合中国国标（GB）与国际电工委员会标准（IEC）的设备参数库，涵盖变压器、线路、开关、逆变器等核心设备类型，支持 pandapower 兼容格式。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sz w:val="32"/>
        </w:rPr>
        <w:t>多智能体协作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基于电网拓扑的 Agent 组织模型：同一厂站内的 Agent 自动形成协作组，跨厂站 Agent 通过拓扑路径进行结构化通信，避免全局广播的混乱。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sz w:val="32"/>
        </w:rPr>
        <w:t>时序原生操作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实时数据流、历史数据回溯、预测数据推演——三种时间模式在内核层统一抽象，Agent 可无缝切换“回顾-感知-预判”的时间视角。</w:t>
      </w:r>
    </w:p>
    <w:p>
      <w:pPr>
        <w:spacing w:before="200" w:after="80"/>
        <w:jc w:val="left"/>
      </w:pPr>
      <w:r>
        <w:rPr>
          <w:rFonts w:ascii="Microsoft YaHei" w:hAnsi="Microsoft YaHei" w:eastAsia="Microsoft YaHei"/>
          <w:b/>
          <w:sz w:val="32"/>
        </w:rPr>
        <w:t>安全守卫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内核级安全守卫：N-1 安全校验、热稳定校验、电压越限检测。安全约束不可被 Agent 绕过或降级，是操作系统的“硬法律”。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Microsoft YaHei" w:hAnsi="Microsoft YaHei" w:eastAsia="Microsoft YaHei"/>
          <w:b/>
          <w:color w:val="1B5E20"/>
          <w:sz w:val="44"/>
        </w:rPr>
        <w:t>应用场景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场景</w:t>
            </w:r>
          </w:p>
        </w:tc>
        <w:tc>
          <w:tcPr>
            <w:tcW w:type="dxa" w:w="3135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描述</w:t>
            </w:r>
          </w:p>
        </w:tc>
        <w:tc>
          <w:tcPr>
            <w:tcW w:type="dxa" w:w="3135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核心 Agent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智能调度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基于负荷预测与新能源出力的日前/日内/实时调度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Dispatch Agent</w:t>
            </w:r>
          </w:p>
        </w:tc>
      </w:tr>
      <w:tr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智能运维</w:t>
            </w:r>
          </w:p>
        </w:tc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设备状态监测、故障诊断与检修决策</w:t>
            </w:r>
          </w:p>
        </w:tc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Operation Agent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配网规划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负荷增长预测下的网架扩展与设备选型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Planning Agent</w:t>
            </w:r>
          </w:p>
        </w:tc>
      </w:tr>
      <w:tr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电力交易</w:t>
            </w:r>
          </w:p>
        </w:tc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现货市场报价策略与结算分析</w:t>
            </w:r>
          </w:p>
        </w:tc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Trading Agent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故障自愈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故障定位、隔离与非故障区域恢复供电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Self-Healing Agent</w:t>
            </w:r>
          </w:p>
        </w:tc>
      </w:tr>
      <w:tr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能效优化</w:t>
            </w:r>
          </w:p>
        </w:tc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工商业用户的用能优化与需求响应</w:t>
            </w:r>
          </w:p>
        </w:tc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Energy Agent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Microsoft YaHei" w:hAnsi="Microsoft YaHei" w:eastAsia="Microsoft YaHei"/>
          <w:b/>
          <w:color w:val="1B5E20"/>
          <w:sz w:val="44"/>
        </w:rPr>
        <w:t>技术设计原则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原则</w:t>
            </w:r>
          </w:p>
        </w:tc>
        <w:tc>
          <w:tcPr>
            <w:tcW w:type="dxa" w:w="4703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内核-用户分离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物理约束执行在内核层，Agent 逻辑在用户层，安全边界清晰</w:t>
            </w:r>
          </w:p>
        </w:tc>
      </w:tr>
      <w:tr>
        <w:tc>
          <w:tcPr>
            <w:tcW w:type="dxa" w:w="4703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图为中心</w:t>
            </w:r>
          </w:p>
        </w:tc>
        <w:tc>
          <w:tcPr>
            <w:tcW w:type="dxa" w:w="4703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电网拓扑图是系统的核心索引，一切操作围绕图结构展开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事件驱动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基于事件总线的异步架构，适配电力系统的实时响应需求</w:t>
            </w:r>
          </w:p>
        </w:tc>
      </w:tr>
      <w:tr>
        <w:tc>
          <w:tcPr>
            <w:tcW w:type="dxa" w:w="4703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插件架构</w:t>
            </w:r>
          </w:p>
        </w:tc>
        <w:tc>
          <w:tcPr>
            <w:tcW w:type="dxa" w:w="4703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设备协议、求解器、Agent 能力均以插件形式接入，可扩展</w:t>
            </w:r>
          </w:p>
        </w:tc>
      </w:tr>
      <w:tr>
        <w:tc>
          <w:tcPr>
            <w:tcW w:type="dxa" w:w="4703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标准合规</w:t>
            </w:r>
          </w:p>
        </w:tc>
        <w:tc>
          <w:tcPr>
            <w:tcW w:type="dxa" w:w="4703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设备模型与通信协议遵循 IEC 61850 / IEC 60870-5-104 / GB 系列标准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Microsoft YaHei" w:hAnsi="Microsoft YaHei" w:eastAsia="Microsoft YaHei"/>
          <w:b/>
          <w:color w:val="1B5E20"/>
          <w:sz w:val="44"/>
        </w:rPr>
        <w:t>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2351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通用 Agent 框架</w:t>
            </w:r>
          </w:p>
        </w:tc>
        <w:tc>
          <w:tcPr>
            <w:tcW w:type="dxa" w:w="2351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SCADA / EMS</w:t>
            </w:r>
          </w:p>
        </w:tc>
        <w:tc>
          <w:tcPr>
            <w:tcW w:type="dxa" w:w="2351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EnerOS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电力物理建模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无 / 外挂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深度但封闭</w:t>
            </w:r>
          </w:p>
        </w:tc>
        <w:tc>
          <w:tcPr>
            <w:tcW w:type="dxa" w:w="2351"/>
            <w:shd w:fill="FFFFFF" w:val="clear"/>
            <w:shd w:fill="C8E6C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原生内核</w:t>
            </w:r>
          </w:p>
        </w:tc>
      </w:tr>
      <w:tr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AI Agent 支持</w:t>
            </w:r>
          </w:p>
        </w:tc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原生</w:t>
            </w:r>
          </w:p>
        </w:tc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无</w:t>
            </w:r>
          </w:p>
        </w:tc>
        <w:tc>
          <w:tcPr>
            <w:tcW w:type="dxa" w:w="2351"/>
            <w:shd w:fill="E8F5E9" w:val="clear"/>
            <w:shd w:fill="C8E6C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原生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安全约束保障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提示词级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硬编码</w:t>
            </w:r>
          </w:p>
        </w:tc>
        <w:tc>
          <w:tcPr>
            <w:tcW w:type="dxa" w:w="2351"/>
            <w:shd w:fill="FFFFFF" w:val="clear"/>
            <w:shd w:fill="C8E6C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内核级强制</w:t>
            </w:r>
          </w:p>
        </w:tc>
      </w:tr>
      <w:tr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拓扑感知</w:t>
            </w:r>
          </w:p>
        </w:tc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无</w:t>
            </w:r>
          </w:p>
        </w:tc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有</w:t>
            </w:r>
          </w:p>
        </w:tc>
        <w:tc>
          <w:tcPr>
            <w:tcW w:type="dxa" w:w="2351"/>
            <w:shd w:fill="E8F5E9" w:val="clear"/>
            <w:shd w:fill="C8E6C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Agent 原生感知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多智能体协作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通用协议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无</w:t>
            </w:r>
          </w:p>
        </w:tc>
        <w:tc>
          <w:tcPr>
            <w:tcW w:type="dxa" w:w="2351"/>
            <w:shd w:fill="FFFFFF" w:val="clear"/>
            <w:shd w:fill="C8E6C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拓扑结构化协作</w:t>
            </w:r>
          </w:p>
        </w:tc>
      </w:tr>
      <w:tr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开放性</w:t>
            </w:r>
          </w:p>
        </w:tc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高</w:t>
            </w:r>
          </w:p>
        </w:tc>
        <w:tc>
          <w:tcPr>
            <w:tcW w:type="dxa" w:w="2351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低</w:t>
            </w:r>
          </w:p>
        </w:tc>
        <w:tc>
          <w:tcPr>
            <w:tcW w:type="dxa" w:w="2351"/>
            <w:shd w:fill="E8F5E9" w:val="clear"/>
            <w:shd w:fill="C8E6C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高（插件架构）</w:t>
            </w:r>
          </w:p>
        </w:tc>
      </w:tr>
      <w:tr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设备模型标准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无</w:t>
            </w:r>
          </w:p>
        </w:tc>
        <w:tc>
          <w:tcPr>
            <w:tcW w:type="dxa" w:w="2351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厂商私有</w:t>
            </w:r>
          </w:p>
        </w:tc>
        <w:tc>
          <w:tcPr>
            <w:tcW w:type="dxa" w:w="2351"/>
            <w:shd w:fill="FFFFFF" w:val="clear"/>
            <w:shd w:fill="C8E6C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IEC / GB 标准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Microsoft YaHei" w:hAnsi="Microsoft YaHei" w:eastAsia="Microsoft YaHei"/>
          <w:b/>
          <w:color w:val="1B5E20"/>
          <w:sz w:val="44"/>
        </w:rPr>
        <w:t>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3135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名称</w:t>
            </w:r>
          </w:p>
        </w:tc>
        <w:tc>
          <w:tcPr>
            <w:tcW w:type="dxa" w:w="3135"/>
            <w:shd w:fill="1B5E20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核心内容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Phase 1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内核基座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拓扑引擎、潮流计算内核、设备模型库</w:t>
            </w:r>
          </w:p>
        </w:tc>
      </w:tr>
      <w:tr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Phase 2</w:t>
            </w:r>
          </w:p>
        </w:tc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Agent 运行时</w:t>
            </w:r>
          </w:p>
        </w:tc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Agent 生命周期管理、记忆系统、工具引擎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Phase 3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电网感知上下文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拓扑感知注入、约束校验守卫、事件总线</w:t>
            </w:r>
          </w:p>
        </w:tc>
      </w:tr>
      <w:tr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Phase 4</w:t>
            </w:r>
          </w:p>
        </w:tc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多智能体协作</w:t>
            </w:r>
          </w:p>
        </w:tc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多智能体协作协议、拓扑结构化通信</w:t>
            </w:r>
          </w:p>
        </w:tc>
      </w:tr>
      <w:tr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Phase 5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基础设施适配器</w:t>
            </w:r>
          </w:p>
        </w:tc>
        <w:tc>
          <w:tcPr>
            <w:tcW w:type="dxa" w:w="3135"/>
            <w:shd w:fill="FFFFFF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SCADA / IEC 61850 / MQTT 协议适配器</w:t>
            </w:r>
          </w:p>
        </w:tc>
      </w:tr>
      <w:tr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Phase 6</w:t>
            </w:r>
          </w:p>
        </w:tc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领域应用</w:t>
            </w:r>
          </w:p>
        </w:tc>
        <w:tc>
          <w:tcPr>
            <w:tcW w:type="dxa" w:w="3135"/>
            <w:shd w:fill="E8F5E9" w:val="clea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sz w:val="22"/>
              </w:rPr>
              <w:t>调度、运维、规划等场景化智能体应用</w:t>
            </w:r>
          </w:p>
        </w:tc>
      </w:tr>
    </w:tbl>
    <w:p>
      <w:r>
        <w:br w:type="page"/>
      </w:r>
    </w:p>
    <w:p>
      <w:pPr>
        <w:spacing w:before="240" w:after="120"/>
        <w:jc w:val="left"/>
      </w:pPr>
      <w:r>
        <w:rPr>
          <w:rFonts w:ascii="Microsoft YaHei" w:hAnsi="Microsoft YaHei" w:eastAsia="Microsoft YaHei"/>
          <w:b/>
          <w:color w:val="1B5E20"/>
          <w:sz w:val="44"/>
        </w:rPr>
        <w:t>参与贡献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EnerOS 处于早期设计阶段，欢迎对电力系统与 AI 交叉领域感兴趣的贡献者参与讨论与共建。</w:t>
      </w:r>
    </w:p>
    <w:p>
      <w:pPr>
        <w:spacing w:before="240" w:after="120"/>
        <w:jc w:val="left"/>
      </w:pPr>
      <w:r>
        <w:rPr>
          <w:rFonts w:ascii="Microsoft YaHei" w:hAnsi="Microsoft YaHei" w:eastAsia="Microsoft YaHei"/>
          <w:b/>
          <w:color w:val="1B5E20"/>
          <w:sz w:val="44"/>
        </w:rPr>
        <w:t>许可证</w:t>
      </w:r>
    </w:p>
    <w:p>
      <w:pPr>
        <w:spacing w:after="120"/>
      </w:pPr>
      <w:r>
        <w:rPr>
          <w:rFonts w:ascii="Microsoft YaHei" w:hAnsi="Microsoft YaHei" w:eastAsia="Microsoft YaHei"/>
          <w:sz w:val="22"/>
        </w:rPr>
        <w:t>MIT License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