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QueryWithEmptyQuestion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QueryWithEmptyQuestion.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QueryWithEmptyQuestion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QueryWithEmptyQuestion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