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1736" w14:textId="7AFDF316" w:rsidR="001C6DB6" w:rsidRDefault="00000000">
      <w:pPr>
        <w:spacing w:after="0"/>
        <w:ind w:left="14"/>
        <w:rPr>
          <w:color w:val="auto"/>
          <w:sz w:val="40"/>
          <w:szCs w:val="40"/>
        </w:rPr>
      </w:pPr>
      <w:r w:rsidRPr="00330299">
        <w:rPr>
          <w:rFonts w:ascii="Times New Roman" w:eastAsia="Times New Roman" w:hAnsi="Times New Roman" w:cs="Times New Roman"/>
          <w:b/>
          <w:color w:val="auto"/>
          <w:sz w:val="36"/>
        </w:rPr>
        <w:t xml:space="preserve">           </w:t>
      </w:r>
      <w:r w:rsidRPr="00330299">
        <w:rPr>
          <w:b/>
          <w:color w:val="auto"/>
          <w:sz w:val="40"/>
          <w:u w:val="single" w:color="000000"/>
        </w:rPr>
        <w:t>TOPIC</w:t>
      </w:r>
      <w:r w:rsidRPr="00330299">
        <w:rPr>
          <w:rFonts w:ascii="Times New Roman" w:eastAsia="Times New Roman" w:hAnsi="Times New Roman" w:cs="Times New Roman"/>
          <w:b/>
          <w:color w:val="auto"/>
          <w:sz w:val="40"/>
        </w:rPr>
        <w:t xml:space="preserve">: </w:t>
      </w:r>
      <w:r w:rsidR="0085180C" w:rsidRPr="00330299">
        <w:rPr>
          <w:color w:val="auto"/>
          <w:sz w:val="40"/>
          <w:szCs w:val="40"/>
        </w:rPr>
        <w:t>FLOOD MONITORING AND EARLY</w:t>
      </w:r>
      <w:r w:rsidR="00BD5E88">
        <w:rPr>
          <w:color w:val="auto"/>
          <w:sz w:val="40"/>
          <w:szCs w:val="40"/>
        </w:rPr>
        <w:t xml:space="preserve"> </w:t>
      </w:r>
      <w:r w:rsidR="0085180C" w:rsidRPr="00330299">
        <w:rPr>
          <w:color w:val="auto"/>
          <w:sz w:val="40"/>
          <w:szCs w:val="40"/>
        </w:rPr>
        <w:t>WARNING</w:t>
      </w:r>
    </w:p>
    <w:p w14:paraId="3E8E7A7D" w14:textId="77777777" w:rsidR="00BD5E88" w:rsidRDefault="00BD5E88">
      <w:pPr>
        <w:spacing w:after="0"/>
        <w:ind w:left="14"/>
        <w:rPr>
          <w:color w:val="auto"/>
          <w:sz w:val="40"/>
          <w:szCs w:val="40"/>
        </w:rPr>
      </w:pPr>
    </w:p>
    <w:p w14:paraId="2E7AD7F7" w14:textId="77777777" w:rsidR="00330299" w:rsidRPr="00330299" w:rsidRDefault="00330299">
      <w:pPr>
        <w:spacing w:after="0"/>
        <w:ind w:left="14"/>
        <w:rPr>
          <w:color w:val="auto"/>
        </w:rPr>
      </w:pPr>
    </w:p>
    <w:tbl>
      <w:tblPr>
        <w:tblStyle w:val="TableGrid"/>
        <w:tblW w:w="7113" w:type="dxa"/>
        <w:tblInd w:w="830" w:type="dxa"/>
        <w:tblCellMar>
          <w:left w:w="106" w:type="dxa"/>
          <w:bottom w:w="50" w:type="dxa"/>
          <w:right w:w="115" w:type="dxa"/>
        </w:tblCellMar>
        <w:tblLook w:val="04A0" w:firstRow="1" w:lastRow="0" w:firstColumn="1" w:lastColumn="0" w:noHBand="0" w:noVBand="1"/>
      </w:tblPr>
      <w:tblGrid>
        <w:gridCol w:w="7113"/>
      </w:tblGrid>
      <w:tr w:rsidR="00D31161" w:rsidRPr="00D31161" w14:paraId="296422C7" w14:textId="77777777">
        <w:trPr>
          <w:trHeight w:val="650"/>
        </w:trPr>
        <w:tc>
          <w:tcPr>
            <w:tcW w:w="7113" w:type="dxa"/>
            <w:tcBorders>
              <w:top w:val="single" w:sz="4" w:space="0" w:color="000000"/>
              <w:left w:val="single" w:sz="4" w:space="0" w:color="000000"/>
              <w:bottom w:val="single" w:sz="4" w:space="0" w:color="000000"/>
              <w:right w:val="single" w:sz="4" w:space="0" w:color="000000"/>
            </w:tcBorders>
            <w:vAlign w:val="bottom"/>
          </w:tcPr>
          <w:p w14:paraId="2CCF57B2" w14:textId="77777777" w:rsidR="001C6DB6" w:rsidRPr="00330299" w:rsidRDefault="00000000">
            <w:pPr>
              <w:rPr>
                <w:color w:val="auto"/>
              </w:rPr>
            </w:pPr>
            <w:r w:rsidRPr="00330299">
              <w:rPr>
                <w:b/>
                <w:color w:val="auto"/>
                <w:sz w:val="32"/>
              </w:rPr>
              <w:t>1</w:t>
            </w:r>
            <w:r w:rsidRPr="00330299">
              <w:rPr>
                <w:b/>
                <w:color w:val="auto"/>
                <w:sz w:val="28"/>
                <w:szCs w:val="28"/>
              </w:rPr>
              <w:t>. Project Definition</w:t>
            </w:r>
            <w:r w:rsidRPr="00330299">
              <w:rPr>
                <w:color w:val="auto"/>
                <w:sz w:val="28"/>
              </w:rPr>
              <w:t xml:space="preserve"> </w:t>
            </w:r>
          </w:p>
        </w:tc>
      </w:tr>
      <w:tr w:rsidR="00D31161" w:rsidRPr="00D31161" w14:paraId="191B204E" w14:textId="77777777">
        <w:trPr>
          <w:trHeight w:val="600"/>
        </w:trPr>
        <w:tc>
          <w:tcPr>
            <w:tcW w:w="7113" w:type="dxa"/>
            <w:tcBorders>
              <w:top w:val="single" w:sz="4" w:space="0" w:color="000000"/>
              <w:left w:val="single" w:sz="4" w:space="0" w:color="000000"/>
              <w:bottom w:val="single" w:sz="4" w:space="0" w:color="000000"/>
              <w:right w:val="single" w:sz="4" w:space="0" w:color="000000"/>
            </w:tcBorders>
            <w:vAlign w:val="center"/>
          </w:tcPr>
          <w:p w14:paraId="01970157" w14:textId="77777777" w:rsidR="001C6DB6" w:rsidRPr="00330299" w:rsidRDefault="00000000">
            <w:pPr>
              <w:rPr>
                <w:color w:val="auto"/>
              </w:rPr>
            </w:pPr>
            <w:r w:rsidRPr="00330299">
              <w:rPr>
                <w:b/>
                <w:color w:val="auto"/>
                <w:sz w:val="28"/>
              </w:rPr>
              <w:t xml:space="preserve">2. Design Thinking </w:t>
            </w:r>
            <w:r w:rsidRPr="00330299">
              <w:rPr>
                <w:color w:val="auto"/>
                <w:sz w:val="28"/>
              </w:rPr>
              <w:t xml:space="preserve"> </w:t>
            </w:r>
          </w:p>
        </w:tc>
      </w:tr>
      <w:tr w:rsidR="00D31161" w:rsidRPr="00D31161" w14:paraId="2DDCE8CA" w14:textId="77777777">
        <w:trPr>
          <w:trHeight w:val="473"/>
        </w:trPr>
        <w:tc>
          <w:tcPr>
            <w:tcW w:w="7113" w:type="dxa"/>
            <w:tcBorders>
              <w:top w:val="single" w:sz="4" w:space="0" w:color="000000"/>
              <w:left w:val="single" w:sz="4" w:space="0" w:color="000000"/>
              <w:bottom w:val="single" w:sz="4" w:space="0" w:color="000000"/>
              <w:right w:val="single" w:sz="4" w:space="0" w:color="000000"/>
            </w:tcBorders>
            <w:vAlign w:val="bottom"/>
          </w:tcPr>
          <w:p w14:paraId="40B2FE91" w14:textId="6183B2B3" w:rsidR="001C6DB6" w:rsidRPr="00330299" w:rsidRDefault="00000000">
            <w:pPr>
              <w:ind w:left="226"/>
              <w:rPr>
                <w:color w:val="auto"/>
                <w:sz w:val="28"/>
                <w:szCs w:val="28"/>
              </w:rPr>
            </w:pPr>
            <w:r w:rsidRPr="00330299">
              <w:rPr>
                <w:rFonts w:ascii="Segoe UI Symbol" w:eastAsia="Segoe UI Symbol" w:hAnsi="Segoe UI Symbol" w:cs="Segoe UI Symbol"/>
                <w:color w:val="auto"/>
                <w:sz w:val="28"/>
                <w:szCs w:val="28"/>
              </w:rPr>
              <w:t xml:space="preserve">• </w:t>
            </w:r>
            <w:r w:rsidR="00634303" w:rsidRPr="00330299">
              <w:rPr>
                <w:color w:val="auto"/>
                <w:sz w:val="28"/>
                <w:szCs w:val="28"/>
              </w:rPr>
              <w:t>Project Objectives</w:t>
            </w:r>
          </w:p>
        </w:tc>
      </w:tr>
      <w:tr w:rsidR="00D31161" w:rsidRPr="00D31161" w14:paraId="116FEEC1" w14:textId="77777777">
        <w:trPr>
          <w:trHeight w:val="612"/>
        </w:trPr>
        <w:tc>
          <w:tcPr>
            <w:tcW w:w="7113" w:type="dxa"/>
            <w:tcBorders>
              <w:top w:val="single" w:sz="4" w:space="0" w:color="000000"/>
              <w:left w:val="single" w:sz="4" w:space="0" w:color="000000"/>
              <w:bottom w:val="single" w:sz="4" w:space="0" w:color="000000"/>
              <w:right w:val="single" w:sz="4" w:space="0" w:color="000000"/>
            </w:tcBorders>
            <w:vAlign w:val="center"/>
          </w:tcPr>
          <w:p w14:paraId="0EDB62F4" w14:textId="4A5FD319" w:rsidR="001C6DB6" w:rsidRPr="00330299" w:rsidRDefault="00000000">
            <w:pPr>
              <w:ind w:left="226"/>
              <w:rPr>
                <w:color w:val="auto"/>
                <w:sz w:val="28"/>
                <w:szCs w:val="28"/>
              </w:rPr>
            </w:pPr>
            <w:r w:rsidRPr="00330299">
              <w:rPr>
                <w:rFonts w:ascii="Segoe UI Symbol" w:eastAsia="Segoe UI Symbol" w:hAnsi="Segoe UI Symbol" w:cs="Segoe UI Symbol"/>
                <w:color w:val="auto"/>
                <w:sz w:val="28"/>
                <w:szCs w:val="28"/>
              </w:rPr>
              <w:t xml:space="preserve">• </w:t>
            </w:r>
            <w:r w:rsidRPr="00330299">
              <w:rPr>
                <w:color w:val="auto"/>
                <w:sz w:val="28"/>
                <w:szCs w:val="28"/>
              </w:rPr>
              <w:t xml:space="preserve">IoT </w:t>
            </w:r>
            <w:r w:rsidR="00634303" w:rsidRPr="00330299">
              <w:rPr>
                <w:color w:val="auto"/>
                <w:sz w:val="28"/>
                <w:szCs w:val="28"/>
              </w:rPr>
              <w:t>Sensor</w:t>
            </w:r>
            <w:r w:rsidRPr="00330299">
              <w:rPr>
                <w:color w:val="auto"/>
                <w:sz w:val="28"/>
                <w:szCs w:val="28"/>
              </w:rPr>
              <w:t xml:space="preserve"> </w:t>
            </w:r>
            <w:r w:rsidR="0085180C" w:rsidRPr="00330299">
              <w:rPr>
                <w:color w:val="auto"/>
                <w:sz w:val="28"/>
                <w:szCs w:val="28"/>
              </w:rPr>
              <w:t xml:space="preserve">Network </w:t>
            </w:r>
            <w:r w:rsidRPr="00330299">
              <w:rPr>
                <w:color w:val="auto"/>
                <w:sz w:val="28"/>
                <w:szCs w:val="28"/>
              </w:rPr>
              <w:t xml:space="preserve">Designs </w:t>
            </w:r>
          </w:p>
        </w:tc>
      </w:tr>
      <w:tr w:rsidR="00D31161" w:rsidRPr="00D31161" w14:paraId="0D17EC29" w14:textId="77777777">
        <w:trPr>
          <w:trHeight w:val="521"/>
        </w:trPr>
        <w:tc>
          <w:tcPr>
            <w:tcW w:w="7113" w:type="dxa"/>
            <w:tcBorders>
              <w:top w:val="single" w:sz="4" w:space="0" w:color="000000"/>
              <w:left w:val="single" w:sz="4" w:space="0" w:color="000000"/>
              <w:bottom w:val="single" w:sz="4" w:space="0" w:color="000000"/>
              <w:right w:val="single" w:sz="4" w:space="0" w:color="000000"/>
            </w:tcBorders>
            <w:vAlign w:val="bottom"/>
          </w:tcPr>
          <w:p w14:paraId="0E2719DD" w14:textId="40D3C37E" w:rsidR="001C6DB6" w:rsidRPr="00330299" w:rsidRDefault="00000000">
            <w:pPr>
              <w:ind w:left="226"/>
              <w:rPr>
                <w:color w:val="auto"/>
                <w:sz w:val="28"/>
                <w:szCs w:val="28"/>
              </w:rPr>
            </w:pPr>
            <w:r w:rsidRPr="00330299">
              <w:rPr>
                <w:rFonts w:ascii="Segoe UI Symbol" w:eastAsia="Segoe UI Symbol" w:hAnsi="Segoe UI Symbol" w:cs="Segoe UI Symbol"/>
                <w:color w:val="auto"/>
                <w:sz w:val="28"/>
                <w:szCs w:val="28"/>
              </w:rPr>
              <w:t xml:space="preserve">• </w:t>
            </w:r>
            <w:r w:rsidR="0085180C" w:rsidRPr="00330299">
              <w:rPr>
                <w:color w:val="auto"/>
                <w:sz w:val="28"/>
                <w:szCs w:val="28"/>
              </w:rPr>
              <w:t>Early Warning Platform</w:t>
            </w:r>
          </w:p>
        </w:tc>
      </w:tr>
      <w:tr w:rsidR="00D31161" w:rsidRPr="00D31161" w14:paraId="41417B1B" w14:textId="77777777">
        <w:trPr>
          <w:trHeight w:val="475"/>
        </w:trPr>
        <w:tc>
          <w:tcPr>
            <w:tcW w:w="7113" w:type="dxa"/>
            <w:tcBorders>
              <w:top w:val="single" w:sz="4" w:space="0" w:color="000000"/>
              <w:left w:val="single" w:sz="4" w:space="0" w:color="000000"/>
              <w:bottom w:val="single" w:sz="4" w:space="0" w:color="000000"/>
              <w:right w:val="single" w:sz="4" w:space="0" w:color="000000"/>
            </w:tcBorders>
            <w:vAlign w:val="bottom"/>
          </w:tcPr>
          <w:p w14:paraId="69CB8F33" w14:textId="4AD3D78F" w:rsidR="001C6DB6" w:rsidRPr="00330299" w:rsidRDefault="00000000">
            <w:pPr>
              <w:ind w:left="226"/>
              <w:rPr>
                <w:color w:val="auto"/>
                <w:sz w:val="28"/>
                <w:szCs w:val="28"/>
              </w:rPr>
            </w:pPr>
            <w:r w:rsidRPr="00330299">
              <w:rPr>
                <w:rFonts w:ascii="Segoe UI Symbol" w:eastAsia="Segoe UI Symbol" w:hAnsi="Segoe UI Symbol" w:cs="Segoe UI Symbol"/>
                <w:color w:val="auto"/>
                <w:sz w:val="28"/>
                <w:szCs w:val="28"/>
              </w:rPr>
              <w:t xml:space="preserve">• </w:t>
            </w:r>
            <w:r w:rsidR="00634303" w:rsidRPr="00330299">
              <w:rPr>
                <w:rFonts w:ascii="Segoe UI Symbol" w:eastAsia="Segoe UI Symbol" w:hAnsi="Segoe UI Symbol" w:cs="Segoe UI Symbol"/>
                <w:color w:val="auto"/>
                <w:sz w:val="28"/>
                <w:szCs w:val="28"/>
              </w:rPr>
              <w:t>Integration Approach</w:t>
            </w:r>
          </w:p>
        </w:tc>
      </w:tr>
    </w:tbl>
    <w:p w14:paraId="081CA403" w14:textId="77777777" w:rsidR="001C6DB6" w:rsidRPr="00D31161" w:rsidRDefault="00000000">
      <w:pPr>
        <w:spacing w:after="205"/>
        <w:ind w:left="14"/>
        <w:rPr>
          <w:color w:val="auto"/>
        </w:rPr>
      </w:pPr>
      <w:r w:rsidRPr="00D31161">
        <w:rPr>
          <w:color w:val="auto"/>
          <w:sz w:val="36"/>
        </w:rPr>
        <w:t xml:space="preserve"> </w:t>
      </w:r>
      <w:r w:rsidRPr="00D31161">
        <w:rPr>
          <w:color w:val="auto"/>
          <w:sz w:val="28"/>
        </w:rPr>
        <w:t xml:space="preserve"> </w:t>
      </w:r>
    </w:p>
    <w:p w14:paraId="4DCCBB77" w14:textId="77777777" w:rsidR="001C6DB6" w:rsidRPr="00330299" w:rsidRDefault="00000000">
      <w:pPr>
        <w:spacing w:after="11"/>
        <w:rPr>
          <w:color w:val="auto"/>
          <w:sz w:val="36"/>
          <w:szCs w:val="36"/>
        </w:rPr>
      </w:pPr>
      <w:r w:rsidRPr="00330299">
        <w:rPr>
          <w:color w:val="auto"/>
          <w:sz w:val="36"/>
          <w:szCs w:val="36"/>
          <w:u w:val="single" w:color="000000"/>
        </w:rPr>
        <w:t>1.</w:t>
      </w:r>
      <w:r w:rsidRPr="00330299">
        <w:rPr>
          <w:b/>
          <w:color w:val="auto"/>
          <w:sz w:val="36"/>
          <w:szCs w:val="36"/>
          <w:u w:val="single" w:color="000000"/>
        </w:rPr>
        <w:t>Project Definition:</w:t>
      </w:r>
      <w:r w:rsidRPr="00330299">
        <w:rPr>
          <w:color w:val="auto"/>
          <w:sz w:val="36"/>
          <w:szCs w:val="36"/>
        </w:rPr>
        <w:t xml:space="preserve"> </w:t>
      </w:r>
    </w:p>
    <w:p w14:paraId="7BCF629A" w14:textId="77777777" w:rsidR="00330299" w:rsidRDefault="00000000" w:rsidP="0085180C">
      <w:pPr>
        <w:spacing w:line="289" w:lineRule="auto"/>
        <w:ind w:left="10" w:hanging="10"/>
        <w:rPr>
          <w:sz w:val="24"/>
        </w:rPr>
      </w:pPr>
      <w:r>
        <w:rPr>
          <w:sz w:val="24"/>
        </w:rPr>
        <w:t xml:space="preserve">     </w:t>
      </w:r>
      <w:r>
        <w:rPr>
          <w:sz w:val="24"/>
        </w:rPr>
        <w:tab/>
        <w:t xml:space="preserve"> </w:t>
      </w:r>
      <w:r>
        <w:rPr>
          <w:sz w:val="24"/>
        </w:rPr>
        <w:tab/>
      </w:r>
    </w:p>
    <w:p w14:paraId="4679B601" w14:textId="70C0B98A" w:rsidR="0085180C" w:rsidRPr="00330299" w:rsidRDefault="00330299" w:rsidP="0085180C">
      <w:pPr>
        <w:spacing w:line="289" w:lineRule="auto"/>
        <w:ind w:left="10" w:hanging="10"/>
        <w:rPr>
          <w:color w:val="auto"/>
          <w:sz w:val="28"/>
          <w:szCs w:val="28"/>
        </w:rPr>
      </w:pPr>
      <w:r w:rsidRPr="00330299">
        <w:rPr>
          <w:sz w:val="28"/>
          <w:szCs w:val="28"/>
        </w:rPr>
        <w:t xml:space="preserve">                                 </w:t>
      </w:r>
      <w:r w:rsidR="0085180C" w:rsidRPr="00330299">
        <w:rPr>
          <w:color w:val="auto"/>
          <w:sz w:val="28"/>
          <w:szCs w:val="28"/>
        </w:rPr>
        <w:t>The project involves deploying IoT sensors near water bodies and flood-prone areas to monitor water levels and provide early flood warnings through a public platform. The objective is to enhance flood preparedness and response by issuing timely warnings to both the public and emergency response teams. This project includes defining objectives, designing the IoT sensor network, developing the warning platform, and integrating them using IoT technology and Python.</w:t>
      </w:r>
      <w:r w:rsidR="0085180C" w:rsidRPr="00330299">
        <w:rPr>
          <w:color w:val="auto"/>
          <w:sz w:val="28"/>
          <w:szCs w:val="28"/>
        </w:rPr>
        <w:t xml:space="preserve"> </w:t>
      </w:r>
    </w:p>
    <w:p w14:paraId="17442E66" w14:textId="464826E5" w:rsidR="00634303" w:rsidRPr="00330299" w:rsidRDefault="00634303" w:rsidP="00634303">
      <w:pPr>
        <w:spacing w:line="289" w:lineRule="auto"/>
        <w:ind w:left="10" w:hanging="10"/>
        <w:rPr>
          <w:color w:val="auto"/>
          <w:sz w:val="24"/>
        </w:rPr>
      </w:pPr>
    </w:p>
    <w:p w14:paraId="43CC0C69" w14:textId="0926241D" w:rsidR="001C6DB6" w:rsidRDefault="00000000" w:rsidP="00634303">
      <w:pPr>
        <w:spacing w:line="289" w:lineRule="auto"/>
        <w:ind w:left="10" w:hanging="10"/>
      </w:pPr>
      <w:r>
        <w:rPr>
          <w:sz w:val="36"/>
          <w:u w:val="single" w:color="000000"/>
        </w:rPr>
        <w:t xml:space="preserve"> 2.</w:t>
      </w:r>
      <w:r>
        <w:rPr>
          <w:b/>
          <w:sz w:val="36"/>
          <w:u w:val="single" w:color="000000"/>
        </w:rPr>
        <w:t>Design Thinking</w:t>
      </w:r>
      <w:r>
        <w:rPr>
          <w:b/>
          <w:sz w:val="36"/>
        </w:rPr>
        <w:t>:</w:t>
      </w:r>
      <w:r>
        <w:rPr>
          <w:sz w:val="28"/>
        </w:rPr>
        <w:t xml:space="preserve"> </w:t>
      </w:r>
    </w:p>
    <w:p w14:paraId="347CD31E" w14:textId="5421FD19" w:rsidR="00D31161" w:rsidRDefault="00000000" w:rsidP="00634303">
      <w:pPr>
        <w:tabs>
          <w:tab w:val="center" w:pos="734"/>
          <w:tab w:val="center" w:pos="1454"/>
          <w:tab w:val="center" w:pos="2174"/>
          <w:tab w:val="center" w:pos="5979"/>
        </w:tabs>
        <w:spacing w:after="4" w:line="252" w:lineRule="auto"/>
        <w:ind w:left="-1"/>
        <w:rPr>
          <w:sz w:val="28"/>
          <w:szCs w:val="28"/>
        </w:rPr>
      </w:pPr>
      <w:r>
        <w:rPr>
          <w:sz w:val="28"/>
        </w:rPr>
        <w:t xml:space="preserve">   </w:t>
      </w:r>
      <w:r>
        <w:rPr>
          <w:sz w:val="28"/>
        </w:rPr>
        <w:tab/>
        <w:t xml:space="preserve"> </w:t>
      </w:r>
      <w:r>
        <w:rPr>
          <w:sz w:val="28"/>
        </w:rPr>
        <w:tab/>
        <w:t xml:space="preserve"> </w:t>
      </w:r>
      <w:r>
        <w:rPr>
          <w:sz w:val="28"/>
        </w:rPr>
        <w:tab/>
      </w:r>
      <w:r w:rsidR="00D31161">
        <w:rPr>
          <w:sz w:val="28"/>
        </w:rPr>
        <w:t xml:space="preserve">     </w:t>
      </w:r>
      <w:r w:rsidR="00330299">
        <w:rPr>
          <w:sz w:val="28"/>
        </w:rPr>
        <w:t xml:space="preserve">    </w:t>
      </w:r>
      <w:r w:rsidR="0085180C" w:rsidRPr="0085180C">
        <w:rPr>
          <w:sz w:val="28"/>
          <w:szCs w:val="28"/>
        </w:rPr>
        <w:t>In this part you will need to understand the problem statement and create a document on what have you understood and how will you proceed ahead with solving the problem. Please think on a design and present in form of a document. </w:t>
      </w:r>
    </w:p>
    <w:p w14:paraId="4DCA8D48" w14:textId="77777777" w:rsidR="00D31161" w:rsidRPr="00634303" w:rsidRDefault="00D31161" w:rsidP="00634303">
      <w:pPr>
        <w:tabs>
          <w:tab w:val="center" w:pos="734"/>
          <w:tab w:val="center" w:pos="1454"/>
          <w:tab w:val="center" w:pos="2174"/>
          <w:tab w:val="center" w:pos="5979"/>
        </w:tabs>
        <w:spacing w:after="4" w:line="252" w:lineRule="auto"/>
        <w:ind w:left="-1"/>
        <w:rPr>
          <w:sz w:val="28"/>
          <w:szCs w:val="28"/>
        </w:rPr>
      </w:pPr>
    </w:p>
    <w:p w14:paraId="06ADE1E0" w14:textId="77777777" w:rsidR="00D31161" w:rsidRPr="00BD5E88" w:rsidRDefault="00000000">
      <w:pPr>
        <w:spacing w:after="0"/>
        <w:ind w:left="-5" w:hanging="10"/>
        <w:rPr>
          <w:b/>
          <w:bCs/>
          <w:sz w:val="36"/>
        </w:rPr>
      </w:pPr>
      <w:r w:rsidRPr="00BD5E88">
        <w:rPr>
          <w:b/>
          <w:bCs/>
          <w:color w:val="313131"/>
          <w:sz w:val="36"/>
        </w:rPr>
        <w:lastRenderedPageBreak/>
        <w:t>1</w:t>
      </w:r>
      <w:r w:rsidRPr="00BD5E88">
        <w:rPr>
          <w:b/>
          <w:bCs/>
          <w:sz w:val="28"/>
        </w:rPr>
        <w:t>.</w:t>
      </w:r>
      <w:r w:rsidRPr="00BD5E88">
        <w:rPr>
          <w:b/>
          <w:bCs/>
          <w:sz w:val="36"/>
          <w:u w:val="single" w:color="000000"/>
        </w:rPr>
        <w:t>Project Objectives:</w:t>
      </w:r>
      <w:r w:rsidRPr="00BD5E88">
        <w:rPr>
          <w:b/>
          <w:bCs/>
          <w:sz w:val="36"/>
        </w:rPr>
        <w:t xml:space="preserve">  </w:t>
      </w:r>
    </w:p>
    <w:p w14:paraId="64F6C7DB" w14:textId="77777777" w:rsidR="00330299" w:rsidRDefault="00330299">
      <w:pPr>
        <w:spacing w:after="0"/>
        <w:ind w:left="-5" w:hanging="10"/>
        <w:rPr>
          <w:sz w:val="36"/>
        </w:rPr>
      </w:pPr>
    </w:p>
    <w:p w14:paraId="28FA3731" w14:textId="3993B74E" w:rsidR="001C6DB6" w:rsidRDefault="00FB498E" w:rsidP="00FB498E">
      <w:pPr>
        <w:spacing w:after="0"/>
        <w:ind w:left="-15"/>
      </w:pPr>
      <w:r>
        <w:rPr>
          <w:sz w:val="28"/>
        </w:rPr>
        <w:t xml:space="preserve">                               </w:t>
      </w:r>
      <w:r w:rsidR="00330299">
        <w:rPr>
          <w:sz w:val="28"/>
        </w:rPr>
        <w:t xml:space="preserve">   </w:t>
      </w:r>
      <w:r w:rsidR="0085180C" w:rsidRPr="0085180C">
        <w:rPr>
          <w:sz w:val="28"/>
        </w:rPr>
        <w:t>The project aims to enhance food safety and quality through IoT technology. Key objectives include real-time monitoring of food storage conditions, d</w:t>
      </w:r>
      <w:r w:rsidR="004B524B">
        <w:rPr>
          <w:sz w:val="28"/>
        </w:rPr>
        <w:t>3</w:t>
      </w:r>
      <w:r w:rsidR="0085180C" w:rsidRPr="0085180C">
        <w:rPr>
          <w:sz w:val="28"/>
        </w:rPr>
        <w:t>ata analysis for early warnings, remote control, regulatory compliance, cost efficiency, scalability, integration with existing systems, user education, and sustainability considerations.</w:t>
      </w:r>
      <w:r w:rsidR="00634303" w:rsidRPr="00634303">
        <w:rPr>
          <w:sz w:val="28"/>
        </w:rPr>
        <w:t>.</w:t>
      </w:r>
    </w:p>
    <w:p w14:paraId="22241B42" w14:textId="77777777" w:rsidR="001C6DB6" w:rsidRDefault="00000000">
      <w:pPr>
        <w:spacing w:after="17"/>
      </w:pPr>
      <w:r>
        <w:rPr>
          <w:sz w:val="28"/>
        </w:rPr>
        <w:t xml:space="preserve"> </w:t>
      </w:r>
    </w:p>
    <w:p w14:paraId="7B8925AA" w14:textId="77777777" w:rsidR="00D31161" w:rsidRPr="00330299" w:rsidRDefault="00000000">
      <w:pPr>
        <w:spacing w:after="0"/>
        <w:ind w:left="14"/>
        <w:rPr>
          <w:b/>
          <w:bCs/>
          <w:sz w:val="32"/>
          <w:u w:val="single" w:color="000000"/>
        </w:rPr>
      </w:pPr>
      <w:r w:rsidRPr="00330299">
        <w:rPr>
          <w:b/>
          <w:bCs/>
          <w:sz w:val="32"/>
        </w:rPr>
        <w:t>2.</w:t>
      </w:r>
      <w:r w:rsidRPr="00330299">
        <w:rPr>
          <w:b/>
          <w:bCs/>
          <w:sz w:val="32"/>
          <w:u w:val="single" w:color="000000"/>
        </w:rPr>
        <w:t>IoT Devices Designs:</w:t>
      </w:r>
    </w:p>
    <w:p w14:paraId="5E367F41" w14:textId="4677C338" w:rsidR="001C6DB6" w:rsidRDefault="00000000">
      <w:pPr>
        <w:spacing w:after="0"/>
        <w:ind w:left="14"/>
      </w:pPr>
      <w:r>
        <w:rPr>
          <w:b/>
          <w:sz w:val="32"/>
        </w:rPr>
        <w:t xml:space="preserve"> </w:t>
      </w:r>
      <w:r>
        <w:rPr>
          <w:sz w:val="28"/>
        </w:rPr>
        <w:t xml:space="preserve"> </w:t>
      </w:r>
    </w:p>
    <w:p w14:paraId="04D6F7D3" w14:textId="20A113F4" w:rsidR="004B524B" w:rsidRDefault="00D31161" w:rsidP="004B524B">
      <w:pPr>
        <w:spacing w:after="46"/>
        <w:rPr>
          <w:sz w:val="28"/>
        </w:rPr>
      </w:pPr>
      <w:r>
        <w:rPr>
          <w:sz w:val="28"/>
        </w:rPr>
        <w:t xml:space="preserve">                                </w:t>
      </w:r>
      <w:r w:rsidR="00330299">
        <w:rPr>
          <w:sz w:val="28"/>
        </w:rPr>
        <w:t xml:space="preserve">   </w:t>
      </w:r>
      <w:r w:rsidR="004B524B" w:rsidRPr="004B524B">
        <w:rPr>
          <w:sz w:val="28"/>
        </w:rPr>
        <w:t>The project aims to develop IoT devices with integrated sensors for precise flood data collection. Objectives include real-time data transmission, efficient power management, robust connectivity, high data accuracy, rapid alerting capabilities, scalability, durability, cost-effectiveness, and seamless integration into existing flood monitoring systems.</w:t>
      </w:r>
    </w:p>
    <w:p w14:paraId="57F6429C" w14:textId="77777777" w:rsidR="004B524B" w:rsidRDefault="004B524B" w:rsidP="004B524B">
      <w:pPr>
        <w:spacing w:after="46"/>
        <w:rPr>
          <w:sz w:val="28"/>
        </w:rPr>
      </w:pPr>
    </w:p>
    <w:p w14:paraId="0C8855E6" w14:textId="66D0BE78" w:rsidR="00330299" w:rsidRPr="00330299" w:rsidRDefault="00D31161" w:rsidP="00330299">
      <w:pPr>
        <w:pStyle w:val="NoSpacing"/>
        <w:rPr>
          <w:b/>
          <w:bCs/>
        </w:rPr>
      </w:pPr>
      <w:r w:rsidRPr="00330299">
        <w:rPr>
          <w:sz w:val="36"/>
          <w:u w:val="single" w:color="000000"/>
        </w:rPr>
        <w:t>3</w:t>
      </w:r>
      <w:r w:rsidRPr="00330299">
        <w:rPr>
          <w:b/>
          <w:bCs/>
          <w:color w:val="auto"/>
          <w:sz w:val="36"/>
          <w:u w:val="single" w:color="000000"/>
        </w:rPr>
        <w:t>.</w:t>
      </w:r>
      <w:r w:rsidR="00330299" w:rsidRPr="00330299">
        <w:rPr>
          <w:b/>
          <w:bCs/>
          <w:color w:val="auto"/>
          <w:u w:val="single"/>
        </w:rPr>
        <w:t xml:space="preserve"> </w:t>
      </w:r>
      <w:r w:rsidR="00330299" w:rsidRPr="00330299">
        <w:rPr>
          <w:rStyle w:val="TitleChar"/>
          <w:b/>
          <w:bCs/>
          <w:color w:val="auto"/>
          <w:sz w:val="32"/>
          <w:szCs w:val="32"/>
          <w:u w:val="single"/>
        </w:rPr>
        <w:t>Early Warning Platform</w:t>
      </w:r>
      <w:r w:rsidR="00330299" w:rsidRPr="00330299">
        <w:rPr>
          <w:b/>
          <w:bCs/>
          <w:color w:val="auto"/>
        </w:rPr>
        <w:t xml:space="preserve"> :                                    </w:t>
      </w:r>
    </w:p>
    <w:p w14:paraId="645E6094" w14:textId="77777777" w:rsidR="00330299" w:rsidRDefault="00330299" w:rsidP="00330299">
      <w:pPr>
        <w:spacing w:after="46"/>
        <w:rPr>
          <w:sz w:val="28"/>
          <w:szCs w:val="28"/>
        </w:rPr>
      </w:pPr>
    </w:p>
    <w:p w14:paraId="5779C78A" w14:textId="0A9152DA" w:rsidR="004B524B" w:rsidRDefault="00BD5E88" w:rsidP="00D31161">
      <w:pPr>
        <w:pStyle w:val="NoSpacing"/>
        <w:rPr>
          <w:sz w:val="28"/>
          <w:szCs w:val="28"/>
        </w:rPr>
      </w:pPr>
      <w:r>
        <w:rPr>
          <w:sz w:val="28"/>
          <w:szCs w:val="28"/>
        </w:rPr>
        <w:t xml:space="preserve">                                   </w:t>
      </w:r>
      <w:r w:rsidRPr="00BD5E88">
        <w:rPr>
          <w:sz w:val="28"/>
          <w:szCs w:val="28"/>
        </w:rPr>
        <w:t>The web-based platform aims to provide users with real-time water level data and issue flood warnings. Key components include an intuitive user interface with interactive maps, data integration from various sources, an automated alert system, customization options, access to historical data, mobile responsiveness, GIS integration, user accounts, data sharing capabilities, security measures, accessibility compliance, public awareness promotion, collaboration with relevant authorities, and a plan for regular maintenance and updates. This platform aims to enhance flood preparedness and safety for users in flood-prone areas.</w:t>
      </w:r>
    </w:p>
    <w:p w14:paraId="056E76E1" w14:textId="77777777" w:rsidR="00BD5E88" w:rsidRPr="00D31161" w:rsidRDefault="00BD5E88" w:rsidP="00D31161">
      <w:pPr>
        <w:pStyle w:val="NoSpacing"/>
        <w:rPr>
          <w:sz w:val="28"/>
          <w:szCs w:val="28"/>
        </w:rPr>
      </w:pPr>
    </w:p>
    <w:p w14:paraId="79CB380F" w14:textId="77777777" w:rsidR="00D31161" w:rsidRDefault="00D31161" w:rsidP="00D31161">
      <w:pPr>
        <w:spacing w:after="0"/>
        <w:rPr>
          <w:color w:val="313131"/>
          <w:sz w:val="32"/>
          <w:vertAlign w:val="subscript"/>
        </w:rPr>
      </w:pPr>
      <w:r>
        <w:rPr>
          <w:sz w:val="36"/>
          <w:u w:val="single" w:color="000000"/>
        </w:rPr>
        <w:t>4.</w:t>
      </w:r>
      <w:r w:rsidRPr="00D31161">
        <w:rPr>
          <w:sz w:val="36"/>
          <w:u w:val="single" w:color="000000"/>
        </w:rPr>
        <w:t>Integration Approach:</w:t>
      </w:r>
      <w:r w:rsidRPr="00D31161">
        <w:rPr>
          <w:color w:val="313131"/>
          <w:sz w:val="21"/>
        </w:rPr>
        <w:t xml:space="preserve"> </w:t>
      </w:r>
      <w:r w:rsidRPr="00D31161">
        <w:rPr>
          <w:color w:val="313131"/>
          <w:sz w:val="32"/>
          <w:vertAlign w:val="subscript"/>
        </w:rPr>
        <w:t xml:space="preserve"> </w:t>
      </w:r>
    </w:p>
    <w:p w14:paraId="152D41C3" w14:textId="77777777" w:rsidR="00330299" w:rsidRDefault="00330299" w:rsidP="00D31161">
      <w:pPr>
        <w:spacing w:after="0"/>
      </w:pPr>
    </w:p>
    <w:p w14:paraId="47ADE222" w14:textId="2336197B" w:rsidR="001C6DB6" w:rsidRPr="00D31161" w:rsidRDefault="00D31161" w:rsidP="00D31161">
      <w:pPr>
        <w:spacing w:after="0"/>
      </w:pPr>
      <w:r>
        <w:t xml:space="preserve">                                           </w:t>
      </w:r>
      <w:r>
        <w:rPr>
          <w:sz w:val="28"/>
        </w:rPr>
        <w:t xml:space="preserve"> </w:t>
      </w:r>
      <w:r w:rsidR="00BD5E88" w:rsidRPr="00BD5E88">
        <w:rPr>
          <w:sz w:val="28"/>
        </w:rPr>
        <w:t xml:space="preserve">IoT sensors are strategically deployed in flood-prone areas and connected to gateways using reliable communication protocols. Data is aggregated, encrypted, and locally processed at gateways. Redundant connections ensure data transmission reliability to a central repository via APIs. </w:t>
      </w:r>
      <w:r w:rsidR="00BD5E88" w:rsidRPr="00BD5E88">
        <w:rPr>
          <w:sz w:val="28"/>
        </w:rPr>
        <w:lastRenderedPageBreak/>
        <w:t>Data analysis triggers automated alerts distributed to stakeholders. Users access real-time data through a user-friendly interface, and the system is designed for scalability and continuous monitoring, with historical data retention for analysis. This approach ensures effective flood monitoring and timely warnings.</w:t>
      </w:r>
    </w:p>
    <w:sectPr w:rsidR="001C6DB6" w:rsidRPr="00D31161">
      <w:pgSz w:w="12240" w:h="15840"/>
      <w:pgMar w:top="1551" w:right="1485" w:bottom="163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A74DA"/>
    <w:multiLevelType w:val="hybridMultilevel"/>
    <w:tmpl w:val="31D645EC"/>
    <w:lvl w:ilvl="0" w:tplc="E3829B6E">
      <w:start w:val="3"/>
      <w:numFmt w:val="decimal"/>
      <w:lvlText w:val="%1."/>
      <w:lvlJc w:val="left"/>
      <w:pPr>
        <w:ind w:left="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D8DF7C">
      <w:start w:val="1"/>
      <w:numFmt w:val="lowerLetter"/>
      <w:lvlText w:val="%2"/>
      <w:lvlJc w:val="left"/>
      <w:pPr>
        <w:ind w:left="11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878CDF8">
      <w:start w:val="1"/>
      <w:numFmt w:val="lowerRoman"/>
      <w:lvlText w:val="%3"/>
      <w:lvlJc w:val="left"/>
      <w:pPr>
        <w:ind w:left="18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6725EB6">
      <w:start w:val="1"/>
      <w:numFmt w:val="decimal"/>
      <w:lvlText w:val="%4"/>
      <w:lvlJc w:val="left"/>
      <w:pPr>
        <w:ind w:left="25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9A9278">
      <w:start w:val="1"/>
      <w:numFmt w:val="lowerLetter"/>
      <w:lvlText w:val="%5"/>
      <w:lvlJc w:val="left"/>
      <w:pPr>
        <w:ind w:left="33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02C2B2">
      <w:start w:val="1"/>
      <w:numFmt w:val="lowerRoman"/>
      <w:lvlText w:val="%6"/>
      <w:lvlJc w:val="left"/>
      <w:pPr>
        <w:ind w:left="40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50EB510">
      <w:start w:val="1"/>
      <w:numFmt w:val="decimal"/>
      <w:lvlText w:val="%7"/>
      <w:lvlJc w:val="left"/>
      <w:pPr>
        <w:ind w:left="47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474A6EC">
      <w:start w:val="1"/>
      <w:numFmt w:val="lowerLetter"/>
      <w:lvlText w:val="%8"/>
      <w:lvlJc w:val="left"/>
      <w:pPr>
        <w:ind w:left="54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442628">
      <w:start w:val="1"/>
      <w:numFmt w:val="lowerRoman"/>
      <w:lvlText w:val="%9"/>
      <w:lvlJc w:val="left"/>
      <w:pPr>
        <w:ind w:left="61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211192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DB6"/>
    <w:rsid w:val="001C6DB6"/>
    <w:rsid w:val="00330299"/>
    <w:rsid w:val="004B524B"/>
    <w:rsid w:val="00634303"/>
    <w:rsid w:val="0085180C"/>
    <w:rsid w:val="00BD5E88"/>
    <w:rsid w:val="00D31161"/>
    <w:rsid w:val="00FB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B0FB"/>
  <w15:docId w15:val="{BE78D48B-9A37-4A0D-8E69-A58D20F9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31161"/>
    <w:pPr>
      <w:spacing w:after="0" w:line="240" w:lineRule="auto"/>
    </w:pPr>
    <w:rPr>
      <w:rFonts w:ascii="Calibri" w:eastAsia="Calibri" w:hAnsi="Calibri" w:cs="Calibri"/>
      <w:color w:val="000000"/>
    </w:rPr>
  </w:style>
  <w:style w:type="paragraph" w:styleId="Title">
    <w:name w:val="Title"/>
    <w:basedOn w:val="Normal"/>
    <w:next w:val="Normal"/>
    <w:link w:val="TitleChar"/>
    <w:uiPriority w:val="10"/>
    <w:qFormat/>
    <w:rsid w:val="0085180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518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tamizh arasan</dc:creator>
  <cp:keywords/>
  <cp:lastModifiedBy>tamizh arasan</cp:lastModifiedBy>
  <cp:revision>3</cp:revision>
  <dcterms:created xsi:type="dcterms:W3CDTF">2023-10-04T06:10:00Z</dcterms:created>
  <dcterms:modified xsi:type="dcterms:W3CDTF">2023-10-04T10:19:00Z</dcterms:modified>
</cp:coreProperties>
</file>