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220B24">
      <w:pPr>
        <w:jc w:val="center"/>
        <w:rPr>
          <w:rFonts w:ascii="Calibri" w:hAnsi="Calibri" w:cs="Calibri"/>
          <w:b/>
          <w:bCs/>
          <w:color w:val="000000"/>
          <w:lang w:val="en-GB"/>
        </w:rPr>
      </w:pPr>
      <w:r>
        <w:rPr>
          <w:rFonts w:ascii="Calibri" w:hAnsi="Calibri" w:cs="Calibri"/>
          <w:b/>
          <w:bCs/>
          <w:color w:val="000000"/>
          <w:lang w:val="en-GB"/>
        </w:rPr>
        <w:drawing>
          <wp:inline distT="0" distB="0" distL="0" distR="0">
            <wp:extent cx="2035810" cy="6762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036240" cy="676715"/>
                    </a:xfrm>
                    <a:prstGeom prst="rect">
                      <a:avLst/>
                    </a:prstGeom>
                  </pic:spPr>
                </pic:pic>
              </a:graphicData>
            </a:graphic>
          </wp:inline>
        </w:drawing>
      </w:r>
    </w:p>
    <w:p w14:paraId="72FA60A2">
      <w:pPr>
        <w:rPr>
          <w:rFonts w:ascii="Calibri" w:hAnsi="Calibri" w:cs="Calibri"/>
          <w:b/>
          <w:bCs/>
          <w:color w:val="000000"/>
          <w:lang w:val="en-GB"/>
        </w:rPr>
      </w:pPr>
    </w:p>
    <w:p w14:paraId="1D949B03">
      <w:pPr>
        <w:rPr>
          <w:rFonts w:ascii="Calibri" w:hAnsi="Calibri" w:cs="Calibri"/>
          <w:color w:val="000000"/>
          <w:lang w:val="en-IN"/>
        </w:rPr>
      </w:pPr>
      <w:r>
        <w:rPr>
          <w:rFonts w:ascii="Calibri" w:hAnsi="Calibri" w:cs="Calibri"/>
          <w:b/>
          <w:bCs/>
          <w:color w:val="000000"/>
          <w:lang w:val="en-GB"/>
        </w:rPr>
        <w:t xml:space="preserve">About </w:t>
      </w:r>
      <w:r>
        <w:rPr>
          <w:rFonts w:ascii="Calibri" w:hAnsi="Calibri" w:cs="Calibri"/>
          <w:b/>
          <w:bCs/>
          <w:lang w:val="en-GB"/>
        </w:rPr>
        <w:t>Axtria</w:t>
      </w:r>
      <w:r>
        <w:rPr>
          <w:rFonts w:ascii="Calibri" w:hAnsi="Calibri" w:cs="Calibri"/>
          <w:b/>
          <w:bCs/>
          <w:color w:val="000000"/>
          <w:lang w:val="en-GB"/>
        </w:rPr>
        <w:t>:</w:t>
      </w:r>
    </w:p>
    <w:p w14:paraId="690B8500">
      <w:pPr>
        <w:rPr>
          <w:rFonts w:ascii="Calibri" w:hAnsi="Calibri" w:cs="Calibri"/>
          <w:color w:val="000000"/>
          <w:lang w:val="en-IN"/>
        </w:rPr>
      </w:pPr>
      <w:r>
        <w:rPr>
          <w:rFonts w:ascii="Calibri" w:hAnsi="Calibri" w:cs="Calibri"/>
          <w:color w:val="000000"/>
        </w:rPr>
        <w:t> </w:t>
      </w:r>
    </w:p>
    <w:p w14:paraId="0A1FED97">
      <w:pPr>
        <w:shd w:val="clear" w:color="auto" w:fill="FFFFFF"/>
        <w:spacing w:after="200"/>
        <w:rPr>
          <w:rFonts w:cstheme="minorHAnsi"/>
          <w:color w:val="000000"/>
        </w:rPr>
      </w:pPr>
      <w:r>
        <w:rPr>
          <w:rFonts w:cstheme="minorHAnsi"/>
          <w:color w:val="000000"/>
        </w:rPr>
        <w:t xml:space="preserve">Axtria was founded in </w:t>
      </w:r>
      <w:r>
        <w:rPr>
          <w:rFonts w:cstheme="minorHAnsi"/>
          <w:b/>
          <w:bCs/>
          <w:color w:val="000000"/>
        </w:rPr>
        <w:t>2010</w:t>
      </w:r>
      <w:r>
        <w:rPr>
          <w:rFonts w:cstheme="minorHAnsi"/>
          <w:color w:val="000000"/>
        </w:rPr>
        <w:t xml:space="preserve"> by Jassi Chadha, who recognized the opportunity to satiate the imminent need for data-driven solutions in the life sciences market, to manage the ever-expanding volume of data, driven by rapid digitization and the pervasiveness of cloud technology. The key was to bring enterprise-grade analytics on integrated software technologies that complement the customer’s existing ecosystem.</w:t>
      </w:r>
    </w:p>
    <w:p w14:paraId="05EA7248">
      <w:pPr>
        <w:rPr>
          <w:rFonts w:cstheme="minorHAnsi"/>
          <w:color w:val="000000"/>
        </w:rPr>
      </w:pPr>
      <w:r>
        <w:rPr>
          <w:rFonts w:cstheme="minorHAnsi"/>
          <w:color w:val="000000"/>
        </w:rPr>
        <w:t xml:space="preserve">Today, with </w:t>
      </w:r>
      <w:r>
        <w:rPr>
          <w:rFonts w:cstheme="minorHAnsi"/>
          <w:b/>
          <w:bCs/>
          <w:color w:val="000000"/>
        </w:rPr>
        <w:t>3400+ workforce</w:t>
      </w:r>
      <w:r>
        <w:rPr>
          <w:rFonts w:cstheme="minorHAnsi"/>
          <w:color w:val="000000"/>
        </w:rPr>
        <w:t xml:space="preserve">, headquarters in New Jersey and India offices at </w:t>
      </w:r>
      <w:r>
        <w:rPr>
          <w:rFonts w:cstheme="minorHAnsi"/>
          <w:b/>
          <w:bCs/>
          <w:color w:val="000000"/>
          <w:lang w:val="en-IN"/>
        </w:rPr>
        <w:t>Gurgaon, NOIDA, Pune, Hyderabad, and Bangalore</w:t>
      </w:r>
      <w:r>
        <w:rPr>
          <w:rFonts w:cstheme="minorHAnsi"/>
          <w:color w:val="000000"/>
        </w:rPr>
        <w:t xml:space="preserve">, we are privileged to provide cutting-edge technology and innovative products to life sciences companies in 75+ countries, helping life sciences organizations transform their product commercialization journey to drive higher product sales and improve operational efficiency and healthcare outcomes. </w:t>
      </w:r>
    </w:p>
    <w:p w14:paraId="0E2EDF05">
      <w:pPr>
        <w:rPr>
          <w:rFonts w:cstheme="minorHAnsi"/>
          <w:color w:val="000000"/>
        </w:rPr>
      </w:pPr>
    </w:p>
    <w:p w14:paraId="372E7266">
      <w:pPr>
        <w:rPr>
          <w:rFonts w:cstheme="minorHAnsi"/>
          <w:color w:val="000000"/>
        </w:rPr>
      </w:pPr>
      <w:r>
        <w:rPr>
          <w:rFonts w:cstheme="minorHAnsi"/>
          <w:color w:val="000000"/>
        </w:rPr>
        <w:t>We are</w:t>
      </w:r>
      <w:r>
        <w:rPr>
          <w:rStyle w:val="12"/>
          <w:rFonts w:cstheme="minorHAnsi"/>
        </w:rPr>
        <w:t xml:space="preserve"> proud to work with 16 of the top 20 pharmaceutical companies.</w:t>
      </w:r>
      <w:r>
        <w:rPr>
          <w:rFonts w:cstheme="minorHAnsi"/>
        </w:rPr>
        <w:t xml:space="preserve"> </w:t>
      </w:r>
      <w:r>
        <w:rPr>
          <w:rStyle w:val="12"/>
          <w:rFonts w:cstheme="minorHAnsi"/>
        </w:rPr>
        <w:t xml:space="preserve">From our roots as a trusted consultant to our status as one of the world’s leading providers of </w:t>
      </w:r>
      <w:r>
        <w:fldChar w:fldCharType="begin"/>
      </w:r>
      <w:r>
        <w:instrText xml:space="preserve"> HYPERLINK "https://www.axtria.com/cloud-products/" \t "_blank" \o "https://www.axtria.com/cloud-products/" </w:instrText>
      </w:r>
      <w:r>
        <w:fldChar w:fldCharType="separate"/>
      </w:r>
      <w:r>
        <w:rPr>
          <w:rStyle w:val="12"/>
          <w:rFonts w:cstheme="minorHAnsi"/>
        </w:rPr>
        <w:t>cloud-based pharmaceutical management software</w:t>
      </w:r>
      <w:r>
        <w:rPr>
          <w:rStyle w:val="12"/>
          <w:rFonts w:cstheme="minorHAnsi"/>
        </w:rPr>
        <w:fldChar w:fldCharType="end"/>
      </w:r>
      <w:r>
        <w:rPr>
          <w:rStyle w:val="12"/>
          <w:rFonts w:cstheme="minorHAnsi"/>
        </w:rPr>
        <w:t>, Axtria has been powering the digital transformation of life sciences.</w:t>
      </w:r>
    </w:p>
    <w:p w14:paraId="312B5947">
      <w:pPr>
        <w:rPr>
          <w:rFonts w:ascii="Roboto" w:hAnsi="Roboto" w:eastAsia="Times New Roman" w:cs="Calibri"/>
          <w:color w:val="000000"/>
          <w:sz w:val="30"/>
          <w:szCs w:val="30"/>
          <w:lang w:val="en-IN" w:eastAsia="en-IN"/>
        </w:rPr>
      </w:pPr>
    </w:p>
    <w:p w14:paraId="1EE66957">
      <w:pPr>
        <w:rPr>
          <w:b/>
          <w:bCs/>
          <w:lang w:val="en-IN"/>
        </w:rPr>
      </w:pPr>
      <w:r>
        <w:rPr>
          <w:b/>
          <w:bCs/>
          <w:lang w:val="en-IN"/>
        </w:rPr>
        <w:t xml:space="preserve">Axtria Website: </w:t>
      </w:r>
      <w:r>
        <w:fldChar w:fldCharType="begin"/>
      </w:r>
      <w:r>
        <w:instrText xml:space="preserve"> HYPERLINK "https://www.axtria.com/" </w:instrText>
      </w:r>
      <w:r>
        <w:fldChar w:fldCharType="separate"/>
      </w:r>
      <w:r>
        <w:rPr>
          <w:rStyle w:val="6"/>
          <w:lang w:val="en-IN"/>
        </w:rPr>
        <w:t>https://www.axtria.com/</w:t>
      </w:r>
      <w:r>
        <w:rPr>
          <w:rStyle w:val="6"/>
          <w:lang w:val="en-IN"/>
        </w:rPr>
        <w:fldChar w:fldCharType="end"/>
      </w:r>
    </w:p>
    <w:p w14:paraId="34FEC06C">
      <w:pPr>
        <w:rPr>
          <w:rStyle w:val="6"/>
          <w:lang w:val="en-IN"/>
        </w:rPr>
      </w:pPr>
      <w:r>
        <w:rPr>
          <w:b/>
          <w:bCs/>
          <w:lang w:val="en-IN"/>
        </w:rPr>
        <w:t xml:space="preserve">Axtria LinkedIn Page: </w:t>
      </w:r>
      <w:r>
        <w:fldChar w:fldCharType="begin"/>
      </w:r>
      <w:r>
        <w:instrText xml:space="preserve"> HYPERLINK "https://apc01.safelinks.protection.outlook.com/?url=https%3A%2F%2Fwww.linkedin.com%2Fcompany%2Faxtria&amp;data=05%7C01%7Csiddharth.anand%40axtria.com%7Ca7e557c317ea4c79897a08da26b64bd3%7Cc0bd3319c6f848e995ff112a47c538b7%7C0%7C0%7C637864861658266336%7CUnknown%7CTWFpbGZsb3d8eyJWIjoiMC4wLjAwMDAiLCJQIjoiV2luMzIiLCJBTiI6Ik1haWwiLCJXVCI6Mn0%3D%7C3000%7C%7C%7C&amp;sdata=f7klHsbMTh2phI4bEm0GS0DyN9rzQL8r2PDWb3lWdUo%3D&amp;reserved=0" </w:instrText>
      </w:r>
      <w:r>
        <w:fldChar w:fldCharType="separate"/>
      </w:r>
      <w:r>
        <w:rPr>
          <w:rStyle w:val="6"/>
          <w:lang w:val="en-IN"/>
        </w:rPr>
        <w:t>https://www.linkedin.com/company/axtria</w:t>
      </w:r>
      <w:r>
        <w:rPr>
          <w:rStyle w:val="6"/>
          <w:lang w:val="en-IN"/>
        </w:rPr>
        <w:fldChar w:fldCharType="end"/>
      </w:r>
    </w:p>
    <w:p w14:paraId="189AC0F9">
      <w:pPr>
        <w:rPr>
          <w:lang w:val="en-IN"/>
        </w:rPr>
      </w:pPr>
    </w:p>
    <w:p w14:paraId="55A1AC8C">
      <w:pPr>
        <w:rPr>
          <w:color w:val="000000"/>
          <w:sz w:val="18"/>
          <w:szCs w:val="18"/>
        </w:rPr>
      </w:pPr>
      <w:r>
        <w:rPr>
          <w:rFonts w:ascii="Roboto" w:hAnsi="Roboto"/>
          <w:b/>
          <w:bCs/>
          <w:color w:val="000000"/>
          <w:sz w:val="24"/>
          <w:szCs w:val="24"/>
          <w:u w:val="single"/>
        </w:rPr>
        <w:t>Profile: Analyst Trainee</w:t>
      </w:r>
    </w:p>
    <w:p w14:paraId="36656CA6">
      <w:pPr>
        <w:rPr>
          <w:color w:val="000000"/>
        </w:rPr>
      </w:pPr>
      <w:r>
        <w:rPr>
          <w:color w:val="000000"/>
        </w:rPr>
        <w:t> </w:t>
      </w:r>
    </w:p>
    <w:p w14:paraId="784229C5">
      <w:pPr>
        <w:rPr>
          <w:color w:val="000000"/>
        </w:rPr>
      </w:pPr>
      <w:r>
        <w:rPr>
          <w:color w:val="000000"/>
        </w:rPr>
        <w:t>You will be responsible for executing and managing data operations, business reporting, and process delivery for global clients in the Life Sciences domain. This role involves hands-on work with large datasets, reporting tools, and operational workflows to support business excellence.</w:t>
      </w:r>
    </w:p>
    <w:p w14:paraId="1D495BC9">
      <w:pPr>
        <w:rPr>
          <w:color w:val="000000"/>
        </w:rPr>
      </w:pPr>
      <w:r>
        <w:rPr>
          <w:color w:val="000000"/>
        </w:rPr>
        <w:t> </w:t>
      </w:r>
    </w:p>
    <w:p w14:paraId="2252F32E">
      <w:pPr>
        <w:numPr>
          <w:ilvl w:val="0"/>
          <w:numId w:val="1"/>
        </w:numPr>
        <w:rPr>
          <w:color w:val="000000"/>
        </w:rPr>
      </w:pPr>
      <w:r>
        <w:rPr>
          <w:color w:val="000000"/>
        </w:rPr>
        <w:t>Collaborate with project managers and onshore/client stakeholders to understand requirements and deliver high-quality outputs across agentic and non-agentic solutions.</w:t>
      </w:r>
    </w:p>
    <w:p w14:paraId="6347F849">
      <w:pPr>
        <w:numPr>
          <w:ilvl w:val="0"/>
          <w:numId w:val="1"/>
        </w:numPr>
        <w:rPr>
          <w:color w:val="000000"/>
        </w:rPr>
      </w:pPr>
      <w:r>
        <w:rPr>
          <w:color w:val="000000"/>
        </w:rPr>
        <w:t>Support operations such as data ingestion, ETL workflows, quality checks, and database maintenance.</w:t>
      </w:r>
    </w:p>
    <w:p w14:paraId="5B0CFAC9">
      <w:pPr>
        <w:numPr>
          <w:ilvl w:val="0"/>
          <w:numId w:val="1"/>
        </w:numPr>
        <w:rPr>
          <w:color w:val="000000"/>
        </w:rPr>
      </w:pPr>
      <w:r>
        <w:rPr>
          <w:color w:val="000000"/>
        </w:rPr>
        <w:t>Troubleshoot and resolve data quality, validation, and performance issues to ensure smooth operations.</w:t>
      </w:r>
    </w:p>
    <w:p w14:paraId="1BFDCAF0">
      <w:pPr>
        <w:numPr>
          <w:ilvl w:val="0"/>
          <w:numId w:val="1"/>
        </w:numPr>
        <w:rPr>
          <w:color w:val="000000"/>
        </w:rPr>
      </w:pPr>
      <w:r>
        <w:rPr>
          <w:color w:val="000000"/>
        </w:rPr>
        <w:t>Assist in preparing client-ready reports, forecasts, and presentations with clear, accurate, and concise insights.</w:t>
      </w:r>
    </w:p>
    <w:p w14:paraId="725F0B76">
      <w:pPr>
        <w:numPr>
          <w:ilvl w:val="0"/>
          <w:numId w:val="1"/>
        </w:numPr>
        <w:rPr>
          <w:color w:val="000000"/>
        </w:rPr>
      </w:pPr>
      <w:r>
        <w:rPr>
          <w:color w:val="000000"/>
        </w:rPr>
        <w:t>Contribute to quality control (QC), proof-reading, and validation of analytics/market access documents.</w:t>
      </w:r>
    </w:p>
    <w:p w14:paraId="4347A980">
      <w:pPr>
        <w:numPr>
          <w:ilvl w:val="0"/>
          <w:numId w:val="1"/>
        </w:numPr>
        <w:rPr>
          <w:color w:val="000000"/>
        </w:rPr>
      </w:pPr>
      <w:r>
        <w:rPr>
          <w:color w:val="000000"/>
        </w:rPr>
        <w:t>Participate in automation, process improvement, and capability-building initiatives.</w:t>
      </w:r>
    </w:p>
    <w:p w14:paraId="2F3E6240">
      <w:pPr>
        <w:numPr>
          <w:ilvl w:val="0"/>
          <w:numId w:val="1"/>
        </w:numPr>
        <w:rPr>
          <w:color w:val="000000"/>
        </w:rPr>
      </w:pPr>
      <w:r>
        <w:rPr>
          <w:color w:val="000000"/>
        </w:rPr>
        <w:t>Support automation and continuous improvement initiatives for recurring business processes.</w:t>
      </w:r>
    </w:p>
    <w:p w14:paraId="074C076C">
      <w:pPr>
        <w:numPr>
          <w:ilvl w:val="0"/>
          <w:numId w:val="1"/>
        </w:numPr>
        <w:rPr>
          <w:color w:val="000000"/>
        </w:rPr>
      </w:pPr>
      <w:r>
        <w:rPr>
          <w:color w:val="000000"/>
        </w:rPr>
        <w:t>Collaborate with cross-functional teams to enhance existing BI/Analytics assets.</w:t>
      </w:r>
    </w:p>
    <w:p w14:paraId="0AC5695E">
      <w:pPr>
        <w:numPr>
          <w:ilvl w:val="0"/>
          <w:numId w:val="1"/>
        </w:numPr>
        <w:rPr>
          <w:color w:val="000000"/>
        </w:rPr>
      </w:pPr>
      <w:r>
        <w:rPr>
          <w:color w:val="000000"/>
        </w:rPr>
        <w:t>Ensure accurate documentation and compliance with standard processes.</w:t>
      </w:r>
    </w:p>
    <w:p w14:paraId="5267F84A">
      <w:pPr>
        <w:numPr>
          <w:ilvl w:val="0"/>
          <w:numId w:val="1"/>
        </w:numPr>
        <w:rPr>
          <w:color w:val="000000"/>
        </w:rPr>
      </w:pPr>
      <w:r>
        <w:rPr>
          <w:color w:val="000000"/>
        </w:rPr>
        <w:t>Build strong working relationships with clients by ensuring consistent and timely delivery.</w:t>
      </w:r>
    </w:p>
    <w:p w14:paraId="79AD111C">
      <w:pPr>
        <w:numPr>
          <w:ilvl w:val="0"/>
          <w:numId w:val="1"/>
        </w:numPr>
        <w:rPr>
          <w:color w:val="000000"/>
        </w:rPr>
      </w:pPr>
      <w:r>
        <w:rPr>
          <w:color w:val="000000"/>
        </w:rPr>
        <w:t>Strong analytical thinking, attention to detail, and effective communication skills to collaborate with global stakeholders.</w:t>
      </w:r>
    </w:p>
    <w:p w14:paraId="05F70A0B">
      <w:pPr>
        <w:numPr>
          <w:ilvl w:val="0"/>
          <w:numId w:val="1"/>
        </w:numPr>
      </w:pPr>
      <w:r>
        <w:t>Work on Agentic and Non-Agentic AI Solutions</w:t>
      </w:r>
    </w:p>
    <w:p w14:paraId="6404E367">
      <w:pPr>
        <w:rPr>
          <w:b/>
          <w:bCs/>
        </w:rPr>
      </w:pPr>
    </w:p>
    <w:p w14:paraId="5FE2397D">
      <w:pPr>
        <w:rPr>
          <w:b/>
          <w:bCs/>
        </w:rPr>
      </w:pPr>
      <w:r>
        <w:rPr>
          <w:b/>
          <w:bCs/>
        </w:rPr>
        <w:t>What We Offer</w:t>
      </w:r>
    </w:p>
    <w:p w14:paraId="04C46B26">
      <w:pPr>
        <w:numPr>
          <w:ilvl w:val="0"/>
          <w:numId w:val="2"/>
        </w:numPr>
      </w:pPr>
      <w:r>
        <w:t>A clear career progression path with opportunities to learn industry best practices and gain exposure to global life sciences operations, which will enable growth towards data analyst, operations lead, or client engagement roles.</w:t>
      </w:r>
    </w:p>
    <w:p w14:paraId="074A1688">
      <w:pPr>
        <w:numPr>
          <w:ilvl w:val="0"/>
          <w:numId w:val="2"/>
        </w:numPr>
      </w:pPr>
      <w:r>
        <w:t>Opportunity to contribute to automation and process improvement initiatives, where your work directly reduces manual effort and increases operational efficiency across recurring business processes — giving you hands-on experience in building scalable, future-ready analytics operations</w:t>
      </w:r>
    </w:p>
    <w:p w14:paraId="215E5191">
      <w:pPr>
        <w:numPr>
          <w:ilvl w:val="0"/>
          <w:numId w:val="2"/>
        </w:numPr>
      </w:pPr>
      <w:r>
        <w:t>A collaborative, cross-functional environment where you will work with BI/Analytics, market access, and AI solution teams, gaining broad exposure across domains — from quality control and data validation to Agentic AI solutions — setting a strong foundation for growth into senior analytics or client engagement roles</w:t>
      </w:r>
    </w:p>
    <w:p w14:paraId="22A237DE">
      <w:pPr>
        <w:numPr>
          <w:ilvl w:val="0"/>
          <w:numId w:val="2"/>
        </w:numPr>
      </w:pPr>
      <w:r>
        <w:t>Mentorship and career development opportunities within a collaborative environment.</w:t>
      </w:r>
    </w:p>
    <w:p w14:paraId="4445FFF0">
      <w:pPr>
        <w:numPr>
          <w:ilvl w:val="0"/>
          <w:numId w:val="2"/>
        </w:numPr>
      </w:pPr>
      <w:r>
        <w:t>Exposure to AI/GenAI-enabled delivery models, shaping the future of healthcare analytics</w:t>
      </w:r>
    </w:p>
    <w:p w14:paraId="3E73D161">
      <w:pPr>
        <w:rPr>
          <w:rFonts w:ascii="Calibri" w:hAnsi="Calibri" w:cs="Calibri"/>
          <w:b/>
          <w:bCs/>
          <w:color w:val="000000"/>
        </w:rPr>
      </w:pPr>
    </w:p>
    <w:p w14:paraId="25BF1427">
      <w:pPr>
        <w:rPr>
          <w:rFonts w:ascii="Calibri" w:hAnsi="Calibri" w:cs="Calibri"/>
          <w:color w:val="000000"/>
        </w:rPr>
      </w:pPr>
      <w:r>
        <w:rPr>
          <w:rFonts w:ascii="Calibri" w:hAnsi="Calibri" w:cs="Calibri"/>
          <w:color w:val="000000"/>
        </w:rPr>
        <w:t xml:space="preserve"> </w:t>
      </w:r>
      <w:bookmarkStart w:id="0" w:name="_GoBack"/>
      <w:bookmarkEnd w:id="0"/>
      <w:r>
        <w:rPr>
          <w:rFonts w:ascii="Calibri" w:hAnsi="Calibri" w:cs="Calibri"/>
          <w:b/>
          <w:bCs/>
          <w:color w:val="000000"/>
        </w:rPr>
        <w:t>Job Location:</w:t>
      </w:r>
      <w:r>
        <w:rPr>
          <w:rFonts w:ascii="Calibri" w:hAnsi="Calibri" w:cs="Calibri"/>
          <w:color w:val="000000"/>
        </w:rPr>
        <w:t xml:space="preserve"> - Noida, Gurgaon, Pune, Hyderabad and Bangalore</w:t>
      </w:r>
    </w:p>
    <w:p w14:paraId="63155421">
      <w:pPr>
        <w:rPr>
          <w:rFonts w:ascii="Calibri" w:hAnsi="Calibri" w:cs="Calibri"/>
          <w:color w:val="000000"/>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Roboto">
    <w:altName w:val="Segoe Print"/>
    <w:panose1 w:val="00000000000000000000"/>
    <w:charset w:val="00"/>
    <w:family w:val="auto"/>
    <w:pitch w:val="default"/>
    <w:sig w:usb0="00000000" w:usb1="00000000" w:usb2="00000021" w:usb3="00000000" w:csb0="000001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0D743E"/>
    <w:multiLevelType w:val="multilevel"/>
    <w:tmpl w:val="220D74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3DA52885"/>
    <w:multiLevelType w:val="multilevel"/>
    <w:tmpl w:val="3DA528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315"/>
    <w:rsid w:val="00036D38"/>
    <w:rsid w:val="000414B0"/>
    <w:rsid w:val="0007546D"/>
    <w:rsid w:val="00095431"/>
    <w:rsid w:val="0009598F"/>
    <w:rsid w:val="000C00EB"/>
    <w:rsid w:val="000E70DD"/>
    <w:rsid w:val="001175D3"/>
    <w:rsid w:val="00123459"/>
    <w:rsid w:val="001270F4"/>
    <w:rsid w:val="0018197B"/>
    <w:rsid w:val="00200C71"/>
    <w:rsid w:val="0025235F"/>
    <w:rsid w:val="00275315"/>
    <w:rsid w:val="002B4BF3"/>
    <w:rsid w:val="002B5B17"/>
    <w:rsid w:val="00314A1A"/>
    <w:rsid w:val="003247C3"/>
    <w:rsid w:val="00327F62"/>
    <w:rsid w:val="00330C88"/>
    <w:rsid w:val="0033776E"/>
    <w:rsid w:val="003427ED"/>
    <w:rsid w:val="00356208"/>
    <w:rsid w:val="00371813"/>
    <w:rsid w:val="00377811"/>
    <w:rsid w:val="003810C4"/>
    <w:rsid w:val="003823DC"/>
    <w:rsid w:val="00383155"/>
    <w:rsid w:val="003D635D"/>
    <w:rsid w:val="003E01A6"/>
    <w:rsid w:val="003E314A"/>
    <w:rsid w:val="00420C0A"/>
    <w:rsid w:val="004374D4"/>
    <w:rsid w:val="00440D44"/>
    <w:rsid w:val="004728DA"/>
    <w:rsid w:val="00493B50"/>
    <w:rsid w:val="004B1BAA"/>
    <w:rsid w:val="004C0E2A"/>
    <w:rsid w:val="004E35C4"/>
    <w:rsid w:val="005178D0"/>
    <w:rsid w:val="0052488E"/>
    <w:rsid w:val="00563219"/>
    <w:rsid w:val="00583DC8"/>
    <w:rsid w:val="005B7645"/>
    <w:rsid w:val="005C0688"/>
    <w:rsid w:val="005D2589"/>
    <w:rsid w:val="0062762B"/>
    <w:rsid w:val="00630952"/>
    <w:rsid w:val="00645AA1"/>
    <w:rsid w:val="006E378D"/>
    <w:rsid w:val="0073558C"/>
    <w:rsid w:val="0074443D"/>
    <w:rsid w:val="00755D9F"/>
    <w:rsid w:val="00762A6F"/>
    <w:rsid w:val="007B742F"/>
    <w:rsid w:val="00815BB2"/>
    <w:rsid w:val="00851DEF"/>
    <w:rsid w:val="00880322"/>
    <w:rsid w:val="008A1F09"/>
    <w:rsid w:val="008C17F2"/>
    <w:rsid w:val="009431FD"/>
    <w:rsid w:val="009448C0"/>
    <w:rsid w:val="0095104A"/>
    <w:rsid w:val="00953C98"/>
    <w:rsid w:val="00964769"/>
    <w:rsid w:val="009C350B"/>
    <w:rsid w:val="009C7BA9"/>
    <w:rsid w:val="00AA03C6"/>
    <w:rsid w:val="00AC20D8"/>
    <w:rsid w:val="00AF0B86"/>
    <w:rsid w:val="00B15861"/>
    <w:rsid w:val="00B31B3D"/>
    <w:rsid w:val="00B33B21"/>
    <w:rsid w:val="00B341FF"/>
    <w:rsid w:val="00B40382"/>
    <w:rsid w:val="00B47F7D"/>
    <w:rsid w:val="00B92CAC"/>
    <w:rsid w:val="00BA59AE"/>
    <w:rsid w:val="00BB29ED"/>
    <w:rsid w:val="00BC1F73"/>
    <w:rsid w:val="00BD18E7"/>
    <w:rsid w:val="00BD5D02"/>
    <w:rsid w:val="00BE0C68"/>
    <w:rsid w:val="00BF2053"/>
    <w:rsid w:val="00C204E7"/>
    <w:rsid w:val="00C44888"/>
    <w:rsid w:val="00C7429E"/>
    <w:rsid w:val="00CA08D4"/>
    <w:rsid w:val="00CC171E"/>
    <w:rsid w:val="00CD4524"/>
    <w:rsid w:val="00CF7E44"/>
    <w:rsid w:val="00D52F58"/>
    <w:rsid w:val="00D643CF"/>
    <w:rsid w:val="00D86B3D"/>
    <w:rsid w:val="00DC7511"/>
    <w:rsid w:val="00DD158B"/>
    <w:rsid w:val="00E5164D"/>
    <w:rsid w:val="00E6262C"/>
    <w:rsid w:val="00E83F93"/>
    <w:rsid w:val="00EE21E5"/>
    <w:rsid w:val="00F05EE5"/>
    <w:rsid w:val="00F34B08"/>
    <w:rsid w:val="00FA5408"/>
    <w:rsid w:val="00FE1F21"/>
    <w:rsid w:val="00FF0D3C"/>
    <w:rsid w:val="00FF318B"/>
    <w:rsid w:val="2F101D3D"/>
    <w:rsid w:val="41247A12"/>
    <w:rsid w:val="5456D816"/>
    <w:rsid w:val="67327789"/>
    <w:rsid w:val="6C7C3C32"/>
    <w:rsid w:val="7B555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semiHidden/>
    <w:unhideWhenUsed/>
    <w:qFormat/>
    <w:uiPriority w:val="99"/>
    <w:pPr>
      <w:tabs>
        <w:tab w:val="center" w:pos="4513"/>
        <w:tab w:val="right" w:pos="9026"/>
      </w:tabs>
    </w:pPr>
  </w:style>
  <w:style w:type="paragraph" w:styleId="5">
    <w:name w:val="header"/>
    <w:basedOn w:val="1"/>
    <w:link w:val="10"/>
    <w:semiHidden/>
    <w:unhideWhenUsed/>
    <w:qFormat/>
    <w:uiPriority w:val="99"/>
    <w:pPr>
      <w:tabs>
        <w:tab w:val="center" w:pos="4513"/>
        <w:tab w:val="right" w:pos="9026"/>
      </w:tabs>
    </w:pPr>
  </w:style>
  <w:style w:type="character" w:styleId="6">
    <w:name w:val="Hyperlink"/>
    <w:basedOn w:val="2"/>
    <w:unhideWhenUsed/>
    <w:qFormat/>
    <w:uiPriority w:val="99"/>
    <w:rPr>
      <w:color w:val="0563C1"/>
      <w:u w:val="single"/>
    </w:rPr>
  </w:style>
  <w:style w:type="paragraph" w:styleId="7">
    <w:name w:val="Normal (Web)"/>
    <w:basedOn w:val="1"/>
    <w:unhideWhenUsed/>
    <w:qFormat/>
    <w:uiPriority w:val="99"/>
    <w:pPr>
      <w:spacing w:before="100" w:beforeAutospacing="1" w:after="100" w:afterAutospacing="1"/>
    </w:pPr>
    <w:rPr>
      <w:rFonts w:ascii="Times New Roman" w:hAnsi="Times New Roman" w:eastAsia="Times New Roman" w:cs="Times New Roman"/>
      <w:sz w:val="24"/>
      <w:szCs w:val="24"/>
    </w:rPr>
  </w:style>
  <w:style w:type="paragraph" w:styleId="8">
    <w:name w:val="List Paragraph"/>
    <w:basedOn w:val="1"/>
    <w:qFormat/>
    <w:uiPriority w:val="34"/>
    <w:pPr>
      <w:ind w:left="720"/>
      <w:contextualSpacing/>
    </w:pPr>
    <w:rPr>
      <w:rFonts w:ascii="Calibri" w:hAnsi="Calibri" w:cs="Calibri"/>
    </w:rPr>
  </w:style>
  <w:style w:type="character" w:customStyle="1" w:styleId="9">
    <w:name w:val="Unresolved Mention"/>
    <w:basedOn w:val="2"/>
    <w:semiHidden/>
    <w:unhideWhenUsed/>
    <w:qFormat/>
    <w:uiPriority w:val="99"/>
    <w:rPr>
      <w:color w:val="605E5C"/>
      <w:shd w:val="clear" w:color="auto" w:fill="E1DFDD"/>
    </w:rPr>
  </w:style>
  <w:style w:type="character" w:customStyle="1" w:styleId="10">
    <w:name w:val="Header Char"/>
    <w:basedOn w:val="2"/>
    <w:link w:val="5"/>
    <w:semiHidden/>
    <w:qFormat/>
    <w:uiPriority w:val="99"/>
  </w:style>
  <w:style w:type="character" w:customStyle="1" w:styleId="11">
    <w:name w:val="Footer Char"/>
    <w:basedOn w:val="2"/>
    <w:link w:val="4"/>
    <w:semiHidden/>
    <w:qFormat/>
    <w:uiPriority w:val="99"/>
  </w:style>
  <w:style w:type="character" w:customStyle="1" w:styleId="12">
    <w:name w:val="ui-provider"/>
    <w:basedOn w:val="2"/>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18AA686AC65F54CA4D1431980483AF3" ma:contentTypeVersion="" ma:contentTypeDescription="Create a new document." ma:contentTypeScope="" ma:versionID="51877d3fef58382d51bdbfe8337d4a12">
  <xsd:schema xmlns:xsd="http://www.w3.org/2001/XMLSchema" xmlns:xs="http://www.w3.org/2001/XMLSchema" xmlns:p="http://schemas.microsoft.com/office/2006/metadata/properties" xmlns:ns2="d6339c60-3c0d-489c-9a4f-7c7cd2fc00a7" xmlns:ns3="7ff1a7c9-d7df-4be8-bc28-0a0e94fbf901" targetNamespace="http://schemas.microsoft.com/office/2006/metadata/properties" ma:root="true" ma:fieldsID="56b092ebd2026365517477f03bff68a7" ns2:_="" ns3:_="">
    <xsd:import namespace="d6339c60-3c0d-489c-9a4f-7c7cd2fc00a7"/>
    <xsd:import namespace="7ff1a7c9-d7df-4be8-bc28-0a0e94fbf90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339c60-3c0d-489c-9a4f-7c7cd2fc00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dd99be5-7c64-4704-a0bc-6213c3701f0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f1a7c9-d7df-4be8-bc28-0a0e94fbf901"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315c3b2-3cea-4fef-8afa-18f294d2d779}" ma:internalName="TaxCatchAll" ma:showField="CatchAllData" ma:web="7ff1a7c9-d7df-4be8-bc28-0a0e94fbf9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ff1a7c9-d7df-4be8-bc28-0a0e94fbf901" xsi:nil="true"/>
    <lcf76f155ced4ddcb4097134ff3c332f xmlns="d6339c60-3c0d-489c-9a4f-7c7cd2fc00a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5D5CD6-4CC5-441B-9A22-38B1F9669A3A}">
  <ds:schemaRefs/>
</ds:datastoreItem>
</file>

<file path=customXml/itemProps2.xml><?xml version="1.0" encoding="utf-8"?>
<ds:datastoreItem xmlns:ds="http://schemas.openxmlformats.org/officeDocument/2006/customXml" ds:itemID="{F89BA1D7-2DE8-487C-AED1-4103AF09C098}">
  <ds:schemaRefs/>
</ds:datastoreItem>
</file>

<file path=customXml/itemProps3.xml><?xml version="1.0" encoding="utf-8"?>
<ds:datastoreItem xmlns:ds="http://schemas.openxmlformats.org/officeDocument/2006/customXml" ds:itemID="{E5CE38A7-9654-4454-B94B-4686D80457E5}">
  <ds:schemaRefs/>
</ds:datastoreItem>
</file>

<file path=docProps/app.xml><?xml version="1.0" encoding="utf-8"?>
<Properties xmlns="http://schemas.openxmlformats.org/officeDocument/2006/extended-properties" xmlns:vt="http://schemas.openxmlformats.org/officeDocument/2006/docPropsVTypes">
  <Template>Normal</Template>
  <Pages>2</Pages>
  <Words>509</Words>
  <Characters>3363</Characters>
  <Lines>31</Lines>
  <Paragraphs>8</Paragraphs>
  <TotalTime>298</TotalTime>
  <ScaleCrop>false</ScaleCrop>
  <LinksUpToDate>false</LinksUpToDate>
  <CharactersWithSpaces>3849</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2024-02-05T11:25:00Z</dcterms:created>
  <dc:creator>Siddharth Anand</dc:creator>
  <cp:lastModifiedBy>Neerukattu Srikanth</cp:lastModifiedBy>
  <dcterms:modified xsi:type="dcterms:W3CDTF">2026-07-24T09:31:37Z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0x010100E18AA686AC65F54CA4D1431980483AF3</vt:lpwstr>
  </property>
  <property fmtid="{D5CDD505-2E9C-101B-9397-08002B2CF9AE}" pid="3" name="MediaServiceImageTags">
    <vt:lpwstr/>
  </property>
  <property fmtid="{D5CDD505-2E9C-101B-9397-08002B2CF9AE}" pid="4" name="KSOTemplateDocerSaveRecord">
    <vt:lpwstr>eyJoZGlkIjoiMWQxNDcxNmNiZDAzOWVkMDNjYmMzZTA4YTQwNGQzMDAiLCJ1c2VySWQiOiI1Njc1Mjk2MTgwNjgifQ==</vt:lpwstr>
  </property>
  <property fmtid="{D5CDD505-2E9C-101B-9397-08002B2CF9AE}" pid="5" name="KSOProductBuildVer">
    <vt:lpwstr>1033-12.1.0.27458</vt:lpwstr>
  </property>
  <property fmtid="{D5CDD505-2E9C-101B-9397-08002B2CF9AE}" pid="6" name="ICV">
    <vt:lpwstr>D3BFEDB2B63D4B46ABCA7E09F0CA53D0_12</vt:lpwstr>
  </property>
</Properties>
</file>