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80"/>
        <w:jc w:val="left"/>
      </w:pPr>
      <w:r>
        <w:rPr>
          <w:rFonts w:ascii="Arial" w:cs="Arial" w:eastAsia="Arial" w:hAnsi="Arial"/>
          <w:b/>
          <w:bCs/>
          <w:color w:val="00A8E8"/>
          <w:sz w:val="18"/>
          <w:szCs w:val="18"/>
        </w:rPr>
        <w:t xml:space="preserve">DATA ANALYSIS &amp; MACHINE LEARNING PORTFOLIO</w:t>
      </w:r>
    </w:p>
    <w:p>
      <w:pPr>
        <w:pBdr>
          <w:bottom w:val="single" w:color="0066CC" w:sz="12" w:space="4"/>
        </w:pBdr>
        <w:spacing w:before="0" w:after="60"/>
        <w:jc w:val="left"/>
      </w:pPr>
      <w:r>
        <w:rPr>
          <w:rFonts w:ascii="Arial" w:cs="Arial" w:eastAsia="Arial" w:hAnsi="Arial"/>
          <w:b/>
          <w:bCs/>
          <w:color w:val="0A1628"/>
          <w:sz w:val="52"/>
          <w:szCs w:val="52"/>
        </w:rPr>
        <w:t xml:space="preserve">Financial Fraud Detection</w:t>
      </w:r>
    </w:p>
    <w:p>
      <w:pPr>
        <w:spacing w:before="0" w:after="40"/>
      </w:pPr>
      <w:r>
        <w:t xml:space="preserve"/>
      </w:r>
    </w:p>
    <w:p>
      <w:pPr>
        <w:spacing w:before="0" w:after="80"/>
        <w:jc w:val="left"/>
      </w:pPr>
      <w:r>
        <w:rPr>
          <w:rFonts w:ascii="Arial" w:cs="Arial" w:eastAsia="Arial" w:hAnsi="Arial"/>
          <w:b/>
          <w:bCs/>
          <w:color w:val="0066CC"/>
          <w:sz w:val="28"/>
          <w:szCs w:val="28"/>
        </w:rPr>
        <w:t xml:space="preserve">Model Results Summary &amp; Business Recommendations</w:t>
      </w:r>
    </w:p>
    <w:p>
      <w:pPr>
        <w:spacing w:before="0" w:after="200"/>
        <w:jc w:val="left"/>
      </w:pPr>
      <w:r>
        <w:rPr>
          <w:rFonts w:ascii="Arial" w:cs="Arial" w:eastAsia="Arial" w:hAnsi="Arial"/>
          <w:i/>
          <w:iCs/>
          <w:color w:val="4A5568"/>
          <w:sz w:val="20"/>
          <w:szCs w:val="20"/>
        </w:rPr>
        <w:t xml:space="preserve">PaySim Synthetic Financial Dataset  |  6.36M Transactions  |  4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A1628" w:val="clear"/>
            <w:tcMar>
              <w:top w:type="dxa" w:w="120"/>
              <w:left w:type="dxa" w:w="140"/>
              <w:bottom w:type="dxa" w:w="120"/>
              <w:right w:type="dxa" w:w="140"/>
            </w:tcMar>
          </w:tcPr>
          <w:p>
            <w:pPr>
              <w:spacing w:before="0" w:after="40"/>
              <w:jc w:val="center"/>
            </w:pPr>
            <w:r>
              <w:rPr>
                <w:rFonts w:ascii="Arial" w:cs="Arial" w:eastAsia="Arial" w:hAnsi="Arial"/>
                <w:b/>
                <w:bCs/>
                <w:color w:val="00A8E8"/>
                <w:sz w:val="36"/>
                <w:szCs w:val="36"/>
              </w:rPr>
              <w:t xml:space="preserve">6.36M</w:t>
            </w:r>
          </w:p>
          <w:p>
            <w:pPr>
              <w:spacing w:before="0" w:after="0"/>
              <w:jc w:val="center"/>
            </w:pPr>
            <w:r>
              <w:rPr>
                <w:rFonts w:ascii="Arial" w:cs="Arial" w:eastAsia="Arial" w:hAnsi="Arial"/>
                <w:color w:val="E2E8F0"/>
                <w:sz w:val="16"/>
                <w:szCs w:val="16"/>
              </w:rPr>
              <w:t xml:space="preserve">Total Transactions</w:t>
            </w:r>
          </w:p>
        </w:tc>
        <w:tc>
          <w:tcPr>
            <w:tcW w:type="dxa" w:w="1872"/>
            <w:tcBorders>
              <w:top w:val="none" w:color="FFFFFF" w:sz="0"/>
              <w:left w:val="none" w:color="FFFFFF" w:sz="0"/>
              <w:bottom w:val="none" w:color="FFFFFF" w:sz="0"/>
              <w:right w:val="none" w:color="FFFFFF" w:sz="0"/>
            </w:tcBorders>
            <w:shd w:fill="0A1628" w:val="clear"/>
            <w:tcMar>
              <w:top w:type="dxa" w:w="120"/>
              <w:left w:type="dxa" w:w="140"/>
              <w:bottom w:type="dxa" w:w="120"/>
              <w:right w:type="dxa" w:w="140"/>
            </w:tcMar>
          </w:tcPr>
          <w:p>
            <w:pPr>
              <w:spacing w:before="0" w:after="40"/>
              <w:jc w:val="center"/>
            </w:pPr>
            <w:r>
              <w:rPr>
                <w:rFonts w:ascii="Arial" w:cs="Arial" w:eastAsia="Arial" w:hAnsi="Arial"/>
                <w:b/>
                <w:bCs/>
                <w:color w:val="E74C3C"/>
                <w:sz w:val="36"/>
                <w:szCs w:val="36"/>
              </w:rPr>
              <w:t xml:space="preserve">8,213</w:t>
            </w:r>
          </w:p>
          <w:p>
            <w:pPr>
              <w:spacing w:before="0" w:after="0"/>
              <w:jc w:val="center"/>
            </w:pPr>
            <w:r>
              <w:rPr>
                <w:rFonts w:ascii="Arial" w:cs="Arial" w:eastAsia="Arial" w:hAnsi="Arial"/>
                <w:color w:val="E2E8F0"/>
                <w:sz w:val="16"/>
                <w:szCs w:val="16"/>
              </w:rPr>
              <w:t xml:space="preserve">Fraud Cases</w:t>
            </w:r>
          </w:p>
        </w:tc>
        <w:tc>
          <w:tcPr>
            <w:tcW w:type="dxa" w:w="1872"/>
            <w:tcBorders>
              <w:top w:val="none" w:color="FFFFFF" w:sz="0"/>
              <w:left w:val="none" w:color="FFFFFF" w:sz="0"/>
              <w:bottom w:val="none" w:color="FFFFFF" w:sz="0"/>
              <w:right w:val="none" w:color="FFFFFF" w:sz="0"/>
            </w:tcBorders>
            <w:shd w:fill="0A1628" w:val="clear"/>
            <w:tcMar>
              <w:top w:type="dxa" w:w="120"/>
              <w:left w:type="dxa" w:w="140"/>
              <w:bottom w:type="dxa" w:w="120"/>
              <w:right w:type="dxa" w:w="140"/>
            </w:tcMar>
          </w:tcPr>
          <w:p>
            <w:pPr>
              <w:spacing w:before="0" w:after="40"/>
              <w:jc w:val="center"/>
            </w:pPr>
            <w:r>
              <w:rPr>
                <w:rFonts w:ascii="Arial" w:cs="Arial" w:eastAsia="Arial" w:hAnsi="Arial"/>
                <w:b/>
                <w:bCs/>
                <w:color w:val="B7860B"/>
                <w:sz w:val="36"/>
                <w:szCs w:val="36"/>
              </w:rPr>
              <w:t xml:space="preserve">0.13%</w:t>
            </w:r>
          </w:p>
          <w:p>
            <w:pPr>
              <w:spacing w:before="0" w:after="0"/>
              <w:jc w:val="center"/>
            </w:pPr>
            <w:r>
              <w:rPr>
                <w:rFonts w:ascii="Arial" w:cs="Arial" w:eastAsia="Arial" w:hAnsi="Arial"/>
                <w:color w:val="E2E8F0"/>
                <w:sz w:val="16"/>
                <w:szCs w:val="16"/>
              </w:rPr>
              <w:t xml:space="preserve">Fraud Rate</w:t>
            </w:r>
          </w:p>
        </w:tc>
        <w:tc>
          <w:tcPr>
            <w:tcW w:type="dxa" w:w="1872"/>
            <w:tcBorders>
              <w:top w:val="none" w:color="FFFFFF" w:sz="0"/>
              <w:left w:val="none" w:color="FFFFFF" w:sz="0"/>
              <w:bottom w:val="none" w:color="FFFFFF" w:sz="0"/>
              <w:right w:val="none" w:color="FFFFFF" w:sz="0"/>
            </w:tcBorders>
            <w:shd w:fill="0A1628" w:val="clear"/>
            <w:tcMar>
              <w:top w:type="dxa" w:w="120"/>
              <w:left w:type="dxa" w:w="140"/>
              <w:bottom w:type="dxa" w:w="120"/>
              <w:right w:type="dxa" w:w="140"/>
            </w:tcMar>
          </w:tcPr>
          <w:p>
            <w:pPr>
              <w:spacing w:before="0" w:after="40"/>
              <w:jc w:val="center"/>
            </w:pPr>
            <w:r>
              <w:rPr>
                <w:rFonts w:ascii="Arial" w:cs="Arial" w:eastAsia="Arial" w:hAnsi="Arial"/>
                <w:b/>
                <w:bCs/>
                <w:color w:val="2ECC71"/>
                <w:sz w:val="36"/>
                <w:szCs w:val="36"/>
              </w:rPr>
              <w:t xml:space="preserve">0.9987</w:t>
            </w:r>
          </w:p>
          <w:p>
            <w:pPr>
              <w:spacing w:before="0" w:after="0"/>
              <w:jc w:val="center"/>
            </w:pPr>
            <w:r>
              <w:rPr>
                <w:rFonts w:ascii="Arial" w:cs="Arial" w:eastAsia="Arial" w:hAnsi="Arial"/>
                <w:color w:val="E2E8F0"/>
                <w:sz w:val="16"/>
                <w:szCs w:val="16"/>
              </w:rPr>
              <w:t xml:space="preserve">Best ROC-AUC</w:t>
            </w:r>
          </w:p>
        </w:tc>
        <w:tc>
          <w:tcPr>
            <w:tcW w:type="dxa" w:w="1872"/>
            <w:tcBorders>
              <w:top w:val="none" w:color="FFFFFF" w:sz="0"/>
              <w:left w:val="none" w:color="FFFFFF" w:sz="0"/>
              <w:bottom w:val="none" w:color="FFFFFF" w:sz="0"/>
              <w:right w:val="none" w:color="FFFFFF" w:sz="0"/>
            </w:tcBorders>
            <w:shd w:fill="0A1628" w:val="clear"/>
            <w:tcMar>
              <w:top w:type="dxa" w:w="120"/>
              <w:left w:type="dxa" w:w="140"/>
              <w:bottom w:type="dxa" w:w="120"/>
              <w:right w:type="dxa" w:w="140"/>
            </w:tcMar>
          </w:tcPr>
          <w:p>
            <w:pPr>
              <w:spacing w:before="0" w:after="40"/>
              <w:jc w:val="center"/>
            </w:pPr>
            <w:r>
              <w:rPr>
                <w:rFonts w:ascii="Arial" w:cs="Arial" w:eastAsia="Arial" w:hAnsi="Arial"/>
                <w:b/>
                <w:bCs/>
                <w:color w:val="00A8E8"/>
                <w:sz w:val="36"/>
                <w:szCs w:val="36"/>
              </w:rPr>
              <w:t xml:space="preserve">89.1%</w:t>
            </w:r>
          </w:p>
          <w:p>
            <w:pPr>
              <w:spacing w:before="0" w:after="0"/>
              <w:jc w:val="center"/>
            </w:pPr>
            <w:r>
              <w:rPr>
                <w:rFonts w:ascii="Arial" w:cs="Arial" w:eastAsia="Arial" w:hAnsi="Arial"/>
                <w:color w:val="E2E8F0"/>
                <w:sz w:val="16"/>
                <w:szCs w:val="16"/>
              </w:rPr>
              <w:t xml:space="preserve">Fraud Detected</w:t>
            </w:r>
          </w:p>
        </w:tc>
      </w:tr>
    </w:tbl>
    <w:p>
      <w:pPr>
        <w:spacing w:before="0" w:after="160"/>
      </w:pPr>
      <w:r>
        <w:t xml:space="preserve"/>
      </w:r>
    </w:p>
    <w:p>
      <w:pPr>
        <w:pBdr>
          <w:bottom w:val="single" w:color="0066CC" w:sz="8" w:space="1"/>
        </w:pBdr>
        <w:spacing w:before="60" w:after="60"/>
      </w:pPr>
      <w:r>
        <w:t xml:space="preserve"/>
      </w:r>
    </w:p>
    <w:p>
      <w:pPr>
        <w:spacing w:before="0" w:after="80"/>
      </w:pPr>
      <w:r>
        <w:t xml:space="preserve"/>
      </w:r>
    </w:p>
    <w:p>
      <w:pPr>
        <w:pStyle w:val="Heading1"/>
        <w:spacing w:before="240" w:after="120"/>
      </w:pPr>
      <w:r>
        <w:rPr>
          <w:rFonts w:ascii="Arial" w:cs="Arial" w:eastAsia="Arial" w:hAnsi="Arial"/>
          <w:b/>
          <w:bCs/>
          <w:color w:val="0A1628"/>
          <w:sz w:val="28"/>
          <w:szCs w:val="28"/>
        </w:rPr>
        <w:t xml:space="preserve">1. Executive Summary</w:t>
      </w:r>
    </w:p>
    <w:p>
      <w:pPr>
        <w:spacing w:before="0" w:after="100"/>
        <w:jc w:val="left"/>
      </w:pPr>
      <w:r>
        <w:rPr>
          <w:rFonts w:ascii="Arial" w:cs="Arial" w:eastAsia="Arial" w:hAnsi="Arial"/>
          <w:b w:val="false"/>
          <w:bCs w:val="false"/>
          <w:color w:val="1A1A2E"/>
          <w:sz w:val="20"/>
          <w:szCs w:val="20"/>
        </w:rPr>
        <w:t xml:space="preserve">This report presents the complete results of an end-to-end machine learning project for detecting financial fraud in mobile money transactions using the PaySim synthetic dataset. Four models were trained and evaluated across 6.36 million transactions spanning 30 days of simulated activity.</w:t>
      </w:r>
    </w:p>
    <w:p>
      <w:pPr>
        <w:spacing w:before="0" w:after="100"/>
        <w:jc w:val="left"/>
      </w:pPr>
      <w:r>
        <w:rPr>
          <w:rFonts w:ascii="Arial" w:cs="Arial" w:eastAsia="Arial" w:hAnsi="Arial"/>
          <w:b w:val="false"/>
          <w:bCs w:val="false"/>
          <w:color w:val="1A1A2E"/>
          <w:sz w:val="20"/>
          <w:szCs w:val="20"/>
        </w:rPr>
        <w:t xml:space="preserve">The best-performing model, LightGBM, achieves a ROC-AUC of 0.9987 and detects 89.1% of fraudulent transactions at a 0.30 decision threshold. This translates to an estimated net financial benefit of over $6.26 billion at PaySim scale, compared to no-detection baseline.</w:t>
      </w:r>
    </w:p>
    <w:p>
      <w:pPr>
        <w:spacing w:before="0" w:after="80"/>
      </w:pPr>
      <w:r>
        <w:t xml:space="preserve"/>
      </w:r>
    </w:p>
    <w:p>
      <w:pPr>
        <w:pStyle w:val="Heading2"/>
        <w:pBdr>
          <w:bottom w:val="single" w:color="0066CC" w:sz="6" w:space="1"/>
        </w:pBdr>
        <w:spacing w:before="200" w:after="100"/>
      </w:pPr>
      <w:r>
        <w:rPr>
          <w:rFonts w:ascii="Arial" w:cs="Arial" w:eastAsia="Arial" w:hAnsi="Arial"/>
          <w:b/>
          <w:bCs/>
          <w:color w:val="0066CC"/>
          <w:sz w:val="22"/>
          <w:szCs w:val="22"/>
        </w:rPr>
        <w:t xml:space="preserve">Key Findings</w:t>
      </w:r>
    </w:p>
    <w:p>
      <w:pPr>
        <w:pStyle w:val="ListParagraph"/>
        <w:numPr>
          <w:ilvl w:val="0"/>
          <w:numId w:val="2"/>
        </w:numPr>
        <w:spacing w:before="40" w:after="60"/>
      </w:pPr>
      <w:r>
        <w:rPr>
          <w:rFonts w:ascii="Arial" w:cs="Arial" w:eastAsia="Arial" w:hAnsi="Arial"/>
          <w:color w:val="1A1A2E"/>
          <w:sz w:val="20"/>
          <w:szCs w:val="20"/>
        </w:rPr>
        <w:t xml:space="preserve">Fraud occurs exclusively in TRANSFER and CASH-OUT transaction types</w:t>
      </w:r>
    </w:p>
    <w:p>
      <w:pPr>
        <w:pStyle w:val="ListParagraph"/>
        <w:numPr>
          <w:ilvl w:val="0"/>
          <w:numId w:val="2"/>
        </w:numPr>
        <w:spacing w:before="40" w:after="60"/>
      </w:pPr>
      <w:r>
        <w:rPr>
          <w:rFonts w:ascii="Arial" w:cs="Arial" w:eastAsia="Arial" w:hAnsi="Arial"/>
          <w:color w:val="1A1A2E"/>
          <w:sz w:val="20"/>
          <w:szCs w:val="20"/>
        </w:rPr>
        <w:t xml:space="preserve">Engineered features (balance discrepancy, account draining) outperform raw features</w:t>
      </w:r>
    </w:p>
    <w:p>
      <w:pPr>
        <w:pStyle w:val="ListParagraph"/>
        <w:numPr>
          <w:ilvl w:val="0"/>
          <w:numId w:val="2"/>
        </w:numPr>
        <w:spacing w:before="40" w:after="60"/>
      </w:pPr>
      <w:r>
        <w:rPr>
          <w:rFonts w:ascii="Arial" w:cs="Arial" w:eastAsia="Arial" w:hAnsi="Arial"/>
          <w:color w:val="1A1A2E"/>
          <w:sz w:val="20"/>
          <w:szCs w:val="20"/>
        </w:rPr>
        <w:t xml:space="preserve">SMOTE oversampling combined with class weighting effectively handles 0.13% fraud rate</w:t>
      </w:r>
    </w:p>
    <w:p>
      <w:pPr>
        <w:pStyle w:val="ListParagraph"/>
        <w:numPr>
          <w:ilvl w:val="0"/>
          <w:numId w:val="2"/>
        </w:numPr>
        <w:spacing w:before="40" w:after="60"/>
      </w:pPr>
      <w:r>
        <w:rPr>
          <w:rFonts w:ascii="Arial" w:cs="Arial" w:eastAsia="Arial" w:hAnsi="Arial"/>
          <w:color w:val="1A1A2E"/>
          <w:sz w:val="20"/>
          <w:szCs w:val="20"/>
        </w:rPr>
        <w:t xml:space="preserve">Threshold tuning from 0.50 to 0.30 increases fraud detection by ~15% with manageable false alarm increase</w:t>
      </w:r>
    </w:p>
    <w:p>
      <w:pPr>
        <w:pStyle w:val="ListParagraph"/>
        <w:numPr>
          <w:ilvl w:val="0"/>
          <w:numId w:val="2"/>
        </w:numPr>
        <w:spacing w:before="40" w:after="60"/>
      </w:pPr>
      <w:r>
        <w:rPr>
          <w:rFonts w:ascii="Arial" w:cs="Arial" w:eastAsia="Arial" w:hAnsi="Arial"/>
          <w:color w:val="1A1A2E"/>
          <w:sz w:val="20"/>
          <w:szCs w:val="20"/>
        </w:rPr>
        <w:t xml:space="preserve">LightGBM outperforms XGBoost, Random Forest, and Logistic Regression on all key metrics</w:t>
      </w:r>
    </w:p>
    <w:p>
      <w:pPr>
        <w:spacing w:before="0" w:after="120"/>
      </w:pPr>
      <w:r>
        <w:t xml:space="preserve"/>
      </w:r>
    </w:p>
    <w:p>
      <w:pPr>
        <w:pStyle w:val="Heading1"/>
        <w:spacing w:before="240" w:after="120"/>
      </w:pPr>
      <w:r>
        <w:rPr>
          <w:rFonts w:ascii="Arial" w:cs="Arial" w:eastAsia="Arial" w:hAnsi="Arial"/>
          <w:b/>
          <w:bCs/>
          <w:color w:val="0A1628"/>
          <w:sz w:val="28"/>
          <w:szCs w:val="28"/>
        </w:rP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Attribute</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Value</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Attribute</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Value</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Source</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PaySim1 — Kaggle</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Fraud Rate</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C0392B"/>
                <w:sz w:val="18"/>
                <w:szCs w:val="18"/>
              </w:rPr>
              <w:t xml:space="preserve">0.1293%</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Total Rows</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6,362,620</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Fraud Cases</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C0392B"/>
                <w:sz w:val="18"/>
                <w:szCs w:val="18"/>
              </w:rPr>
              <w:t xml:space="preserve">8,213</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Raw Features</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11</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Engineered Features</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066CC"/>
                <w:sz w:val="18"/>
                <w:szCs w:val="18"/>
              </w:rPr>
              <w:t xml:space="preserve">24+</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Simulation Period</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30 days (744 hours)</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Fraud Tx Types</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C0392B"/>
                <w:sz w:val="18"/>
                <w:szCs w:val="18"/>
              </w:rPr>
              <w:t xml:space="preserve">TRANSFER, CASH-OUT</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Avg Fraud Amount</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$856,000</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Total Fraud Value</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C0392B"/>
                <w:sz w:val="18"/>
                <w:szCs w:val="18"/>
              </w:rPr>
              <w:t xml:space="preserve">$7.03 Billion</w:t>
            </w:r>
          </w:p>
        </w:tc>
      </w:tr>
    </w:tbl>
    <w:p>
      <w:pPr>
        <w:spacing w:before="0" w:after="80"/>
      </w:pPr>
      <w:r>
        <w:t xml:space="preserve"/>
      </w:r>
    </w:p>
    <w:p>
      <w:pPr>
        <w:pStyle w:val="Heading2"/>
        <w:pBdr>
          <w:bottom w:val="single" w:color="0066CC" w:sz="6" w:space="1"/>
        </w:pBdr>
        <w:spacing w:before="200" w:after="100"/>
      </w:pPr>
      <w:r>
        <w:rPr>
          <w:rFonts w:ascii="Arial" w:cs="Arial" w:eastAsia="Arial" w:hAnsi="Arial"/>
          <w:b/>
          <w:bCs/>
          <w:color w:val="0066CC"/>
          <w:sz w:val="22"/>
          <w:szCs w:val="22"/>
        </w:rPr>
        <w:t xml:space="preserve">EDA Key Insights</w:t>
      </w:r>
    </w:p>
    <w:p>
      <w:pPr>
        <w:pStyle w:val="ListParagraph"/>
        <w:numPr>
          <w:ilvl w:val="0"/>
          <w:numId w:val="2"/>
        </w:numPr>
        <w:spacing w:before="40" w:after="60"/>
      </w:pPr>
      <w:r>
        <w:rPr>
          <w:rFonts w:ascii="Arial" w:cs="Arial" w:eastAsia="Arial" w:hAnsi="Arial"/>
          <w:color w:val="1A1A2E"/>
          <w:sz w:val="20"/>
          <w:szCs w:val="20"/>
        </w:rPr>
        <w:t xml:space="preserve">Class imbalance is severe — only 0.13% of transactions are fraudulent, requiring SMOTE + class weighting</w:t>
      </w:r>
    </w:p>
    <w:p>
      <w:pPr>
        <w:pStyle w:val="ListParagraph"/>
        <w:numPr>
          <w:ilvl w:val="0"/>
          <w:numId w:val="2"/>
        </w:numPr>
        <w:spacing w:before="40" w:after="60"/>
      </w:pPr>
      <w:r>
        <w:rPr>
          <w:rFonts w:ascii="Arial" w:cs="Arial" w:eastAsia="Arial" w:hAnsi="Arial"/>
          <w:color w:val="1A1A2E"/>
          <w:sz w:val="20"/>
          <w:szCs w:val="20"/>
        </w:rPr>
        <w:t xml:space="preserve">Fraud is exclusively limited to TRANSFER and CASH-OUT transaction types (100% of all fraud)</w:t>
      </w:r>
    </w:p>
    <w:p>
      <w:pPr>
        <w:pStyle w:val="ListParagraph"/>
        <w:numPr>
          <w:ilvl w:val="0"/>
          <w:numId w:val="2"/>
        </w:numPr>
        <w:spacing w:before="40" w:after="60"/>
      </w:pPr>
      <w:r>
        <w:rPr>
          <w:rFonts w:ascii="Arial" w:cs="Arial" w:eastAsia="Arial" w:hAnsi="Arial"/>
          <w:color w:val="1A1A2E"/>
          <w:sz w:val="20"/>
          <w:szCs w:val="20"/>
        </w:rPr>
        <w:t xml:space="preserve">Fraud transaction amounts skew significantly higher than legitimate transactions</w:t>
      </w:r>
    </w:p>
    <w:p>
      <w:pPr>
        <w:pStyle w:val="ListParagraph"/>
        <w:numPr>
          <w:ilvl w:val="0"/>
          <w:numId w:val="2"/>
        </w:numPr>
        <w:spacing w:before="40" w:after="60"/>
      </w:pPr>
      <w:r>
        <w:rPr>
          <w:rFonts w:ascii="Arial" w:cs="Arial" w:eastAsia="Arial" w:hAnsi="Arial"/>
          <w:color w:val="1A1A2E"/>
          <w:sz w:val="20"/>
          <w:szCs w:val="20"/>
        </w:rPr>
        <w:t xml:space="preserve">Account draining (balance dropping to $0) is present in the majority of fraud cases</w:t>
      </w:r>
    </w:p>
    <w:p>
      <w:pPr>
        <w:pStyle w:val="ListParagraph"/>
        <w:numPr>
          <w:ilvl w:val="0"/>
          <w:numId w:val="2"/>
        </w:numPr>
        <w:spacing w:before="40" w:after="60"/>
      </w:pPr>
      <w:r>
        <w:rPr>
          <w:rFonts w:ascii="Arial" w:cs="Arial" w:eastAsia="Arial" w:hAnsi="Arial"/>
          <w:color w:val="1A1A2E"/>
          <w:sz w:val="20"/>
          <w:szCs w:val="20"/>
        </w:rPr>
        <w:t xml:space="preserve">Late-night hours (10PM-5AM) show slightly elevated fraud rates compared to daytime</w:t>
      </w:r>
    </w:p>
    <w:p>
      <w:pPr>
        <w:pStyle w:val="ListParagraph"/>
        <w:numPr>
          <w:ilvl w:val="0"/>
          <w:numId w:val="2"/>
        </w:numPr>
        <w:spacing w:before="40" w:after="60"/>
      </w:pPr>
      <w:r>
        <w:rPr>
          <w:rFonts w:ascii="Arial" w:cs="Arial" w:eastAsia="Arial" w:hAnsi="Arial"/>
          <w:color w:val="1A1A2E"/>
          <w:sz w:val="20"/>
          <w:szCs w:val="20"/>
        </w:rPr>
        <w:t xml:space="preserve">Balance discrepancies between expected and actual post-transaction balances are strong fraud signals</w:t>
      </w:r>
    </w:p>
    <w:p>
      <w:pPr>
        <w:spacing w:before="0" w:after="120"/>
      </w:pPr>
      <w:r>
        <w:t xml:space="preserve"/>
      </w:r>
    </w:p>
    <w:p>
      <w:pPr>
        <w:pStyle w:val="Heading1"/>
        <w:spacing w:before="240" w:after="120"/>
      </w:pPr>
      <w:r>
        <w:rPr>
          <w:rFonts w:ascii="Arial" w:cs="Arial" w:eastAsia="Arial" w:hAnsi="Arial"/>
          <w:b/>
          <w:bCs/>
          <w:color w:val="0A1628"/>
          <w:sz w:val="28"/>
          <w:szCs w:val="28"/>
        </w:rPr>
        <w:t xml:space="preserve">3. Feature Engineering</w:t>
      </w:r>
    </w:p>
    <w:p>
      <w:pPr>
        <w:spacing w:before="0" w:after="100"/>
        <w:jc w:val="left"/>
      </w:pPr>
      <w:r>
        <w:rPr>
          <w:rFonts w:ascii="Arial" w:cs="Arial" w:eastAsia="Arial" w:hAnsi="Arial"/>
          <w:b w:val="false"/>
          <w:bCs w:val="false"/>
          <w:color w:val="1A1A2E"/>
          <w:sz w:val="20"/>
          <w:szCs w:val="20"/>
        </w:rPr>
        <w:t xml:space="preserve">13 new features were engineered from the 11 raw PaySim columns. Domain knowledge about how fraud operates in mobile money systems guided feature creation.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Feature Group</w:t>
            </w:r>
          </w:p>
        </w:tc>
        <w:tc>
          <w:tcPr>
            <w:tcW w:type="dxa" w:w="376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Features Created</w:t>
            </w:r>
          </w:p>
        </w:tc>
        <w:tc>
          <w:tcPr>
            <w:tcW w:type="dxa" w:w="34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Fraud Signal</w:t>
            </w:r>
          </w:p>
        </w:tc>
      </w:tr>
      <w:tr>
        <w:tc>
          <w:tcPr>
            <w:tcW w:type="dxa" w:w="22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Balance Discrepancy</w:t>
            </w:r>
          </w:p>
        </w:tc>
        <w:tc>
          <w:tcPr>
            <w:tcW w:type="dxa" w:w="376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orig_balance_discrepancy, dest_balance_discrepancy</w:t>
            </w:r>
          </w:p>
        </w:tc>
        <w:tc>
          <w:tcPr>
            <w:tcW w:type="dxa" w:w="34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Mismatch reveals hidden fund movement</w:t>
            </w:r>
          </w:p>
        </w:tc>
      </w:tr>
      <w:tr>
        <w:tc>
          <w:tcPr>
            <w:tcW w:type="dxa" w:w="2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Balance Ratios</w:t>
            </w:r>
          </w:p>
        </w:tc>
        <w:tc>
          <w:tcPr>
            <w:tcW w:type="dxa" w:w="376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amount_to_orig_balance_ratio, amount_to_dest_balance_ratio</w:t>
            </w:r>
          </w:p>
        </w:tc>
        <w:tc>
          <w:tcPr>
            <w:tcW w:type="dxa" w:w="34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Large fraction of balance is suspicious</w:t>
            </w:r>
          </w:p>
        </w:tc>
      </w:tr>
      <w:tr>
        <w:tc>
          <w:tcPr>
            <w:tcW w:type="dxa" w:w="22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Zero-Balance Flags</w:t>
            </w:r>
          </w:p>
        </w:tc>
        <w:tc>
          <w:tcPr>
            <w:tcW w:type="dxa" w:w="376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zero_balance_after_orig, account_drained</w:t>
            </w:r>
          </w:p>
        </w:tc>
        <w:tc>
          <w:tcPr>
            <w:tcW w:type="dxa" w:w="34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Complete account draining = strong signal</w:t>
            </w:r>
          </w:p>
        </w:tc>
      </w:tr>
      <w:tr>
        <w:tc>
          <w:tcPr>
            <w:tcW w:type="dxa" w:w="2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Temporal Features</w:t>
            </w:r>
          </w:p>
        </w:tc>
        <w:tc>
          <w:tcPr>
            <w:tcW w:type="dxa" w:w="376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hour_of_day, is_night, is_weekend, day_of_simulation</w:t>
            </w:r>
          </w:p>
        </w:tc>
        <w:tc>
          <w:tcPr>
            <w:tcW w:type="dxa" w:w="34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Fraud spikes in off-hours and weekends</w:t>
            </w:r>
          </w:p>
        </w:tc>
      </w:tr>
      <w:tr>
        <w:tc>
          <w:tcPr>
            <w:tcW w:type="dxa" w:w="22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Type Encoding</w:t>
            </w:r>
          </w:p>
        </w:tc>
        <w:tc>
          <w:tcPr>
            <w:tcW w:type="dxa" w:w="376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is_high_risk_type, one-hot type dummies</w:t>
            </w:r>
          </w:p>
        </w:tc>
        <w:tc>
          <w:tcPr>
            <w:tcW w:type="dxa" w:w="34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Only TRANSFER / CASH-OUT contain fraud</w:t>
            </w:r>
          </w:p>
        </w:tc>
      </w:tr>
      <w:tr>
        <w:tc>
          <w:tcPr>
            <w:tcW w:type="dxa" w:w="2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Amount Features</w:t>
            </w:r>
          </w:p>
        </w:tc>
        <w:tc>
          <w:tcPr>
            <w:tcW w:type="dxa" w:w="376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log_amount, is_round_amount, is_large_transaction</w:t>
            </w:r>
          </w:p>
        </w:tc>
        <w:tc>
          <w:tcPr>
            <w:tcW w:type="dxa" w:w="34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4A5568"/>
                <w:sz w:val="18"/>
                <w:szCs w:val="18"/>
              </w:rPr>
              <w:t xml:space="preserve">Round numbers and outliers signal fraud</w:t>
            </w:r>
          </w:p>
        </w:tc>
      </w:tr>
    </w:tbl>
    <w:p>
      <w:pPr>
        <w:spacing w:before="0" w:after="80"/>
      </w:pPr>
      <w:r>
        <w:t xml:space="preserve"/>
      </w:r>
    </w:p>
    <w:p>
      <w:pPr>
        <w:pStyle w:val="Heading2"/>
        <w:pBdr>
          <w:bottom w:val="single" w:color="0066CC" w:sz="6" w:space="1"/>
        </w:pBdr>
        <w:spacing w:before="200" w:after="100"/>
      </w:pPr>
      <w:r>
        <w:rPr>
          <w:rFonts w:ascii="Arial" w:cs="Arial" w:eastAsia="Arial" w:hAnsi="Arial"/>
          <w:b/>
          <w:bCs/>
          <w:color w:val="0066CC"/>
          <w:sz w:val="22"/>
          <w:szCs w:val="22"/>
        </w:rPr>
        <w:t xml:space="preserve">Top Feature Importances (LightGBM)</w:t>
      </w:r>
    </w:p>
    <w:p>
      <w:pPr>
        <w:spacing w:before="0" w:after="80"/>
        <w:jc w:val="left"/>
      </w:pPr>
      <w:r>
        <w:rPr>
          <w:rFonts w:ascii="Arial" w:cs="Arial" w:eastAsia="Arial" w:hAnsi="Arial"/>
          <w:b w:val="false"/>
          <w:bCs w:val="false"/>
          <w:color w:val="4A5568"/>
          <w:sz w:val="18"/>
          <w:szCs w:val="18"/>
        </w:rPr>
        <w:t xml:space="preserve">Feature importance scores normalised to sum to 1.0. Engineered features dominate the top rankings.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Feature</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Importance Score</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Rank</w:t>
            </w:r>
          </w:p>
        </w:tc>
      </w:tr>
      <w:tr>
        <w:tc>
          <w:tcPr>
            <w:tcW w:type="dxa" w:w="4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orig_balance_discrepancy</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0.182</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#1</w:t>
            </w:r>
          </w:p>
        </w:tc>
      </w:tr>
      <w:tr>
        <w:tc>
          <w:tcPr>
            <w:tcW w:type="dxa" w:w="46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dest_balance_discrepancy</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0.163</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#2</w:t>
            </w:r>
          </w:p>
        </w:tc>
      </w:tr>
      <w:tr>
        <w:tc>
          <w:tcPr>
            <w:tcW w:type="dxa" w:w="4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amount_to_orig_balance_ratio</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0.141</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w:t>
            </w:r>
          </w:p>
        </w:tc>
      </w:tr>
      <w:tr>
        <w:tc>
          <w:tcPr>
            <w:tcW w:type="dxa" w:w="46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account_drained</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0.118</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#4</w:t>
            </w:r>
          </w:p>
        </w:tc>
      </w:tr>
      <w:tr>
        <w:tc>
          <w:tcPr>
            <w:tcW w:type="dxa" w:w="4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zero_balance_after_orig</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0.092</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#5</w:t>
            </w:r>
          </w:p>
        </w:tc>
      </w:tr>
      <w:tr>
        <w:tc>
          <w:tcPr>
            <w:tcW w:type="dxa" w:w="46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log_amount</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0.078</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#6</w:t>
            </w:r>
          </w:p>
        </w:tc>
      </w:tr>
      <w:tr>
        <w:tc>
          <w:tcPr>
            <w:tcW w:type="dxa" w:w="4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is_high_risk_type</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0.064</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#7</w:t>
            </w:r>
          </w:p>
        </w:tc>
      </w:tr>
      <w:tr>
        <w:tc>
          <w:tcPr>
            <w:tcW w:type="dxa" w:w="46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balance_diff_orig</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0066CC"/>
                <w:sz w:val="18"/>
                <w:szCs w:val="18"/>
              </w:rPr>
              <w:t xml:space="preserve">0.051</w:t>
            </w:r>
          </w:p>
        </w:tc>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#8</w:t>
            </w:r>
          </w:p>
        </w:tc>
      </w:tr>
    </w:tbl>
    <w:p>
      <w:pPr>
        <w:spacing w:before="0" w:after="120"/>
      </w:pPr>
      <w:r>
        <w:t xml:space="preserve"/>
      </w:r>
    </w:p>
    <w:p>
      <w:pPr>
        <w:pStyle w:val="Heading1"/>
        <w:spacing w:before="240" w:after="120"/>
      </w:pPr>
      <w:r>
        <w:rPr>
          <w:rFonts w:ascii="Arial" w:cs="Arial" w:eastAsia="Arial" w:hAnsi="Arial"/>
          <w:b/>
          <w:bCs/>
          <w:color w:val="0A1628"/>
          <w:sz w:val="28"/>
          <w:szCs w:val="28"/>
        </w:rPr>
        <w:t xml:space="preserve">4. Model Performance Results</w:t>
      </w:r>
    </w:p>
    <w:p>
      <w:pPr>
        <w:spacing w:before="0" w:after="100"/>
        <w:jc w:val="left"/>
      </w:pPr>
      <w:r>
        <w:rPr>
          <w:rFonts w:ascii="Arial" w:cs="Arial" w:eastAsia="Arial" w:hAnsi="Arial"/>
          <w:b w:val="false"/>
          <w:bCs w:val="false"/>
          <w:color w:val="1A1A2E"/>
          <w:sz w:val="20"/>
          <w:szCs w:val="20"/>
        </w:rPr>
        <w:t xml:space="preserve">All models were trained on a 20% stratified sample (~1.27M rows) with SMOTE oversampling applied exclusively to the training set. Test set evaluation used a held-out 20% split. Primary evaluation metric is ROC-AUC due to severe class imbalance.</w:t>
      </w:r>
    </w:p>
    <w:p>
      <w:pPr>
        <w:spacing w:before="0" w:after="80"/>
      </w:pPr>
      <w:r>
        <w:t xml:space="preserve"/>
      </w:r>
    </w:p>
    <w:p>
      <w:pPr>
        <w:pStyle w:val="Heading2"/>
        <w:pBdr>
          <w:bottom w:val="single" w:color="0066CC" w:sz="6" w:space="1"/>
        </w:pBdr>
        <w:spacing w:before="200" w:after="100"/>
      </w:pPr>
      <w:r>
        <w:rPr>
          <w:rFonts w:ascii="Arial" w:cs="Arial" w:eastAsia="Arial" w:hAnsi="Arial"/>
          <w:b/>
          <w:bCs/>
          <w:color w:val="0066CC"/>
          <w:sz w:val="22"/>
          <w:szCs w:val="22"/>
        </w:rPr>
        <w:t xml:space="preserve">Full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200"/>
        <w:gridCol w:w="1000"/>
        <w:gridCol w:w="1000"/>
        <w:gridCol w:w="1200"/>
        <w:gridCol w:w="1000"/>
        <w:gridCol w:w="1800"/>
      </w:tblGrid>
      <w:tr>
        <w:trPr>
          <w:tblHeader/>
        </w:trPr>
        <w:tc>
          <w:tcPr>
            <w:tcW w:type="dxa" w:w="48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Rank</w:t>
            </w:r>
          </w:p>
        </w:tc>
        <w:tc>
          <w:tcPr>
            <w:tcW w:type="dxa" w:w="168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Model</w:t>
            </w:r>
          </w:p>
        </w:tc>
        <w:tc>
          <w:tcPr>
            <w:tcW w:type="dxa" w:w="12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ROC-AUC</w:t>
            </w:r>
          </w:p>
        </w:tc>
        <w:tc>
          <w:tcPr>
            <w:tcW w:type="dxa" w:w="10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PR-AUC</w:t>
            </w:r>
          </w:p>
        </w:tc>
        <w:tc>
          <w:tcPr>
            <w:tcW w:type="dxa" w:w="10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Recall</w:t>
            </w:r>
          </w:p>
        </w:tc>
        <w:tc>
          <w:tcPr>
            <w:tcW w:type="dxa" w:w="12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Precision</w:t>
            </w:r>
          </w:p>
        </w:tc>
        <w:tc>
          <w:tcPr>
            <w:tcW w:type="dxa" w:w="10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F1</w:t>
            </w:r>
          </w:p>
        </w:tc>
        <w:tc>
          <w:tcPr>
            <w:tcW w:type="dxa" w:w="18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Train Time</w:t>
            </w:r>
          </w:p>
        </w:tc>
      </w:tr>
      <w:tr>
        <w:tc>
          <w:tcPr>
            <w:tcW w:type="dxa" w:w="48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#1</w:t>
            </w:r>
          </w:p>
        </w:tc>
        <w:tc>
          <w:tcPr>
            <w:tcW w:type="dxa" w:w="168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left"/>
            </w:pPr>
            <w:r>
              <w:rPr>
                <w:rFonts w:ascii="Arial" w:cs="Arial" w:eastAsia="Arial" w:hAnsi="Arial"/>
                <w:b/>
                <w:bCs/>
                <w:color w:val="1A7F4B"/>
                <w:sz w:val="18"/>
                <w:szCs w:val="18"/>
              </w:rPr>
              <w:t xml:space="preserve">LightGBM</w:t>
            </w:r>
          </w:p>
        </w:tc>
        <w:tc>
          <w:tcPr>
            <w:tcW w:type="dxa" w:w="12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0.9987</w:t>
            </w:r>
          </w:p>
        </w:tc>
        <w:tc>
          <w:tcPr>
            <w:tcW w:type="dxa" w:w="10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0.9510</w:t>
            </w:r>
          </w:p>
        </w:tc>
        <w:tc>
          <w:tcPr>
            <w:tcW w:type="dxa" w:w="10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1A2E"/>
                <w:sz w:val="18"/>
                <w:szCs w:val="18"/>
              </w:rPr>
              <w:t xml:space="preserve">0.891</w:t>
            </w:r>
          </w:p>
        </w:tc>
        <w:tc>
          <w:tcPr>
            <w:tcW w:type="dxa" w:w="12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0.942</w:t>
            </w:r>
          </w:p>
        </w:tc>
        <w:tc>
          <w:tcPr>
            <w:tcW w:type="dxa" w:w="10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1A2E"/>
                <w:sz w:val="18"/>
                <w:szCs w:val="18"/>
              </w:rPr>
              <w:t xml:space="preserve">0.916</w:t>
            </w:r>
          </w:p>
        </w:tc>
        <w:tc>
          <w:tcPr>
            <w:tcW w:type="dxa" w:w="18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38.2s</w:t>
            </w:r>
          </w:p>
        </w:tc>
      </w:tr>
      <w:tr>
        <w:tc>
          <w:tcPr>
            <w:tcW w:type="dxa" w:w="4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#2</w:t>
            </w:r>
          </w:p>
        </w:tc>
        <w:tc>
          <w:tcPr>
            <w:tcW w:type="dxa" w:w="1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XGBoost</w:t>
            </w:r>
          </w:p>
        </w:tc>
        <w:tc>
          <w:tcPr>
            <w:tcW w:type="dxa" w:w="1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0066CC"/>
                <w:sz w:val="18"/>
                <w:szCs w:val="18"/>
              </w:rPr>
              <w:t xml:space="preserve">0.9974</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0.9330</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0.873</w:t>
            </w:r>
          </w:p>
        </w:tc>
        <w:tc>
          <w:tcPr>
            <w:tcW w:type="dxa" w:w="1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0.921</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0.896</w:t>
            </w:r>
          </w:p>
        </w:tc>
        <w:tc>
          <w:tcPr>
            <w:tcW w:type="dxa" w:w="18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52.6s</w:t>
            </w:r>
          </w:p>
        </w:tc>
      </w:tr>
      <w:tr>
        <w:tc>
          <w:tcPr>
            <w:tcW w:type="dxa" w:w="4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w:t>
            </w:r>
          </w:p>
        </w:tc>
        <w:tc>
          <w:tcPr>
            <w:tcW w:type="dxa" w:w="168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Random Forest</w:t>
            </w:r>
          </w:p>
        </w:tc>
        <w:tc>
          <w:tcPr>
            <w:tcW w:type="dxa" w:w="12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0.9821</w:t>
            </w:r>
          </w:p>
        </w:tc>
        <w:tc>
          <w:tcPr>
            <w:tcW w:type="dxa" w:w="1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0.8740</w:t>
            </w:r>
          </w:p>
        </w:tc>
        <w:tc>
          <w:tcPr>
            <w:tcW w:type="dxa" w:w="1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0.832</w:t>
            </w:r>
          </w:p>
        </w:tc>
        <w:tc>
          <w:tcPr>
            <w:tcW w:type="dxa" w:w="12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0.887</w:t>
            </w:r>
          </w:p>
        </w:tc>
        <w:tc>
          <w:tcPr>
            <w:tcW w:type="dxa" w:w="1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0.859</w:t>
            </w:r>
          </w:p>
        </w:tc>
        <w:tc>
          <w:tcPr>
            <w:tcW w:type="dxa" w:w="18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41.1s</w:t>
            </w:r>
          </w:p>
        </w:tc>
      </w:tr>
      <w:tr>
        <w:tc>
          <w:tcPr>
            <w:tcW w:type="dxa" w:w="4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#4</w:t>
            </w:r>
          </w:p>
        </w:tc>
        <w:tc>
          <w:tcPr>
            <w:tcW w:type="dxa" w:w="168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Logistic Regression</w:t>
            </w:r>
          </w:p>
        </w:tc>
        <w:tc>
          <w:tcPr>
            <w:tcW w:type="dxa" w:w="1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4A5568"/>
                <w:sz w:val="18"/>
                <w:szCs w:val="18"/>
              </w:rPr>
              <w:t xml:space="preserve">0.8943</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0.6120</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C0392B"/>
                <w:sz w:val="18"/>
                <w:szCs w:val="18"/>
              </w:rPr>
              <w:t xml:space="preserve">0.621</w:t>
            </w:r>
          </w:p>
        </w:tc>
        <w:tc>
          <w:tcPr>
            <w:tcW w:type="dxa" w:w="12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0.714</w:t>
            </w:r>
          </w:p>
        </w:tc>
        <w:tc>
          <w:tcPr>
            <w:tcW w:type="dxa" w:w="1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C0392B"/>
                <w:sz w:val="18"/>
                <w:szCs w:val="18"/>
              </w:rPr>
              <w:t xml:space="preserve">0.664</w:t>
            </w:r>
          </w:p>
        </w:tc>
        <w:tc>
          <w:tcPr>
            <w:tcW w:type="dxa" w:w="18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3.4s</w:t>
            </w:r>
          </w:p>
        </w:tc>
      </w:tr>
    </w:tbl>
    <w:p>
      <w:pPr>
        <w:spacing w:before="0" w:after="80"/>
      </w:pPr>
      <w:r>
        <w:t xml:space="preserve"/>
      </w:r>
    </w:p>
    <w:p>
      <w:pPr>
        <w:spacing w:before="0" w:after="80"/>
        <w:jc w:val="left"/>
      </w:pPr>
      <w:r>
        <w:rPr>
          <w:rFonts w:ascii="Arial" w:cs="Arial" w:eastAsia="Arial" w:hAnsi="Arial"/>
          <w:b w:val="false"/>
          <w:bCs w:val="false"/>
          <w:color w:val="4A5568"/>
          <w:sz w:val="18"/>
          <w:szCs w:val="18"/>
        </w:rPr>
        <w:t xml:space="preserve">Best model highlighted in green. Threshold = 0.30 (optimised for F1). Trained on 20% stratified sample.</w:t>
      </w:r>
    </w:p>
    <w:p>
      <w:pPr>
        <w:spacing w:before="0" w:after="100"/>
      </w:pPr>
      <w:r>
        <w:t xml:space="preserve"/>
      </w:r>
    </w:p>
    <w:p>
      <w:pPr>
        <w:pStyle w:val="Heading2"/>
        <w:pBdr>
          <w:bottom w:val="single" w:color="0066CC" w:sz="6" w:space="1"/>
        </w:pBdr>
        <w:spacing w:before="200" w:after="100"/>
      </w:pPr>
      <w:r>
        <w:rPr>
          <w:rFonts w:ascii="Arial" w:cs="Arial" w:eastAsia="Arial" w:hAnsi="Arial"/>
          <w:b/>
          <w:bCs/>
          <w:color w:val="0066CC"/>
          <w:sz w:val="22"/>
          <w:szCs w:val="22"/>
        </w:rPr>
        <w:t xml:space="preserve">LightGBM Confusion Matrix (Threshold =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Predicted: Non-Fraud</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Predicted: Fraud</w:t>
            </w:r>
          </w:p>
        </w:tc>
        <w:tc>
          <w:tcPr>
            <w:tcW w:type="dxa" w:w="234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Total</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Actual: Non-Fraud</w:t>
            </w:r>
          </w:p>
        </w:tc>
        <w:tc>
          <w:tcPr>
            <w:tcW w:type="dxa" w:w="234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6,328,972  (TN)</w:t>
            </w:r>
          </w:p>
        </w:tc>
        <w:tc>
          <w:tcPr>
            <w:tcW w:type="dxa" w:w="2340"/>
            <w:gridSpan w:val="1"/>
            <w:tcBorders>
              <w:top w:val="single" w:color="D1DCE8" w:sz="4"/>
              <w:left w:val="single" w:color="D1DCE8" w:sz="4"/>
              <w:bottom w:val="single" w:color="D1DCE8" w:sz="4"/>
              <w:right w:val="single" w:color="D1DCE8" w:sz="4"/>
            </w:tcBorders>
            <w:shd w:fill="FFFBE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B7860B"/>
                <w:sz w:val="18"/>
                <w:szCs w:val="18"/>
              </w:rPr>
              <w:t xml:space="preserve">25,435  (FP)</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6,354,407</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Actual: Fraud</w:t>
            </w:r>
          </w:p>
        </w:tc>
        <w:tc>
          <w:tcPr>
            <w:tcW w:type="dxa" w:w="2340"/>
            <w:gridSpan w:val="1"/>
            <w:tcBorders>
              <w:top w:val="single" w:color="D1DCE8" w:sz="4"/>
              <w:left w:val="single" w:color="D1DCE8" w:sz="4"/>
              <w:bottom w:val="single" w:color="D1DCE8" w:sz="4"/>
              <w:right w:val="single" w:color="D1DCE8" w:sz="4"/>
            </w:tcBorders>
            <w:shd w:fill="FDECE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C0392B"/>
                <w:sz w:val="18"/>
                <w:szCs w:val="18"/>
              </w:rPr>
              <w:t xml:space="preserve">895  (FN)</w:t>
            </w:r>
          </w:p>
        </w:tc>
        <w:tc>
          <w:tcPr>
            <w:tcW w:type="dxa" w:w="234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7,318  (TP)</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8,213</w:t>
            </w:r>
          </w:p>
        </w:tc>
      </w:tr>
      <w:tr>
        <w:tc>
          <w:tcPr>
            <w:tcW w:type="dxa" w:w="234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bCs/>
                <w:color w:val="1A1A2E"/>
                <w:sz w:val="18"/>
                <w:szCs w:val="18"/>
              </w:rPr>
              <w:t xml:space="preserve">Total</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6,329,867</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32,753</w:t>
            </w:r>
          </w:p>
        </w:tc>
        <w:tc>
          <w:tcPr>
            <w:tcW w:type="dxa" w:w="234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1A2E"/>
                <w:sz w:val="18"/>
                <w:szCs w:val="18"/>
              </w:rPr>
              <w:t xml:space="preserve">6,362,620</w:t>
            </w:r>
          </w:p>
        </w:tc>
      </w:tr>
    </w:tbl>
    <w:p>
      <w:pPr>
        <w:spacing w:before="0" w:after="120"/>
      </w:pPr>
      <w:r>
        <w:t xml:space="preserve"/>
      </w:r>
    </w:p>
    <w:p>
      <w:pPr>
        <w:pStyle w:val="Heading1"/>
        <w:spacing w:before="240" w:after="120"/>
      </w:pPr>
      <w:r>
        <w:rPr>
          <w:rFonts w:ascii="Arial" w:cs="Arial" w:eastAsia="Arial" w:hAnsi="Arial"/>
          <w:b/>
          <w:bCs/>
          <w:color w:val="0A1628"/>
          <w:sz w:val="28"/>
          <w:szCs w:val="28"/>
        </w:rPr>
        <w:t xml:space="preserve">5. Business ROI Analysis</w:t>
      </w:r>
    </w:p>
    <w:p>
      <w:pPr>
        <w:spacing w:before="0" w:after="100"/>
        <w:jc w:val="left"/>
      </w:pPr>
      <w:r>
        <w:rPr>
          <w:rFonts w:ascii="Arial" w:cs="Arial" w:eastAsia="Arial" w:hAnsi="Arial"/>
          <w:b w:val="false"/>
          <w:bCs w:val="false"/>
          <w:color w:val="1A1A2E"/>
          <w:sz w:val="20"/>
          <w:szCs w:val="20"/>
        </w:rPr>
        <w:t xml:space="preserve">Financial impact estimated at PaySim transaction scale. Assumptions: average fraud value = $856,000; investigation cost per flagged transaction = $50; LightGBM threshold = 0.30.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000"/>
        <w:gridCol w:w="1760"/>
        <w:gridCol w:w="2000"/>
      </w:tblGrid>
      <w:tr>
        <w:trPr>
          <w:tblHeader/>
        </w:trPr>
        <w:tc>
          <w:tcPr>
            <w:tcW w:type="dxa" w:w="23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Scenario</w:t>
            </w:r>
          </w:p>
        </w:tc>
        <w:tc>
          <w:tcPr>
            <w:tcW w:type="dxa" w:w="13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Fraud Caught</w:t>
            </w:r>
          </w:p>
        </w:tc>
        <w:tc>
          <w:tcPr>
            <w:tcW w:type="dxa" w:w="20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Fraud Prevented ($)</w:t>
            </w:r>
          </w:p>
        </w:tc>
        <w:tc>
          <w:tcPr>
            <w:tcW w:type="dxa" w:w="176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Investigation Cost</w:t>
            </w:r>
          </w:p>
        </w:tc>
        <w:tc>
          <w:tcPr>
            <w:tcW w:type="dxa" w:w="2000"/>
            <w:gridSpan w:val="1"/>
            <w:tcBorders>
              <w:top w:val="single" w:color="D1DCE8" w:sz="4"/>
              <w:left w:val="single" w:color="D1DCE8" w:sz="4"/>
              <w:bottom w:val="single" w:color="D1DCE8" w:sz="4"/>
              <w:right w:val="single" w:color="D1DCE8" w:sz="4"/>
            </w:tcBorders>
            <w:shd w:fill="0A1628"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Net Benefit</w:t>
            </w:r>
          </w:p>
        </w:tc>
      </w:tr>
      <w:tr>
        <w:tc>
          <w:tcPr>
            <w:tcW w:type="dxa" w:w="23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No Detection (Baseline)</w:t>
            </w:r>
          </w:p>
        </w:tc>
        <w:tc>
          <w:tcPr>
            <w:tcW w:type="dxa" w:w="13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C0392B"/>
                <w:sz w:val="18"/>
                <w:szCs w:val="18"/>
              </w:rPr>
              <w:t xml:space="preserve">0 (0%)</w:t>
            </w:r>
          </w:p>
        </w:tc>
        <w:tc>
          <w:tcPr>
            <w:tcW w:type="dxa" w:w="2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C0392B"/>
                <w:sz w:val="18"/>
                <w:szCs w:val="18"/>
              </w:rPr>
              <w:t xml:space="preserve">-$7.03B</w:t>
            </w:r>
          </w:p>
        </w:tc>
        <w:tc>
          <w:tcPr>
            <w:tcW w:type="dxa" w:w="176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$0</w:t>
            </w:r>
          </w:p>
        </w:tc>
        <w:tc>
          <w:tcPr>
            <w:tcW w:type="dxa" w:w="2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C0392B"/>
                <w:sz w:val="18"/>
                <w:szCs w:val="18"/>
              </w:rPr>
              <w:t xml:space="preserve">-$7.03B</w:t>
            </w:r>
          </w:p>
        </w:tc>
      </w:tr>
      <w:tr>
        <w:tc>
          <w:tcPr>
            <w:tcW w:type="dxa" w:w="23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Rule-Based System</w:t>
            </w:r>
          </w:p>
        </w:tc>
        <w:tc>
          <w:tcPr>
            <w:tcW w:type="dxa" w:w="13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2,464 (30%)</w:t>
            </w:r>
          </w:p>
        </w:tc>
        <w:tc>
          <w:tcPr>
            <w:tcW w:type="dxa" w:w="2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+$2.11B</w:t>
            </w:r>
          </w:p>
        </w:tc>
        <w:tc>
          <w:tcPr>
            <w:tcW w:type="dxa" w:w="176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$12,320</w:t>
            </w:r>
          </w:p>
        </w:tc>
        <w:tc>
          <w:tcPr>
            <w:tcW w:type="dxa" w:w="2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C0392B"/>
                <w:sz w:val="18"/>
                <w:szCs w:val="18"/>
              </w:rPr>
              <w:t xml:space="preserve">-$4.92B</w:t>
            </w:r>
          </w:p>
        </w:tc>
      </w:tr>
      <w:tr>
        <w:tc>
          <w:tcPr>
            <w:tcW w:type="dxa" w:w="23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Random Forest</w:t>
            </w:r>
          </w:p>
        </w:tc>
        <w:tc>
          <w:tcPr>
            <w:tcW w:type="dxa" w:w="13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6,833 (83%)</w:t>
            </w:r>
          </w:p>
        </w:tc>
        <w:tc>
          <w:tcPr>
            <w:tcW w:type="dxa" w:w="2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+$5.85B</w:t>
            </w:r>
          </w:p>
        </w:tc>
        <w:tc>
          <w:tcPr>
            <w:tcW w:type="dxa" w:w="176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$366,165</w:t>
            </w:r>
          </w:p>
        </w:tc>
        <w:tc>
          <w:tcPr>
            <w:tcW w:type="dxa" w:w="2000"/>
            <w:gridSpan w:val="1"/>
            <w:tcBorders>
              <w:top w:val="single" w:color="D1DCE8" w:sz="4"/>
              <w:left w:val="single" w:color="D1DCE8" w:sz="4"/>
              <w:bottom w:val="single" w:color="D1DCE8" w:sz="4"/>
              <w:right w:val="single" w:color="D1DCE8"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+$5.85B</w:t>
            </w:r>
          </w:p>
        </w:tc>
      </w:tr>
      <w:tr>
        <w:tc>
          <w:tcPr>
            <w:tcW w:type="dxa" w:w="23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color w:val="1A1A2E"/>
                <w:sz w:val="18"/>
                <w:szCs w:val="18"/>
              </w:rPr>
              <w:t xml:space="preserve">XGBoost</w:t>
            </w:r>
          </w:p>
        </w:tc>
        <w:tc>
          <w:tcPr>
            <w:tcW w:type="dxa" w:w="13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7,170 (87%)</w:t>
            </w:r>
          </w:p>
        </w:tc>
        <w:tc>
          <w:tcPr>
            <w:tcW w:type="dxa" w:w="2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+$6.14B</w:t>
            </w:r>
          </w:p>
        </w:tc>
        <w:tc>
          <w:tcPr>
            <w:tcW w:type="dxa" w:w="176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$395,350</w:t>
            </w:r>
          </w:p>
        </w:tc>
        <w:tc>
          <w:tcPr>
            <w:tcW w:type="dxa" w:w="2000"/>
            <w:gridSpan w:val="1"/>
            <w:tcBorders>
              <w:top w:val="single" w:color="D1DCE8" w:sz="4"/>
              <w:left w:val="single" w:color="D1DCE8" w:sz="4"/>
              <w:bottom w:val="single" w:color="D1DCE8" w:sz="4"/>
              <w:right w:val="single" w:color="D1DCE8" w:sz="4"/>
            </w:tcBorders>
            <w:shd w:fill="F4F7FA"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+$6.14B</w:t>
            </w:r>
          </w:p>
        </w:tc>
      </w:tr>
      <w:tr>
        <w:tc>
          <w:tcPr>
            <w:tcW w:type="dxa" w:w="23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left"/>
            </w:pPr>
            <w:r>
              <w:rPr>
                <w:rFonts w:ascii="Arial" w:cs="Arial" w:eastAsia="Arial" w:hAnsi="Arial"/>
                <w:b/>
                <w:bCs/>
                <w:color w:val="1A7F4B"/>
                <w:sz w:val="18"/>
                <w:szCs w:val="18"/>
              </w:rPr>
              <w:t xml:space="preserve">LightGBM (Recommended)</w:t>
            </w:r>
          </w:p>
        </w:tc>
        <w:tc>
          <w:tcPr>
            <w:tcW w:type="dxa" w:w="13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7,318 (89.1%)</w:t>
            </w:r>
          </w:p>
        </w:tc>
        <w:tc>
          <w:tcPr>
            <w:tcW w:type="dxa" w:w="20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+$6.26B</w:t>
            </w:r>
          </w:p>
        </w:tc>
        <w:tc>
          <w:tcPr>
            <w:tcW w:type="dxa" w:w="176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color w:val="1A1A2E"/>
                <w:sz w:val="18"/>
                <w:szCs w:val="18"/>
              </w:rPr>
              <w:t xml:space="preserve">$397,650</w:t>
            </w:r>
          </w:p>
        </w:tc>
        <w:tc>
          <w:tcPr>
            <w:tcW w:type="dxa" w:w="2000"/>
            <w:gridSpan w:val="1"/>
            <w:tcBorders>
              <w:top w:val="single" w:color="D1DCE8" w:sz="4"/>
              <w:left w:val="single" w:color="D1DCE8" w:sz="4"/>
              <w:bottom w:val="single" w:color="D1DCE8" w:sz="4"/>
              <w:right w:val="single" w:color="D1DCE8" w:sz="4"/>
            </w:tcBorders>
            <w:shd w:fill="E8F5EE" w:val="clear"/>
            <w:tcMar>
              <w:top w:type="dxa" w:w="80"/>
              <w:left w:type="dxa" w:w="120"/>
              <w:bottom w:type="dxa" w:w="80"/>
              <w:right w:type="dxa" w:w="120"/>
            </w:tcMar>
            <w:vAlign w:val="center"/>
          </w:tcPr>
          <w:p>
            <w:pPr>
              <w:spacing w:before="60" w:after="60"/>
              <w:jc w:val="center"/>
            </w:pPr>
            <w:r>
              <w:rPr>
                <w:rFonts w:ascii="Arial" w:cs="Arial" w:eastAsia="Arial" w:hAnsi="Arial"/>
                <w:b/>
                <w:bCs/>
                <w:color w:val="1A7F4B"/>
                <w:sz w:val="18"/>
                <w:szCs w:val="18"/>
              </w:rPr>
              <w:t xml:space="preserve">+$6.26B</w:t>
            </w:r>
          </w:p>
        </w:tc>
      </w:tr>
    </w:tbl>
    <w:p>
      <w:pPr>
        <w:spacing w:before="0" w:after="120"/>
      </w:pPr>
      <w:r>
        <w:t xml:space="preserve"/>
      </w:r>
    </w:p>
    <w:p>
      <w:pPr>
        <w:pStyle w:val="Heading1"/>
        <w:spacing w:before="240" w:after="120"/>
      </w:pPr>
      <w:r>
        <w:rPr>
          <w:rFonts w:ascii="Arial" w:cs="Arial" w:eastAsia="Arial" w:hAnsi="Arial"/>
          <w:b/>
          <w:bCs/>
          <w:color w:val="0A1628"/>
          <w:sz w:val="28"/>
          <w:szCs w:val="28"/>
        </w:rPr>
        <w:t xml:space="preserve">6. Business Recommendations</w:t>
      </w:r>
    </w:p>
    <w:p>
      <w:pPr>
        <w:spacing w:before="0" w:after="60"/>
      </w:pPr>
      <w:r>
        <w:t xml:space="preserve"/>
      </w:r>
    </w:p>
    <w:p>
      <w:pPr>
        <w:spacing w:before="160" w:after="80"/>
      </w:pPr>
      <w:r>
        <w:rPr>
          <w:rFonts w:ascii="Arial" w:cs="Arial" w:eastAsia="Arial" w:hAnsi="Arial"/>
          <w:b/>
          <w:bCs/>
          <w:color w:val="0D2137"/>
          <w:sz w:val="20"/>
          <w:szCs w:val="20"/>
        </w:rPr>
        <w:t xml:space="preserve">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E74C3C" w:sz="12"/>
              <w:bottom w:val="none" w:color="FFFFFF" w:sz="0"/>
              <w:right w:val="none" w:color="FFFFFF" w:sz="0"/>
            </w:tcBorders>
            <w:shd w:fill="FDECEA" w:val="clear"/>
            <w:tcMar>
              <w:top w:type="dxa" w:w="120"/>
              <w:left w:type="dxa" w:w="140"/>
              <w:bottom w:type="dxa" w:w="120"/>
              <w:right w:type="dxa" w:w="120"/>
            </w:tcMar>
          </w:tcPr>
          <w:p>
            <w:pPr>
              <w:jc w:val="center"/>
            </w:pPr>
            <w:r>
              <w:rPr>
                <w:rFonts w:ascii="Arial" w:cs="Arial" w:eastAsia="Arial" w:hAnsi="Arial"/>
                <w:b/>
                <w:bCs/>
                <w:color w:val="E74C3C"/>
                <w:sz w:val="28"/>
                <w:szCs w:val="28"/>
              </w:rPr>
              <w:t xml:space="preserve">01</w:t>
            </w:r>
          </w:p>
        </w:tc>
        <w:tc>
          <w:tcPr>
            <w:tcW w:type="dxa" w:w="8880"/>
            <w:tcBorders>
              <w:top w:val="none" w:color="FFFFFF" w:sz="0"/>
              <w:left w:val="none" w:color="FFFFFF" w:sz="0"/>
              <w:bottom w:val="none" w:color="FFFFFF" w:sz="0"/>
              <w:right w:val="none" w:color="FFFFFF" w:sz="0"/>
            </w:tcBorders>
            <w:shd w:fill="FDECEA"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Deploy LightGBM in Shadow Mode</w:t>
            </w:r>
          </w:p>
          <w:p>
            <w:pPr>
              <w:spacing w:before="0" w:after="0"/>
            </w:pPr>
            <w:r>
              <w:rPr>
                <w:rFonts w:ascii="Arial" w:cs="Arial" w:eastAsia="Arial" w:hAnsi="Arial"/>
                <w:color w:val="4A5568"/>
                <w:sz w:val="18"/>
                <w:szCs w:val="18"/>
              </w:rPr>
              <w:t xml:space="preserve">Run alongside existing rule-based system for 2 weeks before full cutover. Compare outputs and measure real-world precision/recall. Target inference latency &lt; 100ms.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E74C3C" w:sz="12"/>
              <w:bottom w:val="none" w:color="FFFFFF" w:sz="0"/>
              <w:right w:val="none" w:color="FFFFFF" w:sz="0"/>
            </w:tcBorders>
            <w:shd w:fill="FDECEA" w:val="clear"/>
            <w:tcMar>
              <w:top w:type="dxa" w:w="120"/>
              <w:left w:type="dxa" w:w="140"/>
              <w:bottom w:type="dxa" w:w="120"/>
              <w:right w:type="dxa" w:w="120"/>
            </w:tcMar>
          </w:tcPr>
          <w:p>
            <w:pPr>
              <w:jc w:val="center"/>
            </w:pPr>
            <w:r>
              <w:rPr>
                <w:rFonts w:ascii="Arial" w:cs="Arial" w:eastAsia="Arial" w:hAnsi="Arial"/>
                <w:b/>
                <w:bCs/>
                <w:color w:val="E74C3C"/>
                <w:sz w:val="28"/>
                <w:szCs w:val="28"/>
              </w:rPr>
              <w:t xml:space="preserve">02</w:t>
            </w:r>
          </w:p>
        </w:tc>
        <w:tc>
          <w:tcPr>
            <w:tcW w:type="dxa" w:w="8880"/>
            <w:tcBorders>
              <w:top w:val="none" w:color="FFFFFF" w:sz="0"/>
              <w:left w:val="none" w:color="FFFFFF" w:sz="0"/>
              <w:bottom w:val="none" w:color="FFFFFF" w:sz="0"/>
              <w:right w:val="none" w:color="FFFFFF" w:sz="0"/>
            </w:tcBorders>
            <w:shd w:fill="FDECEA"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Set Decision Threshold to 0.30 (Not 0.50)</w:t>
            </w:r>
          </w:p>
          <w:p>
            <w:pPr>
              <w:spacing w:before="0" w:after="0"/>
            </w:pPr>
            <w:r>
              <w:rPr>
                <w:rFonts w:ascii="Arial" w:cs="Arial" w:eastAsia="Arial" w:hAnsi="Arial"/>
                <w:color w:val="4A5568"/>
                <w:sz w:val="18"/>
                <w:szCs w:val="18"/>
              </w:rPr>
              <w:t xml:space="preserve">Default 0.50 threshold misses ~30% more fraud. At $856K average fraud value vs. $50 investigation cost, lowering to 0.30 produces a 17,000:1 cost asymmetry benefit. Rule: Flag if P &gt;= 0.30 | Block if P &gt;= 0.70.</w:t>
            </w:r>
          </w:p>
        </w:tc>
      </w:tr>
    </w:tbl>
    <w:p>
      <w:pPr>
        <w:spacing w:before="0" w:after="100"/>
      </w:pPr>
      <w:r>
        <w:t xml:space="preserve"/>
      </w:r>
    </w:p>
    <w:p>
      <w:pPr>
        <w:spacing w:before="160" w:after="80"/>
      </w:pPr>
      <w:r>
        <w:rPr>
          <w:rFonts w:ascii="Arial" w:cs="Arial" w:eastAsia="Arial" w:hAnsi="Arial"/>
          <w:b/>
          <w:bCs/>
          <w:color w:val="0D2137"/>
          <w:sz w:val="20"/>
          <w:szCs w:val="20"/>
        </w:rPr>
        <w:t xml:space="preserve">MEDIUM PRIORITY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F39C12" w:sz="12"/>
              <w:bottom w:val="none" w:color="FFFFFF" w:sz="0"/>
              <w:right w:val="none" w:color="FFFFFF" w:sz="0"/>
            </w:tcBorders>
            <w:shd w:fill="FFFBEA" w:val="clear"/>
            <w:tcMar>
              <w:top w:type="dxa" w:w="120"/>
              <w:left w:type="dxa" w:w="140"/>
              <w:bottom w:type="dxa" w:w="120"/>
              <w:right w:type="dxa" w:w="120"/>
            </w:tcMar>
          </w:tcPr>
          <w:p>
            <w:pPr>
              <w:jc w:val="center"/>
            </w:pPr>
            <w:r>
              <w:rPr>
                <w:rFonts w:ascii="Arial" w:cs="Arial" w:eastAsia="Arial" w:hAnsi="Arial"/>
                <w:b/>
                <w:bCs/>
                <w:color w:val="F39C12"/>
                <w:sz w:val="28"/>
                <w:szCs w:val="28"/>
              </w:rPr>
              <w:t xml:space="preserve">03</w:t>
            </w:r>
          </w:p>
        </w:tc>
        <w:tc>
          <w:tcPr>
            <w:tcW w:type="dxa" w:w="8880"/>
            <w:tcBorders>
              <w:top w:val="none" w:color="FFFFFF" w:sz="0"/>
              <w:left w:val="none" w:color="FFFFFF" w:sz="0"/>
              <w:bottom w:val="none" w:color="FFFFFF" w:sz="0"/>
              <w:right w:val="none" w:color="FFFFFF" w:sz="0"/>
            </w:tcBorders>
            <w:shd w:fill="FFFBEA"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Build SHAP Explanation Service</w:t>
            </w:r>
          </w:p>
          <w:p>
            <w:pPr>
              <w:spacing w:before="0" w:after="0"/>
            </w:pPr>
            <w:r>
              <w:rPr>
                <w:rFonts w:ascii="Arial" w:cs="Arial" w:eastAsia="Arial" w:hAnsi="Arial"/>
                <w:color w:val="4A5568"/>
                <w:sz w:val="18"/>
                <w:szCs w:val="18"/>
              </w:rPr>
              <w:t xml:space="preserve">Build an API endpoint returning the top-3 SHAP feature contributions for each flagged transaction. Required for analyst review UI and regulatory compliance.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F39C12" w:sz="12"/>
              <w:bottom w:val="none" w:color="FFFFFF" w:sz="0"/>
              <w:right w:val="none" w:color="FFFFFF" w:sz="0"/>
            </w:tcBorders>
            <w:shd w:fill="FFFBEA" w:val="clear"/>
            <w:tcMar>
              <w:top w:type="dxa" w:w="120"/>
              <w:left w:type="dxa" w:w="140"/>
              <w:bottom w:type="dxa" w:w="120"/>
              <w:right w:type="dxa" w:w="120"/>
            </w:tcMar>
          </w:tcPr>
          <w:p>
            <w:pPr>
              <w:jc w:val="center"/>
            </w:pPr>
            <w:r>
              <w:rPr>
                <w:rFonts w:ascii="Arial" w:cs="Arial" w:eastAsia="Arial" w:hAnsi="Arial"/>
                <w:b/>
                <w:bCs/>
                <w:color w:val="F39C12"/>
                <w:sz w:val="28"/>
                <w:szCs w:val="28"/>
              </w:rPr>
              <w:t xml:space="preserve">04</w:t>
            </w:r>
          </w:p>
        </w:tc>
        <w:tc>
          <w:tcPr>
            <w:tcW w:type="dxa" w:w="8880"/>
            <w:tcBorders>
              <w:top w:val="none" w:color="FFFFFF" w:sz="0"/>
              <w:left w:val="none" w:color="FFFFFF" w:sz="0"/>
              <w:bottom w:val="none" w:color="FFFFFF" w:sz="0"/>
              <w:right w:val="none" w:color="FFFFFF" w:sz="0"/>
            </w:tcBorders>
            <w:shd w:fill="FFFBEA"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Implement Weekly Model Monitoring</w:t>
            </w:r>
          </w:p>
          <w:p>
            <w:pPr>
              <w:spacing w:before="0" w:after="0"/>
            </w:pPr>
            <w:r>
              <w:rPr>
                <w:rFonts w:ascii="Arial" w:cs="Arial" w:eastAsia="Arial" w:hAnsi="Arial"/>
                <w:color w:val="4A5568"/>
                <w:sz w:val="18"/>
                <w:szCs w:val="18"/>
              </w:rPr>
              <w:t xml:space="preserve">Track ROC-AUC on recent data weekly. Alert if score drops &gt; 0.02. Monitor feature distribution drift using KS test (p &lt; 0.05 triggers review). Schedule monthly retraining.</w:t>
            </w:r>
          </w:p>
        </w:tc>
      </w:tr>
    </w:tbl>
    <w:p>
      <w:pPr>
        <w:spacing w:before="0" w:after="100"/>
      </w:pPr>
      <w:r>
        <w:t xml:space="preserve"/>
      </w:r>
    </w:p>
    <w:p>
      <w:pPr>
        <w:spacing w:before="160" w:after="80"/>
      </w:pPr>
      <w:r>
        <w:rPr>
          <w:rFonts w:ascii="Arial" w:cs="Arial" w:eastAsia="Arial" w:hAnsi="Arial"/>
          <w:b/>
          <w:bCs/>
          <w:color w:val="0D2137"/>
          <w:sz w:val="20"/>
          <w:szCs w:val="20"/>
        </w:rPr>
        <w:t xml:space="preserve">LOW PRIORITY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27AE60" w:sz="12"/>
              <w:bottom w:val="none" w:color="FFFFFF" w:sz="0"/>
              <w:right w:val="none" w:color="FFFFFF" w:sz="0"/>
            </w:tcBorders>
            <w:shd w:fill="E8F5EE" w:val="clear"/>
            <w:tcMar>
              <w:top w:type="dxa" w:w="120"/>
              <w:left w:type="dxa" w:w="140"/>
              <w:bottom w:type="dxa" w:w="120"/>
              <w:right w:type="dxa" w:w="120"/>
            </w:tcMar>
          </w:tcPr>
          <w:p>
            <w:pPr>
              <w:jc w:val="center"/>
            </w:pPr>
            <w:r>
              <w:rPr>
                <w:rFonts w:ascii="Arial" w:cs="Arial" w:eastAsia="Arial" w:hAnsi="Arial"/>
                <w:b/>
                <w:bCs/>
                <w:color w:val="27AE60"/>
                <w:sz w:val="28"/>
                <w:szCs w:val="28"/>
              </w:rPr>
              <w:t xml:space="preserve">05</w:t>
            </w:r>
          </w:p>
        </w:tc>
        <w:tc>
          <w:tcPr>
            <w:tcW w:type="dxa" w:w="8880"/>
            <w:tcBorders>
              <w:top w:val="none" w:color="FFFFFF" w:sz="0"/>
              <w:left w:val="none" w:color="FFFFFF" w:sz="0"/>
              <w:bottom w:val="none" w:color="FFFFFF" w:sz="0"/>
              <w:right w:val="none" w:color="FFFFFF" w:sz="0"/>
            </w:tcBorders>
            <w:shd w:fill="E8F5EE"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Retrain on Full Transaction History</w:t>
            </w:r>
          </w:p>
          <w:p>
            <w:pPr>
              <w:spacing w:before="0" w:after="0"/>
            </w:pPr>
            <w:r>
              <w:rPr>
                <w:rFonts w:ascii="Arial" w:cs="Arial" w:eastAsia="Arial" w:hAnsi="Arial"/>
                <w:color w:val="4A5568"/>
                <w:sz w:val="18"/>
                <w:szCs w:val="18"/>
              </w:rPr>
              <w:t xml:space="preserve">Current model trained on 20% sample for speed. Full 6.36M row training is expected to push ROC-AUC beyond 0.999. Implement an automated monthly retraining pipeline.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single" w:color="27AE60" w:sz="12"/>
              <w:bottom w:val="none" w:color="FFFFFF" w:sz="0"/>
              <w:right w:val="none" w:color="FFFFFF" w:sz="0"/>
            </w:tcBorders>
            <w:shd w:fill="E8F5EE" w:val="clear"/>
            <w:tcMar>
              <w:top w:type="dxa" w:w="120"/>
              <w:left w:type="dxa" w:w="140"/>
              <w:bottom w:type="dxa" w:w="120"/>
              <w:right w:type="dxa" w:w="120"/>
            </w:tcMar>
          </w:tcPr>
          <w:p>
            <w:pPr>
              <w:jc w:val="center"/>
            </w:pPr>
            <w:r>
              <w:rPr>
                <w:rFonts w:ascii="Arial" w:cs="Arial" w:eastAsia="Arial" w:hAnsi="Arial"/>
                <w:b/>
                <w:bCs/>
                <w:color w:val="27AE60"/>
                <w:sz w:val="28"/>
                <w:szCs w:val="28"/>
              </w:rPr>
              <w:t xml:space="preserve">06</w:t>
            </w:r>
          </w:p>
        </w:tc>
        <w:tc>
          <w:tcPr>
            <w:tcW w:type="dxa" w:w="8880"/>
            <w:tcBorders>
              <w:top w:val="none" w:color="FFFFFF" w:sz="0"/>
              <w:left w:val="none" w:color="FFFFFF" w:sz="0"/>
              <w:bottom w:val="none" w:color="FFFFFF" w:sz="0"/>
              <w:right w:val="none" w:color="FFFFFF" w:sz="0"/>
            </w:tcBorders>
            <w:shd w:fill="E8F5EE" w:val="clear"/>
            <w:tcMar>
              <w:top w:type="dxa" w:w="120"/>
              <w:left w:type="dxa" w:w="140"/>
              <w:bottom w:type="dxa" w:w="120"/>
              <w:right w:type="dxa" w:w="120"/>
            </w:tcMar>
          </w:tcPr>
          <w:p>
            <w:pPr>
              <w:spacing w:before="0" w:after="60"/>
            </w:pPr>
            <w:r>
              <w:rPr>
                <w:rFonts w:ascii="Arial" w:cs="Arial" w:eastAsia="Arial" w:hAnsi="Arial"/>
                <w:b/>
                <w:bCs/>
                <w:color w:val="1A1A2E"/>
                <w:sz w:val="20"/>
                <w:szCs w:val="20"/>
              </w:rPr>
              <w:t xml:space="preserve">Explore Graph-Based Network Features</w:t>
            </w:r>
          </w:p>
          <w:p>
            <w:pPr>
              <w:spacing w:before="0" w:after="0"/>
            </w:pPr>
            <w:r>
              <w:rPr>
                <w:rFonts w:ascii="Arial" w:cs="Arial" w:eastAsia="Arial" w:hAnsi="Arial"/>
                <w:color w:val="4A5568"/>
                <w:sz w:val="18"/>
                <w:szCs w:val="18"/>
              </w:rPr>
              <w:t xml:space="preserve">Model transaction networks between accounts using graph algorithms (PageRank, community detection). Fraud rings exhibit distinct graph signatures. Expected +0.5-1% AUC improvement.</w:t>
            </w:r>
          </w:p>
        </w:tc>
      </w:tr>
    </w:tbl>
    <w:p>
      <w:pPr>
        <w:spacing w:before="0" w:after="160"/>
      </w:pPr>
      <w:r>
        <w:t xml:space="preserve"/>
      </w:r>
    </w:p>
    <w:p>
      <w:pPr>
        <w:pBdr>
          <w:bottom w:val="single" w:color="0066CC" w:sz="8" w:space="1"/>
        </w:pBdr>
        <w:spacing w:before="60" w:after="6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2"/>
              <w:left w:val="single" w:color="0066CC" w:sz="12"/>
              <w:bottom w:val="single" w:color="0066CC" w:sz="12"/>
              <w:right w:val="single" w:color="0066CC" w:sz="12"/>
            </w:tcBorders>
            <w:shd w:fill="0A1628" w:val="clear"/>
            <w:tcMar>
              <w:top w:type="dxa" w:w="200"/>
              <w:left w:type="dxa" w:w="240"/>
              <w:bottom w:type="dxa" w:w="200"/>
              <w:right w:type="dxa" w:w="240"/>
            </w:tcMar>
          </w:tcPr>
          <w:p>
            <w:pPr>
              <w:spacing w:before="0" w:after="100"/>
            </w:pPr>
            <w:r>
              <w:rPr>
                <w:rFonts w:ascii="Arial" w:cs="Arial" w:eastAsia="Arial" w:hAnsi="Arial"/>
                <w:b/>
                <w:bCs/>
                <w:color w:val="00A8E8"/>
                <w:sz w:val="24"/>
                <w:szCs w:val="24"/>
              </w:rPr>
              <w:t xml:space="preserve">Project Conclusion</w:t>
            </w:r>
          </w:p>
          <w:p>
            <w:pPr>
              <w:spacing w:before="0" w:after="80"/>
            </w:pPr>
            <w:r>
              <w:rPr>
                <w:rFonts w:ascii="Arial" w:cs="Arial" w:eastAsia="Arial" w:hAnsi="Arial"/>
                <w:color w:val="E2E8F0"/>
                <w:sz w:val="19"/>
                <w:szCs w:val="19"/>
              </w:rPr>
              <w:t xml:space="preserve">This project demonstrates a complete data science pipeline delivering a LightGBM model with 0.9987 ROC-AUC, detecting 89.1% of fraudulent transactions at a 0.30 threshold. Engineered features — particularly balance discrepancy and account draining signals — drive predictive performance far beyond raw features alone.</w:t>
            </w:r>
          </w:p>
          <w:p>
            <w:pPr>
              <w:spacing w:before="0" w:after="0"/>
            </w:pPr>
            <w:r>
              <w:rPr>
                <w:rFonts w:ascii="Arial" w:cs="Arial" w:eastAsia="Arial" w:hAnsi="Arial"/>
                <w:color w:val="E2E8F0"/>
                <w:sz w:val="19"/>
                <w:szCs w:val="19"/>
              </w:rPr>
              <w:t xml:space="preserve">At PaySim scale, the model prevents an estimated $6.26 billion in fraud loss annually with a net ROI exceeding 15,700x the investigation cost. The recommended deployment strategy balances detection performance, operational cost, and regulatory explainability requirements.</w:t>
            </w:r>
          </w:p>
        </w:tc>
      </w:tr>
    </w:tbl>
    <w:p>
      <w:pPr>
        <w:spacing w:before="0" w:after="80"/>
      </w:pPr>
      <w:r>
        <w:t xml:space="preserve"/>
      </w:r>
    </w:p>
    <w:p>
      <w:pPr>
        <w:spacing w:before="0" w:after="0"/>
        <w:jc w:val="center"/>
      </w:pPr>
      <w:r>
        <w:rPr>
          <w:rFonts w:ascii="Arial" w:cs="Arial" w:eastAsia="Arial" w:hAnsi="Arial"/>
          <w:i/>
          <w:iCs/>
          <w:color w:val="718096"/>
          <w:sz w:val="16"/>
          <w:szCs w:val="16"/>
        </w:rPr>
        <w:t xml:space="preserve">Dataset: PaySim1 by Edgar Lopez-Rojas  |  Tools: Python, pandas, scikit-learn, XGBoost, LightGBM, SHAP  |  Portfolio: Data Analysis &amp; Machine Learning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6" w:space="4"/>
      </w:pBdr>
      <w:tabs>
        <w:tab w:val="right" w:pos="9360"/>
      </w:tabs>
      <w:spacing w:before="80" w:after="0"/>
    </w:pPr>
    <w:r>
      <w:rPr>
        <w:rFonts w:ascii="Arial" w:cs="Arial" w:eastAsia="Arial" w:hAnsi="Arial"/>
        <w:color w:val="718096"/>
        <w:sz w:val="16"/>
        <w:szCs w:val="16"/>
      </w:rPr>
      <w:t xml:space="preserve">Data Analysis &amp; Machine Learning Portfolio  |  PaySim Synthetic Dataset</w:t>
    </w:r>
    <w:r>
      <w:rPr>
        <w:rFonts w:ascii="Arial" w:cs="Arial" w:eastAsia="Arial" w:hAnsi="Arial"/>
        <w:i/>
        <w:iCs/>
        <w:color w:val="718096"/>
        <w:sz w:val="16"/>
        <w:szCs w:val="16"/>
      </w:rPr>
      <w:t xml:space="preserve">	generated for portfolio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8" w:space="4"/>
      </w:pBdr>
      <w:tabs>
        <w:tab w:val="right" w:pos="9360"/>
      </w:tabs>
      <w:spacing w:before="0" w:after="80"/>
    </w:pPr>
    <w:r>
      <w:rPr>
        <w:rFonts w:ascii="Arial" w:cs="Arial" w:eastAsia="Arial" w:hAnsi="Arial"/>
        <w:b/>
        <w:bCs/>
        <w:color w:val="0A1628"/>
        <w:sz w:val="18"/>
        <w:szCs w:val="18"/>
      </w:rPr>
      <w:t xml:space="preserve">Financial Fraud Detection  |  Model Results Summary</w:t>
    </w:r>
    <w:r>
      <w:rPr>
        <w:rFonts w:ascii="Arial" w:cs="Arial" w:eastAsia="Arial" w:hAnsi="Arial"/>
        <w:sz w:val="18"/>
        <w:szCs w:val="18"/>
      </w:rPr>
      <w:t xml:space="preserve">	</w:t>
    </w:r>
    <w:r>
      <w:rPr>
        <w:rFonts w:ascii="Arial" w:cs="Arial" w:eastAsia="Arial" w:hAnsi="Arial"/>
        <w:color w:val="718096"/>
        <w:sz w:val="18"/>
        <w:szCs w:val="18"/>
      </w:rPr>
      <w:t xml:space="preserve">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A1628"/>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66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2026-03-11T04:17:36.543Z</dcterms:created>
  <dcterms:modified xsi:type="dcterms:W3CDTF">2026-03-11T04:17:36.544Z</dcterms:modified>
</cp:coreProperties>
</file>

<file path=docProps/custom.xml><?xml version="1.0" encoding="utf-8"?>
<Properties xmlns="http://schemas.openxmlformats.org/officeDocument/2006/custom-properties" xmlns:vt="http://schemas.openxmlformats.org/officeDocument/2006/docPropsVTypes"/>
</file>